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075" w:rsidRDefault="002622A6">
      <w:pPr>
        <w:pStyle w:val="a6"/>
        <w:widowControl/>
        <w:spacing w:beforeAutospacing="0" w:afterAutospacing="0" w:line="560" w:lineRule="exact"/>
        <w:jc w:val="center"/>
        <w:rPr>
          <w:rFonts w:ascii="方正小标宋_GBK" w:eastAsia="方正小标宋_GBK" w:hAnsi="Times New Roman"/>
          <w:spacing w:val="-6"/>
          <w:sz w:val="44"/>
          <w:szCs w:val="44"/>
        </w:rPr>
      </w:pPr>
      <w:r>
        <w:rPr>
          <w:rFonts w:ascii="方正小标宋_GBK" w:eastAsia="方正小标宋_GBK" w:hAnsi="Times New Roman" w:hint="eastAsia"/>
          <w:spacing w:val="-6"/>
          <w:sz w:val="44"/>
          <w:szCs w:val="44"/>
        </w:rPr>
        <w:t>英大基金管理有限公司关于旗下</w:t>
      </w:r>
    </w:p>
    <w:p w:rsidR="00954075" w:rsidRDefault="002622A6">
      <w:pPr>
        <w:pStyle w:val="a6"/>
        <w:widowControl/>
        <w:spacing w:beforeAutospacing="0" w:afterAutospacing="0" w:line="560" w:lineRule="exact"/>
        <w:jc w:val="center"/>
        <w:rPr>
          <w:rFonts w:ascii="方正小标宋_GBK" w:eastAsia="方正小标宋_GBK" w:hAnsi="Times New Roman"/>
          <w:spacing w:val="-6"/>
          <w:sz w:val="44"/>
          <w:szCs w:val="44"/>
        </w:rPr>
      </w:pPr>
      <w:r>
        <w:rPr>
          <w:rFonts w:ascii="方正小标宋_GBK" w:eastAsia="方正小标宋_GBK" w:hAnsi="Times New Roman" w:hint="eastAsia"/>
          <w:spacing w:val="-6"/>
          <w:sz w:val="44"/>
          <w:szCs w:val="44"/>
        </w:rPr>
        <w:t>部分基金参加国泰海通证券股份有限公司</w:t>
      </w:r>
    </w:p>
    <w:p w:rsidR="00954075" w:rsidRDefault="002622A6">
      <w:pPr>
        <w:pStyle w:val="a6"/>
        <w:widowControl/>
        <w:spacing w:beforeAutospacing="0" w:afterAutospacing="0" w:line="560" w:lineRule="exact"/>
        <w:jc w:val="center"/>
        <w:rPr>
          <w:rFonts w:ascii="方正小标宋_GBK" w:eastAsia="方正小标宋_GBK" w:hAnsi="Times New Roman"/>
          <w:spacing w:val="-6"/>
          <w:sz w:val="44"/>
          <w:szCs w:val="44"/>
        </w:rPr>
      </w:pPr>
      <w:r>
        <w:rPr>
          <w:rFonts w:ascii="方正小标宋_GBK" w:eastAsia="方正小标宋_GBK" w:hAnsi="Times New Roman" w:hint="eastAsia"/>
          <w:spacing w:val="-6"/>
          <w:sz w:val="44"/>
          <w:szCs w:val="44"/>
        </w:rPr>
        <w:t>费率优惠活动的公告</w:t>
      </w:r>
    </w:p>
    <w:p w:rsidR="00954075" w:rsidRDefault="00954075">
      <w:pPr>
        <w:pStyle w:val="a6"/>
        <w:widowControl/>
        <w:spacing w:beforeAutospacing="0" w:afterAutospacing="0" w:line="560" w:lineRule="exact"/>
        <w:jc w:val="center"/>
        <w:rPr>
          <w:rFonts w:ascii="宋体" w:eastAsia="宋体" w:hAnsi="宋体" w:cs="宋体"/>
          <w:color w:val="000000"/>
          <w:spacing w:val="12"/>
          <w:sz w:val="32"/>
          <w:szCs w:val="32"/>
        </w:rPr>
      </w:pPr>
    </w:p>
    <w:p w:rsidR="00954075" w:rsidRDefault="002622A6">
      <w:pPr>
        <w:pStyle w:val="a6"/>
        <w:widowControl/>
        <w:spacing w:beforeAutospacing="0" w:afterAutospacing="0" w:line="560" w:lineRule="exact"/>
        <w:ind w:firstLineChars="200" w:firstLine="640"/>
        <w:rPr>
          <w:rFonts w:ascii="方正仿宋_GBK" w:eastAsia="方正仿宋_GBK" w:hAnsi="宋体"/>
          <w:bCs/>
          <w:iCs/>
          <w:snapToGrid w:val="0"/>
          <w:spacing w:val="-19"/>
          <w:sz w:val="32"/>
          <w:szCs w:val="32"/>
        </w:rPr>
      </w:pPr>
      <w:r>
        <w:rPr>
          <w:rFonts w:ascii="方正仿宋_GBK" w:eastAsia="方正仿宋_GBK" w:hAnsi="仿宋_GB2312" w:hint="eastAsia"/>
          <w:snapToGrid w:val="0"/>
          <w:sz w:val="32"/>
          <w:szCs w:val="32"/>
        </w:rPr>
        <w:t>为了更好地满足投资者的理财需求，英大基金管理有限公司（以下简称“本公司”）经与国泰海通证券股份有限公司（以下简称“国泰海通”）协商一致，本公司旗下部分基金</w:t>
      </w:r>
      <w:r>
        <w:rPr>
          <w:rFonts w:ascii="方正仿宋_GBK" w:eastAsia="方正仿宋_GBK" w:hAnsi="仿宋_GB2312" w:hint="eastAsia"/>
          <w:snapToGrid w:val="0"/>
          <w:sz w:val="32"/>
          <w:szCs w:val="32"/>
        </w:rPr>
        <w:t>参加国泰海通开展的</w:t>
      </w:r>
      <w:r>
        <w:rPr>
          <w:rFonts w:ascii="方正仿宋_GBK" w:eastAsia="方正仿宋_GBK" w:hAnsi="仿宋_GB2312" w:hint="eastAsia"/>
          <w:snapToGrid w:val="0"/>
          <w:sz w:val="32"/>
          <w:szCs w:val="32"/>
        </w:rPr>
        <w:t>申购及定期定额投资费率优惠活动。现将相关事项公告如下：</w:t>
      </w:r>
    </w:p>
    <w:p w:rsidR="00954075" w:rsidRDefault="002622A6">
      <w:pPr>
        <w:pStyle w:val="a6"/>
        <w:widowControl/>
        <w:numPr>
          <w:ilvl w:val="0"/>
          <w:numId w:val="1"/>
        </w:numPr>
        <w:spacing w:beforeAutospacing="0" w:afterAutospacing="0" w:line="560" w:lineRule="exact"/>
        <w:ind w:firstLineChars="200" w:firstLine="640"/>
        <w:rPr>
          <w:rFonts w:ascii="方正仿宋_GBK" w:eastAsia="方正仿宋_GBK" w:hAnsi="仿宋_GB2312"/>
          <w:snapToGrid w:val="0"/>
          <w:sz w:val="32"/>
          <w:szCs w:val="32"/>
        </w:rPr>
      </w:pPr>
      <w:r>
        <w:rPr>
          <w:rFonts w:ascii="方正黑体_GBK" w:eastAsia="方正黑体_GBK" w:hAnsi="方正黑体_GBK" w:hint="eastAsia"/>
          <w:snapToGrid w:val="0"/>
          <w:sz w:val="32"/>
          <w:szCs w:val="32"/>
        </w:rPr>
        <w:t>适用基金范围</w:t>
      </w:r>
    </w:p>
    <w:tbl>
      <w:tblPr>
        <w:tblW w:w="8625" w:type="dxa"/>
        <w:jc w:val="center"/>
        <w:tblLayout w:type="fixed"/>
        <w:tblLook w:val="04A0"/>
      </w:tblPr>
      <w:tblGrid>
        <w:gridCol w:w="4313"/>
        <w:gridCol w:w="2737"/>
        <w:gridCol w:w="1575"/>
      </w:tblGrid>
      <w:tr w:rsidR="00954075">
        <w:trPr>
          <w:trHeight w:val="403"/>
          <w:jc w:val="center"/>
        </w:trPr>
        <w:tc>
          <w:tcPr>
            <w:tcW w:w="4313"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基金名称</w:t>
            </w:r>
          </w:p>
        </w:tc>
        <w:tc>
          <w:tcPr>
            <w:tcW w:w="2737"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7D7D7"/>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基金代码</w:t>
            </w:r>
          </w:p>
        </w:tc>
      </w:tr>
      <w:tr w:rsidR="00954075">
        <w:trPr>
          <w:trHeight w:val="435"/>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英大现金宝货币市场基金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000912</w:t>
            </w:r>
          </w:p>
        </w:tc>
      </w:tr>
      <w:tr w:rsidR="00954075">
        <w:trPr>
          <w:trHeight w:val="466"/>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954075" w:rsidRDefault="00954075">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009744</w:t>
            </w:r>
          </w:p>
        </w:tc>
      </w:tr>
      <w:tr w:rsidR="00954075">
        <w:trPr>
          <w:trHeight w:val="440"/>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014511</w:t>
            </w:r>
          </w:p>
        </w:tc>
      </w:tr>
      <w:tr w:rsidR="00954075">
        <w:trPr>
          <w:trHeight w:val="465"/>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954075" w:rsidRDefault="00954075">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014512</w:t>
            </w:r>
          </w:p>
        </w:tc>
      </w:tr>
      <w:tr w:rsidR="00954075">
        <w:trPr>
          <w:trHeight w:val="465"/>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w:t>
            </w:r>
            <w:r>
              <w:rPr>
                <w:rFonts w:ascii="方正仿宋_GBK" w:eastAsia="方正仿宋_GBK" w:hAnsi="方正仿宋_GBK" w:cs="方正仿宋_GBK" w:hint="eastAsia"/>
                <w:sz w:val="28"/>
                <w:szCs w:val="28"/>
              </w:rPr>
              <w:t>4</w:t>
            </w:r>
          </w:p>
        </w:tc>
      </w:tr>
      <w:tr w:rsidR="00954075">
        <w:trPr>
          <w:trHeight w:val="492"/>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954075" w:rsidRDefault="00954075">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w:t>
            </w:r>
            <w:r>
              <w:rPr>
                <w:rFonts w:ascii="方正仿宋_GBK" w:eastAsia="方正仿宋_GBK" w:hAnsi="方正仿宋_GBK" w:cs="方正仿宋_GBK" w:hint="eastAsia"/>
                <w:sz w:val="28"/>
                <w:szCs w:val="28"/>
              </w:rPr>
              <w:t>5</w:t>
            </w:r>
          </w:p>
        </w:tc>
      </w:tr>
      <w:tr w:rsidR="00954075">
        <w:trPr>
          <w:trHeight w:val="479"/>
          <w:jc w:val="center"/>
        </w:trPr>
        <w:tc>
          <w:tcPr>
            <w:tcW w:w="4313" w:type="dxa"/>
            <w:vMerge w:val="restart"/>
            <w:tcBorders>
              <w:top w:val="single" w:sz="4" w:space="0" w:color="auto"/>
              <w:left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w:t>
            </w:r>
            <w:r>
              <w:rPr>
                <w:rFonts w:ascii="方正仿宋_GBK" w:eastAsia="方正仿宋_GBK" w:hAnsi="方正仿宋_GBK" w:cs="方正仿宋_GBK" w:hint="eastAsia"/>
                <w:sz w:val="28"/>
                <w:szCs w:val="28"/>
              </w:rPr>
              <w:t>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650001</w:t>
            </w:r>
          </w:p>
        </w:tc>
      </w:tr>
      <w:tr w:rsidR="00954075">
        <w:trPr>
          <w:trHeight w:val="479"/>
          <w:jc w:val="center"/>
        </w:trPr>
        <w:tc>
          <w:tcPr>
            <w:tcW w:w="4313" w:type="dxa"/>
            <w:vMerge/>
            <w:tcBorders>
              <w:left w:val="single" w:sz="4" w:space="0" w:color="auto"/>
              <w:right w:val="single" w:sz="4" w:space="0" w:color="auto"/>
            </w:tcBorders>
            <w:noWrap/>
            <w:vAlign w:val="center"/>
          </w:tcPr>
          <w:p w:rsidR="00954075" w:rsidRDefault="00954075">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w:t>
            </w:r>
            <w:r>
              <w:rPr>
                <w:rFonts w:ascii="方正仿宋_GBK" w:eastAsia="方正仿宋_GBK" w:hAnsi="方正仿宋_GBK" w:cs="方正仿宋_GBK" w:hint="eastAsia"/>
                <w:sz w:val="28"/>
                <w:szCs w:val="28"/>
              </w:rPr>
              <w:t>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w:t>
            </w:r>
            <w:r>
              <w:rPr>
                <w:rFonts w:ascii="方正仿宋_GBK" w:eastAsia="方正仿宋_GBK" w:hAnsi="方正仿宋_GBK" w:cs="方正仿宋_GBK" w:hint="eastAsia"/>
                <w:sz w:val="28"/>
                <w:szCs w:val="28"/>
              </w:rPr>
              <w:t>2</w:t>
            </w:r>
          </w:p>
        </w:tc>
      </w:tr>
      <w:tr w:rsidR="00954075">
        <w:trPr>
          <w:trHeight w:val="504"/>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001270</w:t>
            </w:r>
          </w:p>
        </w:tc>
      </w:tr>
      <w:tr w:rsidR="00954075">
        <w:trPr>
          <w:trHeight w:val="519"/>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954075" w:rsidRDefault="00954075">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w:t>
            </w:r>
            <w:r>
              <w:rPr>
                <w:rFonts w:ascii="方正仿宋_GBK" w:eastAsia="方正仿宋_GBK" w:hAnsi="方正仿宋_GBK" w:cs="方正仿宋_GBK" w:hint="eastAsia"/>
                <w:sz w:val="28"/>
                <w:szCs w:val="28"/>
              </w:rPr>
              <w:t>1</w:t>
            </w:r>
          </w:p>
        </w:tc>
      </w:tr>
      <w:tr w:rsidR="00954075">
        <w:trPr>
          <w:trHeight w:val="90"/>
          <w:jc w:val="center"/>
        </w:trPr>
        <w:tc>
          <w:tcPr>
            <w:tcW w:w="4313" w:type="dxa"/>
            <w:vMerge w:val="restart"/>
            <w:tcBorders>
              <w:top w:val="single" w:sz="4" w:space="0" w:color="auto"/>
              <w:left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英大国企改革主题股票型证券投</w:t>
            </w:r>
            <w:r>
              <w:rPr>
                <w:rFonts w:ascii="方正仿宋_GBK" w:eastAsia="方正仿宋_GBK" w:hAnsi="方正仿宋_GBK" w:cs="方正仿宋_GBK" w:hint="eastAsia"/>
                <w:sz w:val="28"/>
                <w:szCs w:val="28"/>
              </w:rPr>
              <w:lastRenderedPageBreak/>
              <w:t>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英大国企改革</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001678</w:t>
            </w:r>
          </w:p>
        </w:tc>
      </w:tr>
      <w:tr w:rsidR="00954075">
        <w:trPr>
          <w:trHeight w:val="90"/>
          <w:jc w:val="center"/>
        </w:trPr>
        <w:tc>
          <w:tcPr>
            <w:tcW w:w="4313" w:type="dxa"/>
            <w:vMerge/>
            <w:tcBorders>
              <w:left w:val="single" w:sz="4" w:space="0" w:color="auto"/>
              <w:bottom w:val="single" w:sz="4" w:space="0" w:color="auto"/>
              <w:right w:val="single" w:sz="4" w:space="0" w:color="auto"/>
            </w:tcBorders>
            <w:noWrap/>
            <w:vAlign w:val="center"/>
          </w:tcPr>
          <w:p w:rsidR="00954075" w:rsidRDefault="00954075">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22868</w:t>
            </w:r>
          </w:p>
        </w:tc>
      </w:tr>
      <w:tr w:rsidR="00954075">
        <w:trPr>
          <w:trHeight w:val="542"/>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英大策略优选混合型证券投资基金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001607</w:t>
            </w:r>
          </w:p>
        </w:tc>
      </w:tr>
      <w:tr w:rsidR="00954075">
        <w:trPr>
          <w:trHeight w:val="542"/>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954075" w:rsidRDefault="00954075">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001608</w:t>
            </w:r>
          </w:p>
        </w:tc>
      </w:tr>
      <w:tr w:rsidR="00954075">
        <w:trPr>
          <w:trHeight w:val="766"/>
          <w:jc w:val="center"/>
        </w:trPr>
        <w:tc>
          <w:tcPr>
            <w:tcW w:w="4313" w:type="dxa"/>
            <w:vMerge w:val="restart"/>
            <w:tcBorders>
              <w:top w:val="single" w:sz="4" w:space="0" w:color="auto"/>
              <w:left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003713</w:t>
            </w:r>
          </w:p>
        </w:tc>
      </w:tr>
      <w:tr w:rsidR="00954075">
        <w:trPr>
          <w:trHeight w:val="364"/>
          <w:jc w:val="center"/>
        </w:trPr>
        <w:tc>
          <w:tcPr>
            <w:tcW w:w="4313" w:type="dxa"/>
            <w:vMerge/>
            <w:tcBorders>
              <w:left w:val="single" w:sz="4" w:space="0" w:color="auto"/>
              <w:bottom w:val="single" w:sz="4" w:space="0" w:color="auto"/>
              <w:right w:val="single" w:sz="4" w:space="0" w:color="auto"/>
            </w:tcBorders>
            <w:noWrap/>
            <w:vAlign w:val="center"/>
          </w:tcPr>
          <w:p w:rsidR="00954075" w:rsidRDefault="00954075">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003714</w:t>
            </w:r>
          </w:p>
        </w:tc>
      </w:tr>
      <w:tr w:rsidR="00954075">
        <w:trPr>
          <w:trHeight w:val="448"/>
          <w:jc w:val="center"/>
        </w:trPr>
        <w:tc>
          <w:tcPr>
            <w:tcW w:w="4313" w:type="dxa"/>
            <w:vMerge w:val="restart"/>
            <w:tcBorders>
              <w:top w:val="single" w:sz="4" w:space="0" w:color="auto"/>
              <w:left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012854</w:t>
            </w:r>
          </w:p>
        </w:tc>
      </w:tr>
      <w:tr w:rsidR="00954075">
        <w:trPr>
          <w:trHeight w:val="448"/>
          <w:jc w:val="center"/>
        </w:trPr>
        <w:tc>
          <w:tcPr>
            <w:tcW w:w="4313" w:type="dxa"/>
            <w:vMerge/>
            <w:tcBorders>
              <w:left w:val="single" w:sz="4" w:space="0" w:color="auto"/>
              <w:bottom w:val="single" w:sz="4" w:space="0" w:color="auto"/>
              <w:right w:val="single" w:sz="4" w:space="0" w:color="auto"/>
            </w:tcBorders>
            <w:noWrap/>
            <w:vAlign w:val="center"/>
          </w:tcPr>
          <w:p w:rsidR="00954075" w:rsidRDefault="00954075">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012855</w:t>
            </w:r>
          </w:p>
        </w:tc>
      </w:tr>
      <w:tr w:rsidR="00954075">
        <w:trPr>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010174</w:t>
            </w:r>
          </w:p>
        </w:tc>
      </w:tr>
      <w:tr w:rsidR="00954075">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954075" w:rsidRDefault="00954075">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010175</w:t>
            </w:r>
          </w:p>
        </w:tc>
      </w:tr>
      <w:tr w:rsidR="00954075">
        <w:trPr>
          <w:trHeight w:val="448"/>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英大稳固增强核心一年持有期混合型证券投资基金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012521</w:t>
            </w:r>
          </w:p>
        </w:tc>
      </w:tr>
      <w:tr w:rsidR="00954075">
        <w:trPr>
          <w:trHeight w:val="448"/>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954075" w:rsidRDefault="00954075">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012522</w:t>
            </w:r>
          </w:p>
        </w:tc>
      </w:tr>
      <w:tr w:rsidR="00954075">
        <w:trPr>
          <w:trHeight w:val="448"/>
          <w:jc w:val="center"/>
        </w:trPr>
        <w:tc>
          <w:tcPr>
            <w:tcW w:w="4313" w:type="dxa"/>
            <w:vMerge w:val="restart"/>
            <w:tcBorders>
              <w:top w:val="single" w:sz="4" w:space="0" w:color="auto"/>
              <w:left w:val="single" w:sz="4" w:space="0" w:color="auto"/>
              <w:right w:val="single" w:sz="4" w:space="0" w:color="auto"/>
            </w:tcBorders>
            <w:noWrap/>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000458</w:t>
            </w:r>
          </w:p>
        </w:tc>
      </w:tr>
      <w:tr w:rsidR="00954075">
        <w:trPr>
          <w:trHeight w:val="448"/>
          <w:jc w:val="center"/>
        </w:trPr>
        <w:tc>
          <w:tcPr>
            <w:tcW w:w="4313" w:type="dxa"/>
            <w:vMerge/>
            <w:tcBorders>
              <w:left w:val="single" w:sz="4" w:space="0" w:color="auto"/>
              <w:right w:val="single" w:sz="4" w:space="0" w:color="auto"/>
            </w:tcBorders>
            <w:noWrap/>
            <w:vAlign w:val="center"/>
          </w:tcPr>
          <w:p w:rsidR="00954075" w:rsidRDefault="00954075">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000459</w:t>
            </w:r>
          </w:p>
        </w:tc>
      </w:tr>
      <w:tr w:rsidR="00954075">
        <w:trPr>
          <w:trHeight w:val="448"/>
          <w:jc w:val="center"/>
        </w:trPr>
        <w:tc>
          <w:tcPr>
            <w:tcW w:w="4313" w:type="dxa"/>
            <w:vMerge/>
            <w:tcBorders>
              <w:left w:val="single" w:sz="4" w:space="0" w:color="auto"/>
              <w:bottom w:val="single" w:sz="4" w:space="0" w:color="auto"/>
              <w:right w:val="single" w:sz="4" w:space="0" w:color="auto"/>
            </w:tcBorders>
            <w:noWrap/>
            <w:vAlign w:val="center"/>
          </w:tcPr>
          <w:p w:rsidR="00954075" w:rsidRDefault="00954075">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022901</w:t>
            </w:r>
          </w:p>
        </w:tc>
      </w:tr>
      <w:tr w:rsidR="00954075">
        <w:trPr>
          <w:trHeight w:val="448"/>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天持有期证券投资基金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016066</w:t>
            </w:r>
          </w:p>
        </w:tc>
      </w:tr>
      <w:tr w:rsidR="00954075">
        <w:trPr>
          <w:trHeight w:val="359"/>
          <w:jc w:val="center"/>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015724</w:t>
            </w:r>
          </w:p>
        </w:tc>
      </w:tr>
      <w:tr w:rsidR="00954075">
        <w:trPr>
          <w:trHeight w:val="359"/>
          <w:jc w:val="center"/>
        </w:trPr>
        <w:tc>
          <w:tcPr>
            <w:tcW w:w="4313" w:type="dxa"/>
            <w:vMerge/>
            <w:tcBorders>
              <w:top w:val="single" w:sz="4" w:space="0" w:color="auto"/>
              <w:left w:val="single" w:sz="4" w:space="0" w:color="auto"/>
              <w:bottom w:val="single" w:sz="4" w:space="0" w:color="auto"/>
              <w:right w:val="single" w:sz="4" w:space="0" w:color="auto"/>
            </w:tcBorders>
            <w:noWrap/>
            <w:vAlign w:val="center"/>
          </w:tcPr>
          <w:p w:rsidR="00954075" w:rsidRDefault="00954075">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015725</w:t>
            </w:r>
          </w:p>
        </w:tc>
      </w:tr>
      <w:tr w:rsidR="00954075">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英大福鑫稳健养老目标一年持有期混合型发起式基金中基金</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英大福鑫稳健养老一年持有偏债混合发起</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020389</w:t>
            </w:r>
          </w:p>
        </w:tc>
      </w:tr>
      <w:tr w:rsidR="00954075">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35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2035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016985</w:t>
            </w:r>
          </w:p>
        </w:tc>
      </w:tr>
      <w:tr w:rsidR="00954075">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55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2055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016922</w:t>
            </w:r>
          </w:p>
        </w:tc>
      </w:tr>
      <w:tr w:rsidR="00954075">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2060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017164</w:t>
            </w:r>
          </w:p>
        </w:tc>
      </w:tr>
      <w:tr w:rsidR="00954075">
        <w:trPr>
          <w:trHeight w:val="285"/>
          <w:jc w:val="center"/>
        </w:trPr>
        <w:tc>
          <w:tcPr>
            <w:tcW w:w="4313" w:type="dxa"/>
            <w:tcBorders>
              <w:left w:val="single" w:sz="4" w:space="0" w:color="auto"/>
              <w:bottom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016666</w:t>
            </w:r>
          </w:p>
        </w:tc>
      </w:tr>
      <w:tr w:rsidR="00954075">
        <w:trPr>
          <w:trHeight w:val="285"/>
          <w:jc w:val="center"/>
        </w:trPr>
        <w:tc>
          <w:tcPr>
            <w:tcW w:w="4313" w:type="dxa"/>
            <w:vMerge w:val="restart"/>
            <w:tcBorders>
              <w:top w:val="single" w:sz="4" w:space="0" w:color="auto"/>
              <w:left w:val="single" w:sz="4" w:space="0" w:color="auto"/>
              <w:right w:val="single" w:sz="4" w:space="0" w:color="auto"/>
            </w:tcBorders>
            <w:noWrap/>
            <w:vAlign w:val="center"/>
          </w:tcPr>
          <w:p w:rsidR="00954075" w:rsidRDefault="002622A6">
            <w:pPr>
              <w:spacing w:line="5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015620</w:t>
            </w:r>
          </w:p>
        </w:tc>
      </w:tr>
      <w:tr w:rsidR="00954075">
        <w:trPr>
          <w:trHeight w:val="285"/>
          <w:jc w:val="center"/>
        </w:trPr>
        <w:tc>
          <w:tcPr>
            <w:tcW w:w="4313" w:type="dxa"/>
            <w:vMerge/>
            <w:tcBorders>
              <w:left w:val="single" w:sz="4" w:space="0" w:color="auto"/>
              <w:bottom w:val="single" w:sz="4" w:space="0" w:color="auto"/>
              <w:right w:val="single" w:sz="4" w:space="0" w:color="auto"/>
            </w:tcBorders>
            <w:noWrap/>
            <w:vAlign w:val="center"/>
          </w:tcPr>
          <w:p w:rsidR="00954075" w:rsidRDefault="00954075">
            <w:pPr>
              <w:spacing w:line="560" w:lineRule="exact"/>
              <w:jc w:val="center"/>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015621</w:t>
            </w:r>
          </w:p>
        </w:tc>
      </w:tr>
      <w:tr w:rsidR="00954075">
        <w:trPr>
          <w:trHeight w:val="285"/>
          <w:jc w:val="center"/>
        </w:trPr>
        <w:tc>
          <w:tcPr>
            <w:tcW w:w="4313" w:type="dxa"/>
            <w:tcBorders>
              <w:top w:val="single" w:sz="4" w:space="0" w:color="auto"/>
              <w:left w:val="single" w:sz="4" w:space="0" w:color="auto"/>
              <w:bottom w:val="single" w:sz="4" w:space="0" w:color="auto"/>
              <w:right w:val="single" w:sz="4" w:space="0" w:color="auto"/>
            </w:tcBorders>
            <w:noWrap/>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英大通佑纯债一年定期开放债券型证券投资基金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bottom"/>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英大通佑一年定开债券</w:t>
            </w:r>
          </w:p>
        </w:tc>
        <w:tc>
          <w:tcPr>
            <w:tcW w:w="1575" w:type="dxa"/>
            <w:tcBorders>
              <w:top w:val="single" w:sz="4" w:space="0" w:color="auto"/>
              <w:left w:val="single" w:sz="4" w:space="0" w:color="auto"/>
              <w:bottom w:val="single" w:sz="4" w:space="0" w:color="auto"/>
              <w:right w:val="single" w:sz="4" w:space="0" w:color="auto"/>
            </w:tcBorders>
            <w:vAlign w:val="center"/>
          </w:tcPr>
          <w:p w:rsidR="00954075" w:rsidRDefault="002622A6">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016296</w:t>
            </w:r>
          </w:p>
        </w:tc>
      </w:tr>
    </w:tbl>
    <w:p w:rsidR="00954075" w:rsidRDefault="002622A6">
      <w:pPr>
        <w:pStyle w:val="a6"/>
        <w:widowControl/>
        <w:numPr>
          <w:ilvl w:val="0"/>
          <w:numId w:val="1"/>
        </w:numPr>
        <w:spacing w:beforeAutospacing="0" w:afterAutospacing="0" w:line="560" w:lineRule="exact"/>
        <w:ind w:firstLineChars="200" w:firstLine="640"/>
        <w:rPr>
          <w:rFonts w:ascii="方正黑体_GBK" w:eastAsia="方正黑体_GBK" w:hAnsi="方正黑体_GBK"/>
          <w:snapToGrid w:val="0"/>
          <w:sz w:val="32"/>
          <w:szCs w:val="32"/>
        </w:rPr>
      </w:pPr>
      <w:r>
        <w:rPr>
          <w:rFonts w:ascii="方正黑体_GBK" w:eastAsia="方正黑体_GBK" w:hAnsi="方正黑体_GBK" w:hint="eastAsia"/>
          <w:snapToGrid w:val="0"/>
          <w:sz w:val="32"/>
          <w:szCs w:val="32"/>
        </w:rPr>
        <w:t>活动时间</w:t>
      </w:r>
    </w:p>
    <w:p w:rsidR="00954075" w:rsidRDefault="002622A6">
      <w:pPr>
        <w:pStyle w:val="a6"/>
        <w:widowControl/>
        <w:spacing w:beforeAutospacing="0" w:afterAutospacing="0" w:line="560" w:lineRule="exact"/>
        <w:ind w:firstLineChars="200" w:firstLine="640"/>
        <w:rPr>
          <w:rFonts w:ascii="方正仿宋_GBK" w:eastAsia="方正仿宋_GBK" w:hAnsi="仿宋_GB2312"/>
          <w:snapToGrid w:val="0"/>
          <w:sz w:val="32"/>
          <w:szCs w:val="32"/>
        </w:rPr>
      </w:pPr>
      <w:r>
        <w:rPr>
          <w:rFonts w:ascii="方正仿宋_GBK" w:eastAsia="方正仿宋_GBK" w:hAnsi="仿宋_GB2312" w:hint="eastAsia"/>
          <w:snapToGrid w:val="0"/>
          <w:sz w:val="32"/>
          <w:szCs w:val="32"/>
        </w:rPr>
        <w:t>费率优惠活动自</w:t>
      </w:r>
      <w:r>
        <w:rPr>
          <w:rFonts w:ascii="方正仿宋_GBK" w:eastAsia="方正仿宋_GBK" w:hAnsi="仿宋_GB2312" w:hint="eastAsia"/>
          <w:snapToGrid w:val="0"/>
          <w:sz w:val="32"/>
          <w:szCs w:val="32"/>
        </w:rPr>
        <w:t>2025</w:t>
      </w:r>
      <w:r>
        <w:rPr>
          <w:rFonts w:ascii="方正仿宋_GBK" w:eastAsia="方正仿宋_GBK" w:hAnsi="仿宋_GB2312" w:hint="eastAsia"/>
          <w:snapToGrid w:val="0"/>
          <w:sz w:val="32"/>
          <w:szCs w:val="32"/>
        </w:rPr>
        <w:t>年</w:t>
      </w:r>
      <w:r>
        <w:rPr>
          <w:rFonts w:ascii="方正仿宋_GBK" w:eastAsia="方正仿宋_GBK" w:hAnsi="仿宋_GB2312" w:hint="eastAsia"/>
          <w:snapToGrid w:val="0"/>
          <w:sz w:val="32"/>
          <w:szCs w:val="32"/>
        </w:rPr>
        <w:t>10</w:t>
      </w:r>
      <w:r>
        <w:rPr>
          <w:rFonts w:ascii="方正仿宋_GBK" w:eastAsia="方正仿宋_GBK" w:hAnsi="仿宋_GB2312" w:hint="eastAsia"/>
          <w:snapToGrid w:val="0"/>
          <w:sz w:val="32"/>
          <w:szCs w:val="32"/>
        </w:rPr>
        <w:t>月</w:t>
      </w:r>
      <w:r>
        <w:rPr>
          <w:rFonts w:ascii="方正仿宋_GBK" w:eastAsia="方正仿宋_GBK" w:hAnsi="仿宋_GB2312" w:hint="eastAsia"/>
          <w:snapToGrid w:val="0"/>
          <w:sz w:val="32"/>
          <w:szCs w:val="32"/>
        </w:rPr>
        <w:t>20</w:t>
      </w:r>
      <w:r>
        <w:rPr>
          <w:rFonts w:ascii="方正仿宋_GBK" w:eastAsia="方正仿宋_GBK" w:hAnsi="仿宋_GB2312" w:hint="eastAsia"/>
          <w:snapToGrid w:val="0"/>
          <w:sz w:val="32"/>
          <w:szCs w:val="32"/>
        </w:rPr>
        <w:t>日起</w:t>
      </w:r>
      <w:r>
        <w:rPr>
          <w:rFonts w:ascii="方正仿宋_GBK" w:eastAsia="方正仿宋_GBK" w:hAnsi="仿宋_GB2312" w:hint="eastAsia"/>
          <w:snapToGrid w:val="0"/>
          <w:sz w:val="32"/>
          <w:szCs w:val="32"/>
        </w:rPr>
        <w:t>，活动截止日期以国泰海通公告为准。</w:t>
      </w:r>
    </w:p>
    <w:p w:rsidR="00954075" w:rsidRDefault="002622A6">
      <w:pPr>
        <w:pStyle w:val="a6"/>
        <w:widowControl/>
        <w:numPr>
          <w:ilvl w:val="0"/>
          <w:numId w:val="1"/>
        </w:numPr>
        <w:spacing w:beforeAutospacing="0" w:afterAutospacing="0" w:line="560" w:lineRule="exact"/>
        <w:ind w:firstLineChars="200" w:firstLine="640"/>
        <w:rPr>
          <w:rFonts w:ascii="方正黑体_GBK" w:eastAsia="方正黑体_GBK" w:hAnsi="方正黑体_GBK"/>
          <w:snapToGrid w:val="0"/>
          <w:sz w:val="32"/>
          <w:szCs w:val="32"/>
        </w:rPr>
      </w:pPr>
      <w:r>
        <w:rPr>
          <w:rFonts w:ascii="方正黑体_GBK" w:eastAsia="方正黑体_GBK" w:hAnsi="方正黑体_GBK" w:hint="eastAsia"/>
          <w:snapToGrid w:val="0"/>
          <w:sz w:val="32"/>
          <w:szCs w:val="32"/>
        </w:rPr>
        <w:t>优惠费率安排</w:t>
      </w:r>
    </w:p>
    <w:p w:rsidR="00954075" w:rsidRDefault="002622A6">
      <w:pPr>
        <w:pStyle w:val="a6"/>
        <w:widowControl/>
        <w:spacing w:beforeAutospacing="0" w:afterAutospacing="0" w:line="560" w:lineRule="exact"/>
        <w:ind w:firstLineChars="200" w:firstLine="640"/>
        <w:rPr>
          <w:rFonts w:ascii="方正仿宋_GBK" w:eastAsia="方正仿宋_GBK" w:hAnsi="仿宋_GB2312"/>
          <w:snapToGrid w:val="0"/>
          <w:sz w:val="32"/>
          <w:szCs w:val="32"/>
        </w:rPr>
      </w:pPr>
      <w:r>
        <w:rPr>
          <w:rFonts w:ascii="方正仿宋_GBK" w:eastAsia="方正仿宋_GBK" w:hAnsi="仿宋_GB2312" w:hint="eastAsia"/>
          <w:snapToGrid w:val="0"/>
          <w:sz w:val="32"/>
          <w:szCs w:val="32"/>
        </w:rPr>
        <w:t>自</w:t>
      </w:r>
      <w:r>
        <w:rPr>
          <w:rFonts w:ascii="方正仿宋_GBK" w:eastAsia="方正仿宋_GBK" w:hAnsi="仿宋_GB2312" w:hint="eastAsia"/>
          <w:snapToGrid w:val="0"/>
          <w:sz w:val="32"/>
          <w:szCs w:val="32"/>
        </w:rPr>
        <w:t>2025</w:t>
      </w:r>
      <w:r>
        <w:rPr>
          <w:rFonts w:ascii="方正仿宋_GBK" w:eastAsia="方正仿宋_GBK" w:hAnsi="仿宋_GB2312" w:hint="eastAsia"/>
          <w:snapToGrid w:val="0"/>
          <w:sz w:val="32"/>
          <w:szCs w:val="32"/>
        </w:rPr>
        <w:t>年</w:t>
      </w:r>
      <w:r>
        <w:rPr>
          <w:rFonts w:ascii="方正仿宋_GBK" w:eastAsia="方正仿宋_GBK" w:hAnsi="仿宋_GB2312" w:hint="eastAsia"/>
          <w:snapToGrid w:val="0"/>
          <w:sz w:val="32"/>
          <w:szCs w:val="32"/>
        </w:rPr>
        <w:t>10</w:t>
      </w:r>
      <w:r>
        <w:rPr>
          <w:rFonts w:ascii="方正仿宋_GBK" w:eastAsia="方正仿宋_GBK" w:hAnsi="仿宋_GB2312" w:hint="eastAsia"/>
          <w:snapToGrid w:val="0"/>
          <w:sz w:val="32"/>
          <w:szCs w:val="32"/>
        </w:rPr>
        <w:t>月</w:t>
      </w:r>
      <w:r>
        <w:rPr>
          <w:rFonts w:ascii="方正仿宋_GBK" w:eastAsia="方正仿宋_GBK" w:hAnsi="仿宋_GB2312" w:hint="eastAsia"/>
          <w:snapToGrid w:val="0"/>
          <w:sz w:val="32"/>
          <w:szCs w:val="32"/>
        </w:rPr>
        <w:t>20</w:t>
      </w:r>
      <w:r>
        <w:rPr>
          <w:rFonts w:ascii="方正仿宋_GBK" w:eastAsia="方正仿宋_GBK" w:hAnsi="仿宋_GB2312" w:hint="eastAsia"/>
          <w:snapToGrid w:val="0"/>
          <w:sz w:val="32"/>
          <w:szCs w:val="32"/>
        </w:rPr>
        <w:t>日起</w:t>
      </w:r>
      <w:r>
        <w:rPr>
          <w:rFonts w:ascii="方正仿宋_GBK" w:eastAsia="方正仿宋_GBK" w:hAnsi="仿宋_GB2312" w:hint="eastAsia"/>
          <w:snapToGrid w:val="0"/>
          <w:sz w:val="32"/>
          <w:szCs w:val="32"/>
        </w:rPr>
        <w:t>，投资者通过国泰海通申购及定期定额投资上述基金，享有申购及定期定额投资费率</w:t>
      </w:r>
      <w:r>
        <w:rPr>
          <w:rFonts w:ascii="方正仿宋_GBK" w:eastAsia="方正仿宋_GBK" w:hAnsi="仿宋_GB2312" w:hint="eastAsia"/>
          <w:snapToGrid w:val="0"/>
          <w:sz w:val="32"/>
          <w:szCs w:val="32"/>
        </w:rPr>
        <w:t>1</w:t>
      </w:r>
      <w:r>
        <w:rPr>
          <w:rFonts w:ascii="方正仿宋_GBK" w:eastAsia="方正仿宋_GBK" w:hAnsi="仿宋_GB2312" w:hint="eastAsia"/>
          <w:snapToGrid w:val="0"/>
          <w:sz w:val="32"/>
          <w:szCs w:val="32"/>
        </w:rPr>
        <w:t>折，原费率按笔收取固定费用的基金将不享受此次费率优惠，具体折扣费率以国泰海通活动公告为准。</w:t>
      </w:r>
    </w:p>
    <w:p w:rsidR="00954075" w:rsidRDefault="002622A6">
      <w:pPr>
        <w:pStyle w:val="a6"/>
        <w:widowControl/>
        <w:numPr>
          <w:ilvl w:val="0"/>
          <w:numId w:val="1"/>
        </w:numPr>
        <w:spacing w:beforeAutospacing="0" w:afterAutospacing="0" w:line="560" w:lineRule="exact"/>
        <w:ind w:firstLineChars="200" w:firstLine="640"/>
        <w:rPr>
          <w:rFonts w:ascii="方正黑体_GBK" w:eastAsia="方正黑体_GBK" w:hAnsi="方正黑体_GBK"/>
          <w:snapToGrid w:val="0"/>
          <w:sz w:val="32"/>
          <w:szCs w:val="32"/>
        </w:rPr>
      </w:pPr>
      <w:r>
        <w:rPr>
          <w:rFonts w:ascii="方正黑体_GBK" w:eastAsia="方正黑体_GBK" w:hAnsi="方正黑体_GBK" w:hint="eastAsia"/>
          <w:snapToGrid w:val="0"/>
          <w:sz w:val="32"/>
          <w:szCs w:val="32"/>
        </w:rPr>
        <w:t>重要提示</w:t>
      </w:r>
    </w:p>
    <w:p w:rsidR="00954075" w:rsidRDefault="002622A6">
      <w:pPr>
        <w:pStyle w:val="a6"/>
        <w:widowControl/>
        <w:spacing w:beforeAutospacing="0" w:afterAutospacing="0" w:line="560" w:lineRule="exact"/>
        <w:ind w:firstLineChars="200" w:firstLine="564"/>
        <w:rPr>
          <w:rFonts w:ascii="方正仿宋_GBK" w:eastAsia="方正仿宋_GBK" w:hAnsi="仿宋_GB2312"/>
          <w:snapToGrid w:val="0"/>
          <w:sz w:val="32"/>
          <w:szCs w:val="32"/>
        </w:rPr>
      </w:pPr>
      <w:r>
        <w:rPr>
          <w:rFonts w:ascii="方正仿宋_GBK" w:eastAsia="方正仿宋_GBK" w:hAnsi="宋体" w:hint="eastAsia"/>
          <w:bCs/>
          <w:iCs/>
          <w:snapToGrid w:val="0"/>
          <w:spacing w:val="-19"/>
          <w:sz w:val="32"/>
          <w:szCs w:val="32"/>
        </w:rPr>
        <w:t>1.</w:t>
      </w:r>
      <w:r>
        <w:rPr>
          <w:rFonts w:ascii="方正仿宋_GBK" w:eastAsia="方正仿宋_GBK" w:hAnsi="仿宋_GB2312" w:hint="eastAsia"/>
          <w:snapToGrid w:val="0"/>
          <w:sz w:val="32"/>
          <w:szCs w:val="32"/>
        </w:rPr>
        <w:t>投资者在国泰海通办理基金的投资事务，具体费率计算、办理规则及程序以国泰海通的安排和规定为准。原申购费率，参见上述基金的《基金合同》《招募说明书》《产品资料概要》及本公司发布的最新相关公告。</w:t>
      </w:r>
    </w:p>
    <w:p w:rsidR="00954075" w:rsidRDefault="002622A6">
      <w:pPr>
        <w:pStyle w:val="a6"/>
        <w:widowControl/>
        <w:spacing w:beforeAutospacing="0" w:afterAutospacing="0" w:line="560" w:lineRule="exact"/>
        <w:ind w:firstLineChars="200" w:firstLine="640"/>
        <w:rPr>
          <w:rFonts w:ascii="方正仿宋_GBK" w:eastAsia="方正仿宋_GBK" w:hAnsi="仿宋_GB2312"/>
          <w:snapToGrid w:val="0"/>
          <w:sz w:val="32"/>
          <w:szCs w:val="32"/>
        </w:rPr>
      </w:pPr>
      <w:r>
        <w:rPr>
          <w:rFonts w:ascii="方正仿宋_GBK" w:eastAsia="方正仿宋_GBK" w:hAnsi="仿宋_GB2312" w:hint="eastAsia"/>
          <w:snapToGrid w:val="0"/>
          <w:sz w:val="32"/>
          <w:szCs w:val="32"/>
        </w:rPr>
        <w:t>2.</w:t>
      </w:r>
      <w:r>
        <w:rPr>
          <w:rFonts w:ascii="方正仿宋_GBK" w:eastAsia="方正仿宋_GBK" w:hAnsi="仿宋_GB2312" w:hint="eastAsia"/>
          <w:snapToGrid w:val="0"/>
          <w:sz w:val="32"/>
          <w:szCs w:val="32"/>
        </w:rPr>
        <w:t>本优惠活动仅适用于国泰海通的申购费率、定投申购</w:t>
      </w:r>
      <w:r>
        <w:rPr>
          <w:rFonts w:ascii="方正仿宋_GBK" w:eastAsia="方正仿宋_GBK" w:hAnsi="仿宋_GB2312" w:hint="eastAsia"/>
          <w:snapToGrid w:val="0"/>
          <w:sz w:val="32"/>
          <w:szCs w:val="32"/>
        </w:rPr>
        <w:t>，不包括基金赎回、转换业务等其他业务的基金手续费</w:t>
      </w:r>
      <w:r>
        <w:rPr>
          <w:rFonts w:ascii="方正仿宋_GBK" w:eastAsia="方正仿宋_GBK" w:hAnsi="仿宋_GB2312" w:hint="eastAsia"/>
          <w:snapToGrid w:val="0"/>
          <w:sz w:val="32"/>
          <w:szCs w:val="32"/>
        </w:rPr>
        <w:t>。</w:t>
      </w:r>
    </w:p>
    <w:p w:rsidR="00954075" w:rsidRDefault="002622A6">
      <w:pPr>
        <w:pStyle w:val="a6"/>
        <w:widowControl/>
        <w:spacing w:beforeAutospacing="0" w:afterAutospacing="0" w:line="560" w:lineRule="exact"/>
        <w:ind w:firstLineChars="200" w:firstLine="640"/>
        <w:rPr>
          <w:rFonts w:ascii="方正仿宋_GBK" w:eastAsia="方正仿宋_GBK" w:hAnsi="宋体"/>
          <w:bCs/>
          <w:iCs/>
          <w:snapToGrid w:val="0"/>
          <w:spacing w:val="-19"/>
          <w:sz w:val="32"/>
          <w:szCs w:val="32"/>
        </w:rPr>
      </w:pPr>
      <w:r>
        <w:rPr>
          <w:rFonts w:ascii="方正仿宋_GBK" w:eastAsia="方正仿宋_GBK" w:hAnsi="仿宋_GB2312" w:hint="eastAsia"/>
          <w:snapToGrid w:val="0"/>
          <w:sz w:val="32"/>
          <w:szCs w:val="32"/>
        </w:rPr>
        <w:t>3.</w:t>
      </w:r>
      <w:r>
        <w:rPr>
          <w:rFonts w:ascii="方正仿宋_GBK" w:eastAsia="方正仿宋_GBK" w:hAnsi="仿宋_GB2312" w:hint="eastAsia"/>
          <w:snapToGrid w:val="0"/>
          <w:sz w:val="32"/>
          <w:szCs w:val="32"/>
        </w:rPr>
        <w:t>本公告涉及相关费率优惠活动的解释权</w:t>
      </w:r>
      <w:r>
        <w:rPr>
          <w:rFonts w:ascii="方正仿宋_GBK" w:eastAsia="方正仿宋_GBK" w:hAnsi="仿宋_GB2312" w:hint="eastAsia"/>
          <w:snapToGrid w:val="0"/>
          <w:sz w:val="32"/>
          <w:szCs w:val="32"/>
        </w:rPr>
        <w:t>归国泰海通所有</w:t>
      </w:r>
      <w:r>
        <w:rPr>
          <w:rFonts w:ascii="方正仿宋_GBK" w:eastAsia="方正仿宋_GBK" w:hAnsi="仿宋_GB2312" w:hint="eastAsia"/>
          <w:snapToGrid w:val="0"/>
          <w:sz w:val="32"/>
          <w:szCs w:val="32"/>
        </w:rPr>
        <w:t>，</w:t>
      </w:r>
      <w:r>
        <w:rPr>
          <w:rFonts w:ascii="方正仿宋_GBK" w:eastAsia="方正仿宋_GBK" w:hAnsi="仿宋_GB2312" w:hint="eastAsia"/>
          <w:snapToGrid w:val="0"/>
          <w:sz w:val="32"/>
          <w:szCs w:val="32"/>
        </w:rPr>
        <w:t>投资者欲了解上述基金产品的详细情况，请仔细阅读刊登于本公司网站的《基金合同》《招募说明书》《产品资料概要》等法律文件及相关业务公告</w:t>
      </w:r>
      <w:r>
        <w:rPr>
          <w:rFonts w:ascii="方正仿宋_GBK" w:eastAsia="方正仿宋_GBK" w:hAnsi="宋体" w:hint="eastAsia"/>
          <w:bCs/>
          <w:iCs/>
          <w:snapToGrid w:val="0"/>
          <w:spacing w:val="-19"/>
          <w:sz w:val="32"/>
          <w:szCs w:val="32"/>
        </w:rPr>
        <w:t>。</w:t>
      </w:r>
    </w:p>
    <w:p w:rsidR="00954075" w:rsidRDefault="002622A6">
      <w:pPr>
        <w:pStyle w:val="a6"/>
        <w:widowControl/>
        <w:numPr>
          <w:ilvl w:val="0"/>
          <w:numId w:val="1"/>
        </w:numPr>
        <w:spacing w:beforeAutospacing="0" w:afterAutospacing="0" w:line="560" w:lineRule="exact"/>
        <w:ind w:firstLineChars="200" w:firstLine="640"/>
        <w:rPr>
          <w:rFonts w:ascii="方正黑体_GBK" w:eastAsia="方正黑体_GBK" w:hAnsi="方正黑体_GBK"/>
          <w:snapToGrid w:val="0"/>
          <w:sz w:val="32"/>
          <w:szCs w:val="32"/>
        </w:rPr>
      </w:pPr>
      <w:r>
        <w:rPr>
          <w:rFonts w:ascii="方正黑体_GBK" w:eastAsia="方正黑体_GBK" w:hAnsi="方正黑体_GBK" w:hint="eastAsia"/>
          <w:snapToGrid w:val="0"/>
          <w:sz w:val="32"/>
          <w:szCs w:val="32"/>
        </w:rPr>
        <w:t>咨询途径</w:t>
      </w:r>
    </w:p>
    <w:p w:rsidR="00954075" w:rsidRDefault="002622A6">
      <w:pPr>
        <w:pStyle w:val="a6"/>
        <w:widowControl/>
        <w:spacing w:beforeAutospacing="0" w:afterAutospacing="0" w:line="560" w:lineRule="exact"/>
        <w:ind w:firstLineChars="200" w:firstLine="640"/>
        <w:rPr>
          <w:rFonts w:ascii="方正仿宋_GBK" w:eastAsia="方正仿宋_GBK" w:hAnsi="仿宋_GB2312"/>
          <w:snapToGrid w:val="0"/>
          <w:sz w:val="32"/>
          <w:szCs w:val="32"/>
        </w:rPr>
      </w:pPr>
      <w:r>
        <w:rPr>
          <w:rFonts w:ascii="方正仿宋_GBK" w:eastAsia="方正仿宋_GBK" w:hAnsi="仿宋_GB2312" w:hint="eastAsia"/>
          <w:snapToGrid w:val="0"/>
          <w:sz w:val="32"/>
          <w:szCs w:val="32"/>
        </w:rPr>
        <w:t>投资者可通过以下途径咨询有关详情：</w:t>
      </w:r>
    </w:p>
    <w:p w:rsidR="00954075" w:rsidRDefault="002622A6">
      <w:pPr>
        <w:pStyle w:val="a6"/>
        <w:widowControl/>
        <w:spacing w:beforeAutospacing="0" w:afterAutospacing="0" w:line="560" w:lineRule="exact"/>
        <w:ind w:firstLineChars="200" w:firstLine="640"/>
        <w:rPr>
          <w:rFonts w:ascii="方正仿宋_GBK" w:eastAsia="方正仿宋_GBK" w:hAnsi="仿宋_GB2312"/>
          <w:snapToGrid w:val="0"/>
          <w:sz w:val="32"/>
          <w:szCs w:val="32"/>
        </w:rPr>
      </w:pPr>
      <w:r>
        <w:rPr>
          <w:rFonts w:ascii="方正仿宋_GBK" w:eastAsia="方正仿宋_GBK" w:hAnsi="仿宋_GB2312" w:hint="eastAsia"/>
          <w:snapToGrid w:val="0"/>
          <w:sz w:val="32"/>
          <w:szCs w:val="32"/>
        </w:rPr>
        <w:t>1.</w:t>
      </w:r>
      <w:r>
        <w:rPr>
          <w:rFonts w:ascii="方正仿宋_GBK" w:eastAsia="方正仿宋_GBK" w:hAnsi="仿宋_GB2312" w:hint="eastAsia"/>
          <w:snapToGrid w:val="0"/>
          <w:sz w:val="32"/>
          <w:szCs w:val="32"/>
        </w:rPr>
        <w:t>国泰海通证券股份有限公司</w:t>
      </w:r>
    </w:p>
    <w:p w:rsidR="00954075" w:rsidRDefault="002622A6">
      <w:pPr>
        <w:pStyle w:val="a6"/>
        <w:widowControl/>
        <w:spacing w:beforeAutospacing="0" w:afterAutospacing="0" w:line="560" w:lineRule="exact"/>
        <w:ind w:firstLineChars="200" w:firstLine="640"/>
        <w:rPr>
          <w:rFonts w:ascii="方正仿宋_GBK" w:eastAsia="方正仿宋_GBK" w:hAnsi="仿宋_GB2312"/>
          <w:snapToGrid w:val="0"/>
          <w:sz w:val="32"/>
          <w:szCs w:val="32"/>
        </w:rPr>
      </w:pPr>
      <w:r>
        <w:rPr>
          <w:rFonts w:ascii="方正仿宋_GBK" w:eastAsia="方正仿宋_GBK" w:hAnsi="仿宋_GB2312" w:hint="eastAsia"/>
          <w:snapToGrid w:val="0"/>
          <w:sz w:val="32"/>
          <w:szCs w:val="32"/>
        </w:rPr>
        <w:t>客服电话：</w:t>
      </w:r>
      <w:r>
        <w:rPr>
          <w:rFonts w:ascii="方正仿宋_GBK" w:eastAsia="方正仿宋_GBK" w:hAnsi="仿宋_GB2312" w:hint="eastAsia"/>
          <w:snapToGrid w:val="0"/>
          <w:sz w:val="32"/>
          <w:szCs w:val="32"/>
        </w:rPr>
        <w:t>95521</w:t>
      </w:r>
      <w:r>
        <w:rPr>
          <w:rFonts w:ascii="方正仿宋_GBK" w:eastAsia="方正仿宋_GBK" w:hAnsi="仿宋_GB2312" w:hint="eastAsia"/>
          <w:snapToGrid w:val="0"/>
          <w:sz w:val="32"/>
          <w:szCs w:val="32"/>
        </w:rPr>
        <w:t>/400-8888-666</w:t>
      </w:r>
    </w:p>
    <w:p w:rsidR="00954075" w:rsidRDefault="002622A6">
      <w:pPr>
        <w:pStyle w:val="a6"/>
        <w:widowControl/>
        <w:spacing w:beforeAutospacing="0" w:afterAutospacing="0" w:line="560" w:lineRule="exact"/>
        <w:ind w:firstLineChars="200" w:firstLine="640"/>
        <w:rPr>
          <w:rFonts w:ascii="方正仿宋_GBK" w:eastAsia="方正仿宋_GBK" w:hAnsi="仿宋_GB2312"/>
          <w:snapToGrid w:val="0"/>
          <w:sz w:val="32"/>
          <w:szCs w:val="32"/>
        </w:rPr>
      </w:pPr>
      <w:r>
        <w:rPr>
          <w:rFonts w:ascii="方正仿宋_GBK" w:eastAsia="方正仿宋_GBK" w:hAnsi="仿宋_GB2312" w:hint="eastAsia"/>
          <w:snapToGrid w:val="0"/>
          <w:sz w:val="32"/>
          <w:szCs w:val="32"/>
        </w:rPr>
        <w:t>网址：</w:t>
      </w:r>
      <w:r>
        <w:rPr>
          <w:rFonts w:ascii="方正仿宋_GBK" w:eastAsia="方正仿宋_GBK" w:hAnsi="仿宋_GB2312" w:hint="eastAsia"/>
          <w:snapToGrid w:val="0"/>
          <w:sz w:val="32"/>
          <w:szCs w:val="32"/>
        </w:rPr>
        <w:t>www.gtht.com</w:t>
      </w:r>
    </w:p>
    <w:p w:rsidR="00954075" w:rsidRDefault="002622A6">
      <w:pPr>
        <w:pStyle w:val="a6"/>
        <w:widowControl/>
        <w:spacing w:beforeAutospacing="0" w:afterAutospacing="0" w:line="560" w:lineRule="exact"/>
        <w:ind w:firstLineChars="200" w:firstLine="640"/>
        <w:rPr>
          <w:rFonts w:ascii="方正仿宋_GBK" w:eastAsia="方正仿宋_GBK" w:hAnsi="仿宋_GB2312"/>
          <w:snapToGrid w:val="0"/>
          <w:sz w:val="32"/>
          <w:szCs w:val="32"/>
        </w:rPr>
      </w:pPr>
      <w:r>
        <w:rPr>
          <w:rFonts w:ascii="方正仿宋_GBK" w:eastAsia="方正仿宋_GBK" w:hAnsi="仿宋_GB2312" w:hint="eastAsia"/>
          <w:snapToGrid w:val="0"/>
          <w:sz w:val="32"/>
          <w:szCs w:val="32"/>
        </w:rPr>
        <w:t>2.</w:t>
      </w:r>
      <w:r>
        <w:rPr>
          <w:rFonts w:ascii="方正仿宋_GBK" w:eastAsia="方正仿宋_GBK" w:hAnsi="仿宋_GB2312" w:hint="eastAsia"/>
          <w:snapToGrid w:val="0"/>
          <w:sz w:val="32"/>
          <w:szCs w:val="32"/>
        </w:rPr>
        <w:t>英大基金管理有限公司</w:t>
      </w:r>
    </w:p>
    <w:p w:rsidR="00954075" w:rsidRDefault="002622A6">
      <w:pPr>
        <w:pStyle w:val="a6"/>
        <w:widowControl/>
        <w:spacing w:beforeAutospacing="0" w:afterAutospacing="0" w:line="560" w:lineRule="exact"/>
        <w:ind w:firstLineChars="200" w:firstLine="640"/>
        <w:rPr>
          <w:rFonts w:ascii="方正仿宋_GBK" w:eastAsia="方正仿宋_GBK" w:hAnsi="仿宋_GB2312"/>
          <w:snapToGrid w:val="0"/>
          <w:sz w:val="32"/>
          <w:szCs w:val="32"/>
        </w:rPr>
      </w:pPr>
      <w:r>
        <w:rPr>
          <w:rFonts w:ascii="方正仿宋_GBK" w:eastAsia="方正仿宋_GBK" w:hAnsi="仿宋_GB2312" w:hint="eastAsia"/>
          <w:snapToGrid w:val="0"/>
          <w:sz w:val="32"/>
          <w:szCs w:val="32"/>
        </w:rPr>
        <w:t>客服电话：</w:t>
      </w:r>
      <w:hyperlink r:id="rId8" w:anchor="/home/javascript: void(0);" w:history="1">
        <w:r>
          <w:rPr>
            <w:rFonts w:ascii="方正仿宋_GBK" w:eastAsia="方正仿宋_GBK" w:hAnsi="仿宋_GB2312"/>
            <w:snapToGrid w:val="0"/>
            <w:sz w:val="32"/>
            <w:szCs w:val="32"/>
          </w:rPr>
          <w:t>400-890-5288/010-57835666</w:t>
        </w:r>
      </w:hyperlink>
    </w:p>
    <w:p w:rsidR="00954075" w:rsidRDefault="002622A6">
      <w:pPr>
        <w:pStyle w:val="a6"/>
        <w:widowControl/>
        <w:spacing w:beforeAutospacing="0" w:afterAutospacing="0" w:line="560" w:lineRule="exact"/>
        <w:ind w:firstLineChars="200" w:firstLine="640"/>
        <w:rPr>
          <w:rFonts w:ascii="方正仿宋_GBK" w:eastAsia="方正仿宋_GBK" w:hAnsi="仿宋_GB2312"/>
          <w:snapToGrid w:val="0"/>
          <w:sz w:val="32"/>
          <w:szCs w:val="32"/>
        </w:rPr>
      </w:pPr>
      <w:r>
        <w:rPr>
          <w:rFonts w:ascii="方正仿宋_GBK" w:eastAsia="方正仿宋_GBK" w:hAnsi="仿宋_GB2312" w:hint="eastAsia"/>
          <w:snapToGrid w:val="0"/>
          <w:sz w:val="32"/>
          <w:szCs w:val="32"/>
        </w:rPr>
        <w:t>网址：</w:t>
      </w:r>
      <w:r>
        <w:rPr>
          <w:rFonts w:ascii="方正仿宋_GBK" w:eastAsia="方正仿宋_GBK" w:hAnsi="仿宋_GB2312" w:hint="eastAsia"/>
          <w:snapToGrid w:val="0"/>
          <w:sz w:val="32"/>
          <w:szCs w:val="32"/>
        </w:rPr>
        <w:t>www.ydamc.com</w:t>
      </w:r>
    </w:p>
    <w:p w:rsidR="00954075" w:rsidRDefault="002622A6">
      <w:pPr>
        <w:pStyle w:val="a6"/>
        <w:widowControl/>
        <w:numPr>
          <w:ilvl w:val="0"/>
          <w:numId w:val="1"/>
        </w:numPr>
        <w:spacing w:beforeAutospacing="0" w:afterAutospacing="0" w:line="560" w:lineRule="exact"/>
        <w:ind w:firstLineChars="200" w:firstLine="640"/>
        <w:rPr>
          <w:rFonts w:ascii="方正黑体_GBK" w:eastAsia="方正黑体_GBK" w:hAnsi="方正黑体_GBK"/>
          <w:snapToGrid w:val="0"/>
          <w:sz w:val="32"/>
          <w:szCs w:val="32"/>
        </w:rPr>
      </w:pPr>
      <w:r>
        <w:rPr>
          <w:rFonts w:ascii="方正黑体_GBK" w:eastAsia="方正黑体_GBK" w:hAnsi="方正黑体_GBK" w:hint="eastAsia"/>
          <w:snapToGrid w:val="0"/>
          <w:sz w:val="32"/>
          <w:szCs w:val="32"/>
        </w:rPr>
        <w:t>风险提示</w:t>
      </w:r>
    </w:p>
    <w:p w:rsidR="00954075" w:rsidRDefault="002622A6">
      <w:pPr>
        <w:pStyle w:val="a6"/>
        <w:widowControl/>
        <w:spacing w:beforeAutospacing="0" w:afterAutospacing="0" w:line="560" w:lineRule="exact"/>
        <w:ind w:firstLineChars="200" w:firstLine="640"/>
        <w:rPr>
          <w:rFonts w:ascii="方正仿宋_GBK" w:eastAsia="方正仿宋_GBK" w:hAnsi="仿宋_GB2312"/>
          <w:snapToGrid w:val="0"/>
          <w:sz w:val="32"/>
          <w:szCs w:val="32"/>
        </w:rPr>
      </w:pPr>
      <w:r>
        <w:rPr>
          <w:rFonts w:ascii="方正仿宋_GBK" w:eastAsia="方正仿宋_GBK" w:hAnsi="方正仿宋_GBK" w:cs="方正仿宋_GBK" w:hint="eastAsia"/>
          <w:sz w:val="32"/>
          <w:szCs w:val="32"/>
        </w:rPr>
        <w:t>本公司承诺以诚实信用、勤勉尽责的原则管理和运用基金资产，但不保证基金一定盈利，也不保证最低收益。</w:t>
      </w:r>
      <w:r>
        <w:rPr>
          <w:rFonts w:ascii="方正仿宋_GBK" w:eastAsia="方正仿宋_GBK" w:hAnsi="宋体" w:hint="eastAsia"/>
          <w:sz w:val="32"/>
          <w:szCs w:val="32"/>
        </w:rPr>
        <w:t>投资者应当充分了解基金定</w:t>
      </w:r>
      <w:r>
        <w:rPr>
          <w:rFonts w:ascii="方正仿宋_GBK" w:eastAsia="方正仿宋_GBK" w:hAnsi="宋体" w:hint="eastAsia"/>
          <w:sz w:val="32"/>
          <w:szCs w:val="32"/>
        </w:rPr>
        <w:t>投</w:t>
      </w:r>
      <w:r>
        <w:rPr>
          <w:rFonts w:ascii="方正仿宋_GBK" w:eastAsia="方正仿宋_GBK" w:hAnsi="宋体" w:hint="eastAsia"/>
          <w:sz w:val="32"/>
          <w:szCs w:val="32"/>
        </w:rPr>
        <w:t>和零存</w:t>
      </w:r>
      <w:bookmarkStart w:id="0" w:name="_GoBack"/>
      <w:bookmarkEnd w:id="0"/>
      <w:r>
        <w:rPr>
          <w:rFonts w:ascii="方正仿宋_GBK" w:eastAsia="方正仿宋_GBK" w:hAnsi="宋体" w:hint="eastAsia"/>
          <w:sz w:val="32"/>
          <w:szCs w:val="32"/>
        </w:rPr>
        <w:t>整取等储蓄方式的区别。定</w:t>
      </w:r>
      <w:r>
        <w:rPr>
          <w:rFonts w:ascii="方正仿宋_GBK" w:eastAsia="方正仿宋_GBK" w:hAnsi="宋体" w:hint="eastAsia"/>
          <w:sz w:val="32"/>
          <w:szCs w:val="32"/>
        </w:rPr>
        <w:t>投</w:t>
      </w:r>
      <w:r>
        <w:rPr>
          <w:rFonts w:ascii="方正仿宋_GBK" w:eastAsia="方正仿宋_GBK" w:hAnsi="宋体" w:hint="eastAsia"/>
          <w:sz w:val="32"/>
          <w:szCs w:val="32"/>
        </w:rPr>
        <w:t>是引导投资者进行长期投资、平均投资成本的一种简单易行的投资方式。但是，定</w:t>
      </w:r>
      <w:r>
        <w:rPr>
          <w:rFonts w:ascii="方正仿宋_GBK" w:eastAsia="方正仿宋_GBK" w:hAnsi="宋体" w:hint="eastAsia"/>
          <w:sz w:val="32"/>
          <w:szCs w:val="32"/>
        </w:rPr>
        <w:t>投</w:t>
      </w:r>
      <w:r>
        <w:rPr>
          <w:rFonts w:ascii="方正仿宋_GBK" w:eastAsia="方正仿宋_GBK" w:hAnsi="宋体" w:hint="eastAsia"/>
          <w:sz w:val="32"/>
          <w:szCs w:val="32"/>
        </w:rPr>
        <w:t>并不能规避基金投资所固有的风险，不能保证投资者获得收益，也不是替代储蓄的等效理财方式。</w:t>
      </w:r>
      <w:r>
        <w:rPr>
          <w:rFonts w:ascii="方正仿宋_GBK" w:eastAsia="方正仿宋_GBK" w:hAnsi="方正仿宋_GBK" w:cs="方正仿宋_GBK" w:hint="eastAsia"/>
          <w:kern w:val="2"/>
          <w:sz w:val="32"/>
          <w:szCs w:val="32"/>
          <w:lang/>
        </w:rPr>
        <w:t>购买货币市场基金并不等于将资金作为存款存放在银行或者存款类金融机构，基金管理人不保证基金一定盈利，也不保证最低收益。</w:t>
      </w:r>
      <w:r>
        <w:rPr>
          <w:rFonts w:ascii="方正仿宋_GBK" w:eastAsia="方正仿宋_GBK" w:hAnsi="方正仿宋_GBK" w:cs="方正仿宋_GBK" w:hint="eastAsia"/>
          <w:sz w:val="32"/>
          <w:szCs w:val="32"/>
        </w:rPr>
        <w:t>“养老”的名称不代表收益保障或其他任何形式的收益承诺，养老产品不保本，可能发生亏损。投资者投资于上述基金前应认真阅读基金的基金合同、招募说明书（更新）等法律文件，</w:t>
      </w:r>
      <w:r>
        <w:rPr>
          <w:rFonts w:ascii="方正仿宋_GBK" w:eastAsia="方正仿宋_GBK" w:hAnsi="宋体" w:hint="eastAsia"/>
          <w:sz w:val="32"/>
          <w:szCs w:val="32"/>
        </w:rPr>
        <w:t>并选择适合自身风险承受能力的投资品种进行投资。敬请投资者注意投资风险。</w:t>
      </w:r>
    </w:p>
    <w:p w:rsidR="00954075" w:rsidRDefault="002622A6">
      <w:pPr>
        <w:pStyle w:val="a6"/>
        <w:widowControl/>
        <w:spacing w:beforeAutospacing="0" w:afterAutospacing="0" w:line="560" w:lineRule="exact"/>
        <w:ind w:firstLineChars="200" w:firstLine="640"/>
        <w:rPr>
          <w:rFonts w:ascii="方正仿宋_GBK" w:eastAsia="方正仿宋_GBK" w:hAnsi="宋体"/>
          <w:bCs/>
          <w:iCs/>
          <w:snapToGrid w:val="0"/>
          <w:spacing w:val="-19"/>
          <w:sz w:val="32"/>
          <w:szCs w:val="32"/>
        </w:rPr>
      </w:pPr>
      <w:r>
        <w:rPr>
          <w:rFonts w:ascii="方正仿宋_GBK" w:eastAsia="方正仿宋_GBK" w:hAnsi="仿宋_GB2312" w:hint="eastAsia"/>
          <w:snapToGrid w:val="0"/>
          <w:sz w:val="32"/>
          <w:szCs w:val="32"/>
        </w:rPr>
        <w:t>特此公告。</w:t>
      </w:r>
      <w:r>
        <w:rPr>
          <w:rFonts w:ascii="方正仿宋_GBK" w:eastAsia="方正仿宋_GBK" w:hAnsi="宋体" w:hint="eastAsia"/>
          <w:bCs/>
          <w:iCs/>
          <w:snapToGrid w:val="0"/>
          <w:spacing w:val="-19"/>
          <w:sz w:val="32"/>
          <w:szCs w:val="32"/>
        </w:rPr>
        <w:tab/>
      </w:r>
    </w:p>
    <w:p w:rsidR="00954075" w:rsidRDefault="00954075">
      <w:pPr>
        <w:pStyle w:val="a6"/>
        <w:widowControl/>
        <w:tabs>
          <w:tab w:val="left" w:pos="2690"/>
        </w:tabs>
        <w:spacing w:beforeAutospacing="0" w:afterAutospacing="0" w:line="560" w:lineRule="exact"/>
        <w:ind w:firstLineChars="200" w:firstLine="564"/>
        <w:rPr>
          <w:rFonts w:ascii="方正仿宋_GBK" w:eastAsia="方正仿宋_GBK" w:hAnsi="宋体"/>
          <w:bCs/>
          <w:iCs/>
          <w:snapToGrid w:val="0"/>
          <w:spacing w:val="-19"/>
          <w:sz w:val="32"/>
          <w:szCs w:val="32"/>
        </w:rPr>
      </w:pPr>
    </w:p>
    <w:p w:rsidR="00954075" w:rsidRDefault="00954075">
      <w:pPr>
        <w:pStyle w:val="a6"/>
        <w:widowControl/>
        <w:tabs>
          <w:tab w:val="left" w:pos="2690"/>
        </w:tabs>
        <w:spacing w:beforeAutospacing="0" w:afterAutospacing="0" w:line="560" w:lineRule="exact"/>
        <w:ind w:firstLineChars="200" w:firstLine="564"/>
        <w:rPr>
          <w:rFonts w:ascii="方正仿宋_GBK" w:eastAsia="方正仿宋_GBK" w:hAnsi="宋体"/>
          <w:bCs/>
          <w:iCs/>
          <w:snapToGrid w:val="0"/>
          <w:spacing w:val="-19"/>
          <w:sz w:val="32"/>
          <w:szCs w:val="32"/>
        </w:rPr>
      </w:pPr>
    </w:p>
    <w:p w:rsidR="00954075" w:rsidRDefault="002622A6">
      <w:pPr>
        <w:pStyle w:val="a6"/>
        <w:widowControl/>
        <w:spacing w:beforeAutospacing="0" w:afterAutospacing="0" w:line="560" w:lineRule="exact"/>
        <w:ind w:firstLineChars="200" w:firstLine="564"/>
        <w:jc w:val="right"/>
        <w:rPr>
          <w:rFonts w:ascii="方正仿宋_GBK" w:eastAsia="方正仿宋_GBK" w:hAnsi="仿宋_GB2312"/>
          <w:snapToGrid w:val="0"/>
          <w:sz w:val="32"/>
          <w:szCs w:val="32"/>
        </w:rPr>
      </w:pPr>
      <w:r>
        <w:rPr>
          <w:rFonts w:ascii="方正仿宋_GBK" w:eastAsia="方正仿宋_GBK" w:hAnsi="宋体" w:hint="eastAsia"/>
          <w:bCs/>
          <w:iCs/>
          <w:snapToGrid w:val="0"/>
          <w:spacing w:val="-19"/>
          <w:sz w:val="32"/>
          <w:szCs w:val="32"/>
        </w:rPr>
        <w:t xml:space="preserve">　</w:t>
      </w:r>
      <w:r>
        <w:rPr>
          <w:rFonts w:ascii="方正仿宋_GBK" w:eastAsia="方正仿宋_GBK" w:hAnsi="仿宋_GB2312" w:hint="eastAsia"/>
          <w:snapToGrid w:val="0"/>
          <w:sz w:val="32"/>
          <w:szCs w:val="32"/>
        </w:rPr>
        <w:t>英大基金管理有限公司</w:t>
      </w:r>
    </w:p>
    <w:p w:rsidR="00954075" w:rsidRDefault="002622A6">
      <w:pPr>
        <w:pStyle w:val="a6"/>
        <w:widowControl/>
        <w:spacing w:beforeAutospacing="0" w:afterAutospacing="0" w:line="560" w:lineRule="exact"/>
        <w:ind w:firstLineChars="200" w:firstLine="640"/>
        <w:jc w:val="right"/>
        <w:rPr>
          <w:rFonts w:ascii="方正仿宋_GBK" w:eastAsia="方正仿宋_GBK" w:hAnsi="仿宋_GB2312"/>
          <w:snapToGrid w:val="0"/>
          <w:sz w:val="32"/>
          <w:szCs w:val="32"/>
          <w:highlight w:val="yellow"/>
        </w:rPr>
      </w:pPr>
      <w:r>
        <w:rPr>
          <w:rFonts w:ascii="方正仿宋_GBK" w:eastAsia="方正仿宋_GBK" w:hAnsi="仿宋_GB2312" w:hint="eastAsia"/>
          <w:snapToGrid w:val="0"/>
          <w:sz w:val="32"/>
          <w:szCs w:val="32"/>
        </w:rPr>
        <w:t>2025</w:t>
      </w:r>
      <w:r>
        <w:rPr>
          <w:rFonts w:ascii="方正仿宋_GBK" w:eastAsia="方正仿宋_GBK" w:hAnsi="仿宋_GB2312" w:hint="eastAsia"/>
          <w:snapToGrid w:val="0"/>
          <w:sz w:val="32"/>
          <w:szCs w:val="32"/>
        </w:rPr>
        <w:t>年</w:t>
      </w:r>
      <w:r>
        <w:rPr>
          <w:rFonts w:ascii="方正仿宋_GBK" w:eastAsia="方正仿宋_GBK" w:hAnsi="仿宋_GB2312" w:hint="eastAsia"/>
          <w:snapToGrid w:val="0"/>
          <w:sz w:val="32"/>
          <w:szCs w:val="32"/>
        </w:rPr>
        <w:t>10</w:t>
      </w:r>
      <w:r>
        <w:rPr>
          <w:rFonts w:ascii="方正仿宋_GBK" w:eastAsia="方正仿宋_GBK" w:hAnsi="仿宋_GB2312" w:hint="eastAsia"/>
          <w:snapToGrid w:val="0"/>
          <w:sz w:val="32"/>
          <w:szCs w:val="32"/>
        </w:rPr>
        <w:t>月</w:t>
      </w:r>
      <w:r>
        <w:rPr>
          <w:rFonts w:ascii="方正仿宋_GBK" w:eastAsia="方正仿宋_GBK" w:hAnsi="仿宋_GB2312" w:hint="eastAsia"/>
          <w:snapToGrid w:val="0"/>
          <w:sz w:val="32"/>
          <w:szCs w:val="32"/>
        </w:rPr>
        <w:t>20</w:t>
      </w:r>
      <w:r>
        <w:rPr>
          <w:rFonts w:ascii="方正仿宋_GBK" w:eastAsia="方正仿宋_GBK" w:hAnsi="仿宋_GB2312" w:hint="eastAsia"/>
          <w:snapToGrid w:val="0"/>
          <w:sz w:val="32"/>
          <w:szCs w:val="32"/>
        </w:rPr>
        <w:t>日</w:t>
      </w:r>
    </w:p>
    <w:p w:rsidR="00954075" w:rsidRDefault="00954075">
      <w:pPr>
        <w:pStyle w:val="a6"/>
        <w:widowControl/>
        <w:spacing w:beforeAutospacing="0" w:afterAutospacing="0" w:line="560" w:lineRule="exact"/>
        <w:ind w:firstLineChars="200" w:firstLine="608"/>
        <w:rPr>
          <w:rFonts w:ascii="宋体" w:eastAsia="宋体" w:hAnsi="宋体" w:cs="宋体"/>
          <w:bCs/>
          <w:iCs/>
          <w:color w:val="000000"/>
          <w:spacing w:val="12"/>
          <w:sz w:val="28"/>
          <w:szCs w:val="28"/>
        </w:rPr>
      </w:pPr>
    </w:p>
    <w:p w:rsidR="00954075" w:rsidRDefault="00954075">
      <w:pPr>
        <w:pStyle w:val="a6"/>
        <w:widowControl/>
        <w:spacing w:beforeAutospacing="0" w:afterAutospacing="0" w:line="560" w:lineRule="exact"/>
        <w:ind w:firstLineChars="200" w:firstLine="608"/>
        <w:rPr>
          <w:rFonts w:ascii="宋体" w:eastAsia="宋体" w:hAnsi="宋体" w:cs="宋体"/>
          <w:bCs/>
          <w:iCs/>
          <w:color w:val="000000"/>
          <w:spacing w:val="12"/>
          <w:sz w:val="28"/>
          <w:szCs w:val="28"/>
        </w:rPr>
      </w:pPr>
    </w:p>
    <w:sectPr w:rsidR="00954075" w:rsidSect="0095407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75" w:rsidRDefault="00954075" w:rsidP="00954075">
      <w:r>
        <w:separator/>
      </w:r>
    </w:p>
  </w:endnote>
  <w:endnote w:type="continuationSeparator" w:id="0">
    <w:p w:rsidR="00954075" w:rsidRDefault="00954075" w:rsidP="00954075">
      <w:r>
        <w:continuationSeparator/>
      </w:r>
    </w:p>
  </w:endnote>
</w:endnotes>
</file>

<file path=word/fontTable.xml><?xml version="1.0" encoding="utf-8"?>
<w:fonts xmlns:r="http://schemas.openxmlformats.org/officeDocument/2006/relationships" xmlns:w="http://schemas.openxmlformats.org/wordprocessingml/2006/main">
  <w:font w:name="方正黑体_GBK">
    <w:altName w:val="Arial Unicode MS"/>
    <w:charset w:val="86"/>
    <w:family w:val="script"/>
    <w:pitch w:val="default"/>
    <w:sig w:usb0="00000000" w:usb1="080E0000" w:usb2="0000000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075" w:rsidRDefault="0095407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954075" w:rsidRDefault="00954075">
                <w:pPr>
                  <w:pStyle w:val="a4"/>
                </w:pPr>
                <w:r>
                  <w:rPr>
                    <w:rFonts w:hint="eastAsia"/>
                  </w:rPr>
                  <w:fldChar w:fldCharType="begin"/>
                </w:r>
                <w:r w:rsidR="002622A6">
                  <w:rPr>
                    <w:rFonts w:hint="eastAsia"/>
                  </w:rPr>
                  <w:instrText xml:space="preserve"> PAGE  \* MERGEFORMAT </w:instrText>
                </w:r>
                <w:r>
                  <w:rPr>
                    <w:rFonts w:hint="eastAsia"/>
                  </w:rPr>
                  <w:fldChar w:fldCharType="separate"/>
                </w:r>
                <w:r w:rsidR="002622A6">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75" w:rsidRDefault="00954075" w:rsidP="00954075">
      <w:r>
        <w:separator/>
      </w:r>
    </w:p>
  </w:footnote>
  <w:footnote w:type="continuationSeparator" w:id="0">
    <w:p w:rsidR="00954075" w:rsidRDefault="00954075" w:rsidP="009540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76DB73"/>
    <w:multiLevelType w:val="singleLevel"/>
    <w:tmpl w:val="F176DB73"/>
    <w:lvl w:ilvl="0">
      <w:start w:val="1"/>
      <w:numFmt w:val="chineseCounting"/>
      <w:suff w:val="nothing"/>
      <w:lvlText w:val="%1、"/>
      <w:lvlJc w:val="left"/>
      <w:rPr>
        <w:rFonts w:ascii="方正黑体_GBK" w:eastAsia="方正黑体_GBK" w:hAnsi="方正黑体_GBK" w:cs="方正黑体_GBK"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54075"/>
    <w:rsid w:val="002622A6"/>
    <w:rsid w:val="00954075"/>
    <w:rsid w:val="05196466"/>
    <w:rsid w:val="06CB2BA0"/>
    <w:rsid w:val="0A013493"/>
    <w:rsid w:val="0A276907"/>
    <w:rsid w:val="0BA70574"/>
    <w:rsid w:val="0C3F121E"/>
    <w:rsid w:val="11EF73AA"/>
    <w:rsid w:val="16051772"/>
    <w:rsid w:val="18251B34"/>
    <w:rsid w:val="19C713AA"/>
    <w:rsid w:val="315E2DF2"/>
    <w:rsid w:val="33405146"/>
    <w:rsid w:val="34346030"/>
    <w:rsid w:val="36F246F2"/>
    <w:rsid w:val="38BA045B"/>
    <w:rsid w:val="3F600DDD"/>
    <w:rsid w:val="467C4DC1"/>
    <w:rsid w:val="47560F4D"/>
    <w:rsid w:val="49CB1CCE"/>
    <w:rsid w:val="4ABA55AE"/>
    <w:rsid w:val="5068597F"/>
    <w:rsid w:val="5115004B"/>
    <w:rsid w:val="59421463"/>
    <w:rsid w:val="613E13A6"/>
    <w:rsid w:val="645C6631"/>
    <w:rsid w:val="65C4743E"/>
    <w:rsid w:val="69680928"/>
    <w:rsid w:val="6B272D2D"/>
    <w:rsid w:val="6CD6699C"/>
    <w:rsid w:val="6DEC19CE"/>
    <w:rsid w:val="6F46293B"/>
    <w:rsid w:val="6FF45D76"/>
    <w:rsid w:val="70FE0E70"/>
    <w:rsid w:val="72906B9F"/>
    <w:rsid w:val="72D40170"/>
    <w:rsid w:val="7A4448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407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54075"/>
    <w:pPr>
      <w:jc w:val="left"/>
    </w:pPr>
  </w:style>
  <w:style w:type="paragraph" w:styleId="a4">
    <w:name w:val="footer"/>
    <w:basedOn w:val="a"/>
    <w:qFormat/>
    <w:rsid w:val="00954075"/>
    <w:pPr>
      <w:tabs>
        <w:tab w:val="center" w:pos="4153"/>
        <w:tab w:val="right" w:pos="8306"/>
      </w:tabs>
      <w:snapToGrid w:val="0"/>
      <w:jc w:val="left"/>
    </w:pPr>
    <w:rPr>
      <w:sz w:val="18"/>
    </w:rPr>
  </w:style>
  <w:style w:type="paragraph" w:styleId="a5">
    <w:name w:val="header"/>
    <w:basedOn w:val="a"/>
    <w:qFormat/>
    <w:rsid w:val="009540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954075"/>
    <w:pPr>
      <w:spacing w:beforeAutospacing="1" w:afterAutospacing="1"/>
      <w:jc w:val="left"/>
    </w:pPr>
    <w:rPr>
      <w:rFonts w:cs="Times New Roman"/>
      <w:kern w:val="0"/>
      <w:sz w:val="24"/>
    </w:rPr>
  </w:style>
  <w:style w:type="table" w:styleId="a7">
    <w:name w:val="Table Grid"/>
    <w:basedOn w:val="a1"/>
    <w:qFormat/>
    <w:rsid w:val="0095407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954075"/>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ydam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2018</Characters>
  <Application>Microsoft Office Word</Application>
  <DocSecurity>4</DocSecurity>
  <Lines>16</Lines>
  <Paragraphs>4</Paragraphs>
  <ScaleCrop>false</ScaleCrop>
  <Company>CNSTOCK</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2025-10-19T16:00:00Z</dcterms:created>
  <dcterms:modified xsi:type="dcterms:W3CDTF">2025-10-19T16:00:00Z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