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83" w:rsidRPr="0015441E" w:rsidRDefault="0015441E" w:rsidP="0015441E">
      <w:pPr>
        <w:jc w:val="center"/>
        <w:rPr>
          <w:b/>
          <w:sz w:val="36"/>
          <w:szCs w:val="36"/>
        </w:rPr>
      </w:pPr>
      <w:r w:rsidRPr="0015441E">
        <w:rPr>
          <w:rFonts w:hint="eastAsia"/>
          <w:b/>
          <w:sz w:val="36"/>
          <w:szCs w:val="36"/>
        </w:rPr>
        <w:t>睿远基金管理有限公司关于</w:t>
      </w:r>
      <w:r w:rsidR="0097774B" w:rsidRPr="0097774B">
        <w:rPr>
          <w:rFonts w:hint="eastAsia"/>
          <w:b/>
          <w:sz w:val="36"/>
          <w:szCs w:val="36"/>
        </w:rPr>
        <w:t>睿远成长价值混合型证券投资基金</w:t>
      </w:r>
      <w:r w:rsidRPr="0015441E">
        <w:rPr>
          <w:rFonts w:hint="eastAsia"/>
          <w:b/>
          <w:sz w:val="36"/>
          <w:szCs w:val="36"/>
        </w:rPr>
        <w:t>投资非公开发行股票的公告</w:t>
      </w:r>
    </w:p>
    <w:p w:rsidR="0015441E" w:rsidRDefault="0015441E" w:rsidP="0015441E">
      <w:pPr>
        <w:jc w:val="center"/>
        <w:rPr>
          <w:b/>
          <w:sz w:val="32"/>
          <w:szCs w:val="32"/>
        </w:rPr>
      </w:pPr>
    </w:p>
    <w:p w:rsidR="0086335B" w:rsidRPr="00903035" w:rsidRDefault="0015441E" w:rsidP="007E3A83">
      <w:pPr>
        <w:pStyle w:val="Default"/>
        <w:ind w:firstLineChars="200" w:firstLine="560"/>
        <w:jc w:val="both"/>
        <w:rPr>
          <w:sz w:val="28"/>
          <w:szCs w:val="28"/>
        </w:rPr>
      </w:pPr>
      <w:r w:rsidRPr="0015441E">
        <w:rPr>
          <w:rFonts w:hint="eastAsia"/>
          <w:sz w:val="28"/>
          <w:szCs w:val="28"/>
        </w:rPr>
        <w:t>睿远基金</w:t>
      </w:r>
      <w:r w:rsidRPr="0015441E">
        <w:rPr>
          <w:sz w:val="28"/>
          <w:szCs w:val="28"/>
        </w:rPr>
        <w:t xml:space="preserve">管理有限公司（以下简称 </w:t>
      </w:r>
      <w:r w:rsidRPr="0015441E">
        <w:rPr>
          <w:sz w:val="28"/>
          <w:szCs w:val="28"/>
        </w:rPr>
        <w:t>“</w:t>
      </w:r>
      <w:r w:rsidRPr="0015441E">
        <w:rPr>
          <w:sz w:val="28"/>
          <w:szCs w:val="28"/>
        </w:rPr>
        <w:t>本公司</w:t>
      </w:r>
      <w:r w:rsidRPr="0097774B">
        <w:rPr>
          <w:sz w:val="28"/>
          <w:szCs w:val="28"/>
        </w:rPr>
        <w:t>”</w:t>
      </w:r>
      <w:r w:rsidRPr="0097774B">
        <w:rPr>
          <w:sz w:val="28"/>
          <w:szCs w:val="28"/>
        </w:rPr>
        <w:t>）旗下</w:t>
      </w:r>
      <w:r w:rsidR="0097774B" w:rsidRPr="0097774B">
        <w:rPr>
          <w:rFonts w:hint="eastAsia"/>
          <w:sz w:val="28"/>
          <w:szCs w:val="28"/>
        </w:rPr>
        <w:t>睿远成长价值混合型证券投资基金</w:t>
      </w:r>
      <w:r w:rsidR="0097774B" w:rsidRPr="0015441E">
        <w:rPr>
          <w:sz w:val="28"/>
          <w:szCs w:val="28"/>
        </w:rPr>
        <w:t xml:space="preserve">（以下简称 </w:t>
      </w:r>
      <w:r w:rsidR="0097774B" w:rsidRPr="0015441E">
        <w:rPr>
          <w:sz w:val="28"/>
          <w:szCs w:val="28"/>
        </w:rPr>
        <w:t>“</w:t>
      </w:r>
      <w:r w:rsidR="0097774B">
        <w:rPr>
          <w:rFonts w:hint="eastAsia"/>
          <w:sz w:val="28"/>
          <w:szCs w:val="28"/>
        </w:rPr>
        <w:t>睿远</w:t>
      </w:r>
      <w:r w:rsidR="0097774B">
        <w:rPr>
          <w:sz w:val="28"/>
          <w:szCs w:val="28"/>
        </w:rPr>
        <w:t>成长价值混合</w:t>
      </w:r>
      <w:r w:rsidR="0097774B" w:rsidRPr="0097774B">
        <w:rPr>
          <w:sz w:val="28"/>
          <w:szCs w:val="28"/>
        </w:rPr>
        <w:t>”</w:t>
      </w:r>
      <w:r w:rsidR="0097774B" w:rsidRPr="0097774B">
        <w:rPr>
          <w:sz w:val="28"/>
          <w:szCs w:val="28"/>
        </w:rPr>
        <w:t>）</w:t>
      </w:r>
      <w:r w:rsidRPr="0097774B">
        <w:rPr>
          <w:rFonts w:hint="eastAsia"/>
          <w:sz w:val="28"/>
          <w:szCs w:val="28"/>
        </w:rPr>
        <w:t>参与</w:t>
      </w:r>
      <w:r w:rsidRPr="0097774B">
        <w:rPr>
          <w:sz w:val="28"/>
          <w:szCs w:val="28"/>
        </w:rPr>
        <w:t>了</w:t>
      </w:r>
      <w:r w:rsidR="007E3A83" w:rsidRPr="007E3A83">
        <w:rPr>
          <w:rFonts w:hint="eastAsia"/>
          <w:sz w:val="28"/>
          <w:szCs w:val="28"/>
        </w:rPr>
        <w:t>胜宏科技（惠州）股份有限公司（股票简称：胜宏科技，股票代码：300476.SZ）非公开发行股票的认购</w:t>
      </w:r>
      <w:r w:rsidRPr="0097774B">
        <w:rPr>
          <w:sz w:val="28"/>
          <w:szCs w:val="28"/>
        </w:rPr>
        <w:t>。</w:t>
      </w:r>
      <w:r w:rsidR="007E3A83" w:rsidRPr="007E3A83">
        <w:rPr>
          <w:rFonts w:hint="eastAsia"/>
          <w:sz w:val="28"/>
          <w:szCs w:val="28"/>
        </w:rPr>
        <w:t>胜宏科技（惠州）股份有限公司已发布了《胜宏科技胜宏科技(惠州)股份有限公司创业板向特定对象发行股票上市公告书》,公布了本次非公开发行结果。</w:t>
      </w:r>
      <w:r w:rsidRPr="0015441E">
        <w:rPr>
          <w:sz w:val="28"/>
          <w:szCs w:val="28"/>
        </w:rPr>
        <w:t>根据中国证监会《关于基金投资非公开发行股票等流通受限证券有关问题的通知》等有关规定，本公司现将</w:t>
      </w:r>
      <w:r w:rsidR="0097774B">
        <w:rPr>
          <w:rFonts w:hint="eastAsia"/>
          <w:sz w:val="28"/>
          <w:szCs w:val="28"/>
        </w:rPr>
        <w:t>睿远</w:t>
      </w:r>
      <w:r w:rsidR="0097774B">
        <w:rPr>
          <w:sz w:val="28"/>
          <w:szCs w:val="28"/>
        </w:rPr>
        <w:t>成长价值混合</w:t>
      </w:r>
      <w:r w:rsidRPr="0015441E">
        <w:rPr>
          <w:sz w:val="28"/>
          <w:szCs w:val="28"/>
        </w:rPr>
        <w:t>投资</w:t>
      </w:r>
      <w:r w:rsidR="007E3A83" w:rsidRPr="007E3A83">
        <w:rPr>
          <w:rFonts w:hint="eastAsia"/>
          <w:sz w:val="28"/>
          <w:szCs w:val="28"/>
        </w:rPr>
        <w:t>胜宏科技（惠州）股份有限公司</w:t>
      </w:r>
      <w:r w:rsidRPr="0015441E">
        <w:rPr>
          <w:sz w:val="28"/>
          <w:szCs w:val="28"/>
        </w:rPr>
        <w:t>的相关信息公告如下：</w:t>
      </w:r>
    </w:p>
    <w:p w:rsidR="00AF7026" w:rsidRDefault="00AF7026" w:rsidP="00AF7026">
      <w:pPr>
        <w:ind w:leftChars="-337" w:left="-708" w:rightChars="-364" w:right="-764"/>
        <w:jc w:val="left"/>
        <w:rPr>
          <w:sz w:val="28"/>
          <w:szCs w:val="28"/>
        </w:rPr>
      </w:pPr>
    </w:p>
    <w:tbl>
      <w:tblPr>
        <w:tblStyle w:val="a3"/>
        <w:tblW w:w="9498" w:type="dxa"/>
        <w:tblInd w:w="-572" w:type="dxa"/>
        <w:tblLook w:val="04A0"/>
      </w:tblPr>
      <w:tblGrid>
        <w:gridCol w:w="1115"/>
        <w:gridCol w:w="1321"/>
        <w:gridCol w:w="1893"/>
        <w:gridCol w:w="1058"/>
        <w:gridCol w:w="1885"/>
        <w:gridCol w:w="1058"/>
        <w:gridCol w:w="1168"/>
      </w:tblGrid>
      <w:tr w:rsidR="0086335B" w:rsidRPr="0086335B" w:rsidTr="0097774B">
        <w:tc>
          <w:tcPr>
            <w:tcW w:w="1357" w:type="dxa"/>
            <w:vAlign w:val="center"/>
          </w:tcPr>
          <w:p w:rsidR="0086335B" w:rsidRPr="00AF7026" w:rsidRDefault="0015441E" w:rsidP="009777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7026">
              <w:rPr>
                <w:rFonts w:ascii="仿宋" w:eastAsia="仿宋" w:hAnsi="仿宋" w:hint="eastAsia"/>
                <w:sz w:val="24"/>
                <w:szCs w:val="24"/>
              </w:rPr>
              <w:t>基金</w:t>
            </w:r>
          </w:p>
          <w:p w:rsidR="0015441E" w:rsidRPr="00AF7026" w:rsidRDefault="0015441E" w:rsidP="009777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7026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1409" w:type="dxa"/>
            <w:vAlign w:val="center"/>
          </w:tcPr>
          <w:p w:rsidR="0015441E" w:rsidRPr="00AF7026" w:rsidRDefault="0086335B" w:rsidP="009777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7026">
              <w:rPr>
                <w:rFonts w:ascii="仿宋" w:eastAsia="仿宋" w:hAnsi="仿宋" w:hint="eastAsia"/>
                <w:sz w:val="24"/>
                <w:szCs w:val="24"/>
              </w:rPr>
              <w:t>认购数量</w:t>
            </w:r>
          </w:p>
          <w:p w:rsidR="0086335B" w:rsidRPr="00AF7026" w:rsidRDefault="0086335B" w:rsidP="009777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7026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AF7026">
              <w:rPr>
                <w:rFonts w:ascii="仿宋" w:eastAsia="仿宋" w:hAnsi="仿宋" w:hint="eastAsia"/>
                <w:sz w:val="24"/>
                <w:szCs w:val="24"/>
              </w:rPr>
              <w:t>股）</w:t>
            </w:r>
          </w:p>
        </w:tc>
        <w:tc>
          <w:tcPr>
            <w:tcW w:w="1896" w:type="dxa"/>
            <w:vAlign w:val="center"/>
          </w:tcPr>
          <w:p w:rsidR="005F0492" w:rsidRDefault="005F0492" w:rsidP="009777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7774B" w:rsidRDefault="0086335B" w:rsidP="009777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7026">
              <w:rPr>
                <w:rFonts w:ascii="仿宋" w:eastAsia="仿宋" w:hAnsi="仿宋" w:hint="eastAsia"/>
                <w:sz w:val="24"/>
                <w:szCs w:val="24"/>
              </w:rPr>
              <w:t>总成本</w:t>
            </w:r>
          </w:p>
          <w:p w:rsidR="0015441E" w:rsidRPr="00AF7026" w:rsidRDefault="0086335B" w:rsidP="009777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7026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AF7026">
              <w:rPr>
                <w:rFonts w:ascii="仿宋" w:eastAsia="仿宋" w:hAnsi="仿宋" w:hint="eastAsia"/>
                <w:sz w:val="24"/>
                <w:szCs w:val="24"/>
              </w:rPr>
              <w:t>元）</w:t>
            </w:r>
          </w:p>
          <w:p w:rsidR="0086335B" w:rsidRPr="00AF7026" w:rsidRDefault="0086335B" w:rsidP="009777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15441E" w:rsidRPr="00AF7026" w:rsidRDefault="0086335B" w:rsidP="009777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7026">
              <w:rPr>
                <w:rFonts w:ascii="仿宋" w:eastAsia="仿宋" w:hAnsi="仿宋" w:hint="eastAsia"/>
                <w:sz w:val="24"/>
                <w:szCs w:val="24"/>
              </w:rPr>
              <w:t>总成本占基金资产净值比例（%）</w:t>
            </w:r>
          </w:p>
        </w:tc>
        <w:tc>
          <w:tcPr>
            <w:tcW w:w="1356" w:type="dxa"/>
            <w:vAlign w:val="center"/>
          </w:tcPr>
          <w:p w:rsidR="0015441E" w:rsidRDefault="0086335B" w:rsidP="009777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7026">
              <w:rPr>
                <w:rFonts w:ascii="仿宋" w:eastAsia="仿宋" w:hAnsi="仿宋" w:hint="eastAsia"/>
                <w:sz w:val="24"/>
                <w:szCs w:val="24"/>
              </w:rPr>
              <w:t>账面价值</w:t>
            </w:r>
          </w:p>
          <w:p w:rsidR="0097774B" w:rsidRPr="00AF7026" w:rsidRDefault="0097774B" w:rsidP="009777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（元）</w:t>
            </w:r>
          </w:p>
        </w:tc>
        <w:tc>
          <w:tcPr>
            <w:tcW w:w="1113" w:type="dxa"/>
            <w:vAlign w:val="center"/>
          </w:tcPr>
          <w:p w:rsidR="0015441E" w:rsidRPr="00AF7026" w:rsidRDefault="0086335B" w:rsidP="009777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7026">
              <w:rPr>
                <w:rFonts w:ascii="仿宋" w:eastAsia="仿宋" w:hAnsi="仿宋" w:hint="eastAsia"/>
                <w:sz w:val="24"/>
                <w:szCs w:val="24"/>
              </w:rPr>
              <w:t>账面价值占基金净资产比例</w:t>
            </w:r>
          </w:p>
          <w:p w:rsidR="0086335B" w:rsidRPr="00AF7026" w:rsidRDefault="0086335B" w:rsidP="009777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7026">
              <w:rPr>
                <w:rFonts w:ascii="仿宋" w:eastAsia="仿宋" w:hAnsi="仿宋"/>
                <w:sz w:val="24"/>
                <w:szCs w:val="24"/>
              </w:rPr>
              <w:t>（%）</w:t>
            </w:r>
          </w:p>
        </w:tc>
        <w:tc>
          <w:tcPr>
            <w:tcW w:w="1254" w:type="dxa"/>
            <w:vAlign w:val="center"/>
          </w:tcPr>
          <w:p w:rsidR="0015441E" w:rsidRPr="00AF7026" w:rsidRDefault="0086335B" w:rsidP="009777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7026">
              <w:rPr>
                <w:rFonts w:ascii="仿宋" w:eastAsia="仿宋" w:hAnsi="仿宋" w:hint="eastAsia"/>
                <w:sz w:val="24"/>
                <w:szCs w:val="24"/>
              </w:rPr>
              <w:t>限售期</w:t>
            </w:r>
          </w:p>
          <w:p w:rsidR="0086335B" w:rsidRPr="00AF7026" w:rsidRDefault="0086335B" w:rsidP="009777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7026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AF7026">
              <w:rPr>
                <w:rFonts w:ascii="仿宋" w:eastAsia="仿宋" w:hAnsi="仿宋" w:hint="eastAsia"/>
                <w:sz w:val="24"/>
                <w:szCs w:val="24"/>
              </w:rPr>
              <w:t>月）</w:t>
            </w:r>
          </w:p>
        </w:tc>
      </w:tr>
      <w:tr w:rsidR="0086335B" w:rsidTr="00935E78">
        <w:tc>
          <w:tcPr>
            <w:tcW w:w="1357" w:type="dxa"/>
            <w:vAlign w:val="center"/>
          </w:tcPr>
          <w:p w:rsidR="0015441E" w:rsidRPr="00AF7026" w:rsidRDefault="0086335B" w:rsidP="009D08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7026">
              <w:rPr>
                <w:rFonts w:ascii="仿宋" w:eastAsia="仿宋" w:hAnsi="仿宋" w:hint="eastAsia"/>
                <w:sz w:val="24"/>
                <w:szCs w:val="24"/>
              </w:rPr>
              <w:t>睿远成长价值混合</w:t>
            </w:r>
          </w:p>
        </w:tc>
        <w:tc>
          <w:tcPr>
            <w:tcW w:w="1409" w:type="dxa"/>
            <w:vAlign w:val="center"/>
          </w:tcPr>
          <w:p w:rsidR="0015441E" w:rsidRPr="0042620A" w:rsidRDefault="00284B9B" w:rsidP="009D08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84B9B">
              <w:rPr>
                <w:rFonts w:ascii="仿宋" w:eastAsia="仿宋" w:hAnsi="仿宋"/>
                <w:sz w:val="24"/>
                <w:szCs w:val="24"/>
              </w:rPr>
              <w:t>806,386</w:t>
            </w:r>
          </w:p>
        </w:tc>
        <w:tc>
          <w:tcPr>
            <w:tcW w:w="1896" w:type="dxa"/>
            <w:vAlign w:val="center"/>
          </w:tcPr>
          <w:p w:rsidR="0015441E" w:rsidRPr="0042620A" w:rsidRDefault="00284B9B" w:rsidP="009D08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84B9B">
              <w:rPr>
                <w:rFonts w:ascii="仿宋" w:eastAsia="仿宋" w:hAnsi="仿宋"/>
                <w:sz w:val="24"/>
                <w:szCs w:val="24"/>
              </w:rPr>
              <w:t>199,999,855.72</w:t>
            </w:r>
          </w:p>
        </w:tc>
        <w:tc>
          <w:tcPr>
            <w:tcW w:w="1113" w:type="dxa"/>
            <w:vAlign w:val="center"/>
          </w:tcPr>
          <w:p w:rsidR="0015441E" w:rsidRPr="00F24DAA" w:rsidRDefault="009D089B" w:rsidP="009D089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/>
                <w:sz w:val="24"/>
                <w:szCs w:val="24"/>
              </w:rPr>
              <w:t>.95</w:t>
            </w:r>
          </w:p>
        </w:tc>
        <w:tc>
          <w:tcPr>
            <w:tcW w:w="1356" w:type="dxa"/>
            <w:vAlign w:val="center"/>
          </w:tcPr>
          <w:p w:rsidR="009D089B" w:rsidRPr="00F24DAA" w:rsidRDefault="009D089B" w:rsidP="009D089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D089B" w:rsidRPr="009D089B" w:rsidRDefault="009D089B" w:rsidP="009D089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089B">
              <w:rPr>
                <w:rFonts w:ascii="仿宋" w:eastAsia="仿宋" w:hAnsi="仿宋" w:hint="eastAsia"/>
                <w:sz w:val="24"/>
                <w:szCs w:val="24"/>
              </w:rPr>
              <w:t>182,283,555.30</w:t>
            </w:r>
          </w:p>
          <w:p w:rsidR="0015441E" w:rsidRPr="00F24DAA" w:rsidRDefault="0015441E" w:rsidP="009D089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15441E" w:rsidRPr="00AF7026" w:rsidRDefault="009D089B" w:rsidP="009D089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/>
                <w:sz w:val="24"/>
                <w:szCs w:val="24"/>
              </w:rPr>
              <w:t>.87</w:t>
            </w:r>
          </w:p>
        </w:tc>
        <w:tc>
          <w:tcPr>
            <w:tcW w:w="1254" w:type="dxa"/>
            <w:vAlign w:val="center"/>
          </w:tcPr>
          <w:p w:rsidR="0015441E" w:rsidRPr="00AF7026" w:rsidRDefault="00903035" w:rsidP="009D08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</w:tr>
    </w:tbl>
    <w:p w:rsidR="0086335B" w:rsidRDefault="0086335B" w:rsidP="0015441E">
      <w:pPr>
        <w:jc w:val="left"/>
      </w:pPr>
    </w:p>
    <w:p w:rsidR="0015441E" w:rsidRDefault="0086335B" w:rsidP="0015441E">
      <w:pPr>
        <w:jc w:val="left"/>
      </w:pPr>
      <w:r w:rsidRPr="0086335B">
        <w:rPr>
          <w:rFonts w:hint="eastAsia"/>
        </w:rPr>
        <w:t>注：</w:t>
      </w:r>
      <w:r>
        <w:t>基金资产净值、账面价值为</w:t>
      </w:r>
      <w:r>
        <w:t xml:space="preserve"> 20</w:t>
      </w:r>
      <w:r w:rsidR="00903035">
        <w:rPr>
          <w:rFonts w:hint="eastAsia"/>
        </w:rPr>
        <w:t>2</w:t>
      </w:r>
      <w:r w:rsidR="00284B9B">
        <w:t>5</w:t>
      </w:r>
      <w:r>
        <w:t>年</w:t>
      </w:r>
      <w:r w:rsidR="0042620A">
        <w:t>1</w:t>
      </w:r>
      <w:r w:rsidR="00284B9B">
        <w:t>0</w:t>
      </w:r>
      <w:r>
        <w:t>月</w:t>
      </w:r>
      <w:r w:rsidR="00284B9B">
        <w:t>17</w:t>
      </w:r>
      <w:r>
        <w:t>日数据。</w:t>
      </w:r>
    </w:p>
    <w:p w:rsidR="0086335B" w:rsidRPr="00EC3998" w:rsidRDefault="0086335B" w:rsidP="0086335B">
      <w:pPr>
        <w:jc w:val="left"/>
      </w:pPr>
    </w:p>
    <w:p w:rsidR="0086335B" w:rsidRDefault="0086335B" w:rsidP="00607466">
      <w:pPr>
        <w:ind w:firstLineChars="200" w:firstLine="560"/>
        <w:jc w:val="left"/>
        <w:rPr>
          <w:sz w:val="28"/>
          <w:szCs w:val="28"/>
        </w:rPr>
      </w:pPr>
      <w:r w:rsidRPr="0086335B">
        <w:rPr>
          <w:rFonts w:hint="eastAsia"/>
          <w:sz w:val="28"/>
          <w:szCs w:val="28"/>
        </w:rPr>
        <w:t>特此公告。</w:t>
      </w:r>
      <w:bookmarkStart w:id="0" w:name="_GoBack"/>
      <w:bookmarkEnd w:id="0"/>
    </w:p>
    <w:p w:rsidR="0086335B" w:rsidRDefault="0086335B" w:rsidP="0086335B">
      <w:pPr>
        <w:jc w:val="left"/>
        <w:rPr>
          <w:sz w:val="28"/>
          <w:szCs w:val="28"/>
        </w:rPr>
      </w:pPr>
    </w:p>
    <w:p w:rsidR="006E35C3" w:rsidRDefault="006E35C3" w:rsidP="0086335B">
      <w:pPr>
        <w:jc w:val="left"/>
        <w:rPr>
          <w:sz w:val="28"/>
          <w:szCs w:val="28"/>
        </w:rPr>
      </w:pPr>
    </w:p>
    <w:p w:rsidR="0086335B" w:rsidRDefault="0086335B" w:rsidP="00607466">
      <w:pPr>
        <w:ind w:firstLineChars="200" w:firstLine="560"/>
        <w:rPr>
          <w:sz w:val="28"/>
          <w:szCs w:val="28"/>
        </w:rPr>
      </w:pPr>
      <w:r w:rsidRPr="0086335B">
        <w:rPr>
          <w:sz w:val="28"/>
          <w:szCs w:val="28"/>
        </w:rPr>
        <w:t>风险提示：本公司承诺以诚实信用、勤勉尽责的原则管理和运用基金资产，但不保证基金一定盈利，也不保证最低收益。敬请投资者注意投资风险。投资者投资上述基金前应认真阅读基金的基金合同、招募说明书等法律文件。</w:t>
      </w:r>
    </w:p>
    <w:p w:rsidR="00AF7026" w:rsidRDefault="00AF7026" w:rsidP="00AF7026">
      <w:pPr>
        <w:ind w:leftChars="-202" w:left="-424"/>
        <w:rPr>
          <w:sz w:val="28"/>
          <w:szCs w:val="28"/>
        </w:rPr>
      </w:pPr>
    </w:p>
    <w:p w:rsidR="00935E78" w:rsidRDefault="00935E78" w:rsidP="00AF7026">
      <w:pPr>
        <w:ind w:leftChars="-202" w:left="-424"/>
        <w:rPr>
          <w:sz w:val="28"/>
          <w:szCs w:val="28"/>
        </w:rPr>
      </w:pPr>
    </w:p>
    <w:p w:rsidR="00935E78" w:rsidRDefault="00935E78" w:rsidP="00AF7026">
      <w:pPr>
        <w:ind w:leftChars="-202" w:left="-424"/>
        <w:rPr>
          <w:sz w:val="28"/>
          <w:szCs w:val="28"/>
        </w:rPr>
      </w:pPr>
    </w:p>
    <w:p w:rsidR="00AF7026" w:rsidRPr="0086335B" w:rsidRDefault="00AF7026" w:rsidP="0042620A">
      <w:pPr>
        <w:ind w:leftChars="-202" w:left="5456" w:hangingChars="2100" w:hanging="58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="0042620A">
        <w:rPr>
          <w:sz w:val="28"/>
          <w:szCs w:val="28"/>
        </w:rPr>
        <w:t xml:space="preserve"> </w:t>
      </w:r>
      <w:r w:rsidRPr="00AF7026">
        <w:rPr>
          <w:sz w:val="28"/>
          <w:szCs w:val="28"/>
        </w:rPr>
        <w:t>睿远基金管理有限公司</w:t>
      </w:r>
      <w:r w:rsidRPr="00AF7026">
        <w:rPr>
          <w:rFonts w:hint="eastAsia"/>
          <w:sz w:val="28"/>
          <w:szCs w:val="28"/>
        </w:rPr>
        <w:br/>
      </w:r>
      <w:r w:rsidR="0042620A">
        <w:rPr>
          <w:rFonts w:hint="eastAsia"/>
          <w:sz w:val="28"/>
          <w:szCs w:val="28"/>
        </w:rPr>
        <w:t xml:space="preserve"> </w:t>
      </w:r>
      <w:r w:rsidRPr="00AF7026">
        <w:rPr>
          <w:sz w:val="28"/>
          <w:szCs w:val="28"/>
        </w:rPr>
        <w:t>20</w:t>
      </w:r>
      <w:r w:rsidR="00903035">
        <w:rPr>
          <w:rFonts w:hint="eastAsia"/>
          <w:sz w:val="28"/>
          <w:szCs w:val="28"/>
        </w:rPr>
        <w:t>2</w:t>
      </w:r>
      <w:r w:rsidR="00284B9B">
        <w:rPr>
          <w:sz w:val="28"/>
          <w:szCs w:val="28"/>
        </w:rPr>
        <w:t>5</w:t>
      </w:r>
      <w:r w:rsidRPr="00AF7026">
        <w:rPr>
          <w:sz w:val="28"/>
          <w:szCs w:val="28"/>
        </w:rPr>
        <w:t>年</w:t>
      </w:r>
      <w:r w:rsidRPr="00AF7026">
        <w:rPr>
          <w:sz w:val="28"/>
          <w:szCs w:val="28"/>
        </w:rPr>
        <w:t xml:space="preserve"> </w:t>
      </w:r>
      <w:r w:rsidR="0042620A">
        <w:rPr>
          <w:sz w:val="28"/>
          <w:szCs w:val="28"/>
        </w:rPr>
        <w:t>1</w:t>
      </w:r>
      <w:r w:rsidR="00284B9B">
        <w:rPr>
          <w:sz w:val="28"/>
          <w:szCs w:val="28"/>
        </w:rPr>
        <w:t>0</w:t>
      </w:r>
      <w:r w:rsidRPr="00AF7026">
        <w:rPr>
          <w:sz w:val="28"/>
          <w:szCs w:val="28"/>
        </w:rPr>
        <w:t xml:space="preserve"> </w:t>
      </w:r>
      <w:r w:rsidRPr="00AF7026">
        <w:rPr>
          <w:sz w:val="28"/>
          <w:szCs w:val="28"/>
        </w:rPr>
        <w:t>月</w:t>
      </w:r>
      <w:r w:rsidRPr="00AF7026">
        <w:rPr>
          <w:sz w:val="28"/>
          <w:szCs w:val="28"/>
        </w:rPr>
        <w:t xml:space="preserve"> </w:t>
      </w:r>
      <w:r w:rsidR="00284B9B">
        <w:rPr>
          <w:sz w:val="28"/>
          <w:szCs w:val="28"/>
        </w:rPr>
        <w:t>20</w:t>
      </w:r>
      <w:r w:rsidRPr="00AF7026">
        <w:rPr>
          <w:sz w:val="28"/>
          <w:szCs w:val="28"/>
        </w:rPr>
        <w:t xml:space="preserve"> </w:t>
      </w:r>
      <w:r w:rsidRPr="00AF7026">
        <w:rPr>
          <w:sz w:val="28"/>
          <w:szCs w:val="28"/>
        </w:rPr>
        <w:t>日</w:t>
      </w:r>
    </w:p>
    <w:sectPr w:rsidR="00AF7026" w:rsidRPr="0086335B" w:rsidSect="00440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EC9" w:rsidRDefault="00096EC9" w:rsidP="00096EC9">
      <w:r>
        <w:separator/>
      </w:r>
    </w:p>
  </w:endnote>
  <w:endnote w:type="continuationSeparator" w:id="0">
    <w:p w:rsidR="00096EC9" w:rsidRDefault="00096EC9" w:rsidP="00096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EC9" w:rsidRDefault="00096EC9" w:rsidP="00096EC9">
      <w:r>
        <w:separator/>
      </w:r>
    </w:p>
  </w:footnote>
  <w:footnote w:type="continuationSeparator" w:id="0">
    <w:p w:rsidR="00096EC9" w:rsidRDefault="00096EC9" w:rsidP="00096E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97C"/>
    <w:rsid w:val="00096EC9"/>
    <w:rsid w:val="00135C96"/>
    <w:rsid w:val="00137751"/>
    <w:rsid w:val="0015441E"/>
    <w:rsid w:val="001B5AF8"/>
    <w:rsid w:val="001E1CA4"/>
    <w:rsid w:val="002813C2"/>
    <w:rsid w:val="002822B5"/>
    <w:rsid w:val="00284B9B"/>
    <w:rsid w:val="0042620A"/>
    <w:rsid w:val="00440B24"/>
    <w:rsid w:val="004A0B82"/>
    <w:rsid w:val="004E79FC"/>
    <w:rsid w:val="005F0492"/>
    <w:rsid w:val="00607466"/>
    <w:rsid w:val="006E35C3"/>
    <w:rsid w:val="007E3A83"/>
    <w:rsid w:val="0081697C"/>
    <w:rsid w:val="00842C0E"/>
    <w:rsid w:val="0086335B"/>
    <w:rsid w:val="00903035"/>
    <w:rsid w:val="00935E78"/>
    <w:rsid w:val="0097774B"/>
    <w:rsid w:val="009D089B"/>
    <w:rsid w:val="00A9304B"/>
    <w:rsid w:val="00AF7026"/>
    <w:rsid w:val="00BA662A"/>
    <w:rsid w:val="00C50554"/>
    <w:rsid w:val="00C70DFD"/>
    <w:rsid w:val="00D10561"/>
    <w:rsid w:val="00D51FCE"/>
    <w:rsid w:val="00D76290"/>
    <w:rsid w:val="00DC6283"/>
    <w:rsid w:val="00EC3998"/>
    <w:rsid w:val="00F24DAA"/>
    <w:rsid w:val="00F54595"/>
    <w:rsid w:val="00F911BF"/>
    <w:rsid w:val="00FE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B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6335B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90303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96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6E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6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6EC9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E35C3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6E35C3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6E35C3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6E35C3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6E35C3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6E35C3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E35C3"/>
    <w:rPr>
      <w:sz w:val="18"/>
      <w:szCs w:val="18"/>
    </w:rPr>
  </w:style>
  <w:style w:type="character" w:styleId="aa">
    <w:name w:val="Strong"/>
    <w:basedOn w:val="a0"/>
    <w:uiPriority w:val="22"/>
    <w:qFormat/>
    <w:rsid w:val="00FE51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D9591-4DF1-4B82-AD4B-5740BD2A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557</Characters>
  <Application>Microsoft Office Word</Application>
  <DocSecurity>4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丁鑫</dc:creator>
  <cp:keywords/>
  <dc:description/>
  <cp:lastModifiedBy>ZHONGM</cp:lastModifiedBy>
  <cp:revision>2</cp:revision>
  <dcterms:created xsi:type="dcterms:W3CDTF">2025-10-19T16:01:00Z</dcterms:created>
  <dcterms:modified xsi:type="dcterms:W3CDTF">2025-10-19T16:01:00Z</dcterms:modified>
</cp:coreProperties>
</file>