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jc w:val="center"/>
        <w:rPr>
          <w:rFonts w:ascii="宋体" w:hAnsi="宋体"/>
          <w:b/>
          <w:sz w:val="48"/>
          <w:szCs w:val="48"/>
        </w:rPr>
      </w:pPr>
      <w:bookmarkStart w:id="0" w:name="t_3_0_table"/>
      <w:bookmarkStart w:id="1" w:name="t_3_0_0002_a2_fm1"/>
      <w:bookmarkEnd w:id="0"/>
      <w:bookmarkEnd w:id="1"/>
      <w:r>
        <w:rPr>
          <w:rFonts w:ascii="宋体" w:hAnsi="宋体" w:hint="eastAsia"/>
          <w:b/>
          <w:sz w:val="48"/>
          <w:szCs w:val="48"/>
        </w:rPr>
        <w:t>关于调整南方中证同业存单AAA指数7天持有期证券投资基金申购</w:t>
      </w:r>
      <w:r w:rsidR="00EC7F7B">
        <w:rPr>
          <w:rFonts w:ascii="宋体" w:hAnsi="宋体" w:hint="eastAsia"/>
          <w:b/>
          <w:sz w:val="48"/>
          <w:szCs w:val="48"/>
        </w:rPr>
        <w:t>、</w:t>
      </w:r>
      <w:r>
        <w:rPr>
          <w:rFonts w:ascii="宋体" w:hAnsi="宋体" w:hint="eastAsia"/>
          <w:b/>
          <w:sz w:val="48"/>
          <w:szCs w:val="48"/>
        </w:rPr>
        <w:t>定投</w:t>
      </w:r>
      <w:r w:rsidR="00EC7F7B">
        <w:rPr>
          <w:rFonts w:ascii="宋体" w:hAnsi="宋体" w:hint="eastAsia"/>
          <w:b/>
          <w:sz w:val="48"/>
          <w:szCs w:val="48"/>
        </w:rPr>
        <w:t>和转换转入</w:t>
      </w:r>
      <w:r>
        <w:rPr>
          <w:rFonts w:ascii="宋体" w:hAnsi="宋体" w:hint="eastAsia"/>
          <w:b/>
          <w:sz w:val="48"/>
          <w:szCs w:val="48"/>
        </w:rPr>
        <w:t>金额限制的公告</w:t>
      </w: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ind w:left="2098"/>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AD09FC">
        <w:rPr>
          <w:rFonts w:ascii="宋体" w:hAnsi="宋体"/>
          <w:b/>
          <w:sz w:val="28"/>
          <w:szCs w:val="28"/>
        </w:rPr>
        <w:t>2025</w:t>
      </w:r>
      <w:r>
        <w:rPr>
          <w:rFonts w:ascii="宋体" w:hAnsi="宋体"/>
          <w:b/>
          <w:sz w:val="28"/>
          <w:szCs w:val="28"/>
        </w:rPr>
        <w:t>年</w:t>
      </w:r>
      <w:r w:rsidR="00AD09FC">
        <w:rPr>
          <w:rFonts w:ascii="宋体" w:hAnsi="宋体"/>
          <w:b/>
          <w:sz w:val="28"/>
          <w:szCs w:val="28"/>
        </w:rPr>
        <w:t>10</w:t>
      </w:r>
      <w:r>
        <w:rPr>
          <w:rFonts w:ascii="宋体" w:hAnsi="宋体"/>
          <w:b/>
          <w:sz w:val="28"/>
          <w:szCs w:val="28"/>
        </w:rPr>
        <w:t>月</w:t>
      </w:r>
      <w:r w:rsidR="00AD09FC">
        <w:rPr>
          <w:rFonts w:ascii="宋体" w:hAnsi="宋体"/>
          <w:b/>
          <w:sz w:val="28"/>
          <w:szCs w:val="28"/>
        </w:rPr>
        <w:t>20</w:t>
      </w:r>
      <w:r>
        <w:rPr>
          <w:rFonts w:ascii="宋体" w:hAnsi="宋体"/>
          <w:b/>
          <w:sz w:val="28"/>
          <w:szCs w:val="28"/>
        </w:rPr>
        <w:t>日</w:t>
      </w: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pStyle w:val="2"/>
        <w:rPr>
          <w:rFonts w:ascii="宋体" w:hAnsi="宋体"/>
          <w:szCs w:val="21"/>
        </w:rPr>
      </w:pPr>
      <w:r>
        <w:rPr>
          <w:rFonts w:ascii="宋体" w:eastAsia="宋体" w:hAnsi="宋体" w:hint="eastAsia"/>
          <w:sz w:val="24"/>
        </w:rPr>
        <w:lastRenderedPageBreak/>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126"/>
        <w:gridCol w:w="5245"/>
      </w:tblGrid>
      <w:tr w:rsidR="000C2FD9">
        <w:trPr>
          <w:jc w:val="center"/>
        </w:trPr>
        <w:tc>
          <w:tcPr>
            <w:tcW w:w="3397" w:type="dxa"/>
            <w:gridSpan w:val="2"/>
            <w:vAlign w:val="center"/>
          </w:tcPr>
          <w:p w:rsidR="000C2FD9" w:rsidRDefault="00C877A2">
            <w:pPr>
              <w:spacing w:before="100" w:beforeAutospacing="1" w:after="100" w:afterAutospacing="1"/>
              <w:rPr>
                <w:kern w:val="0"/>
                <w:sz w:val="24"/>
              </w:rPr>
            </w:pPr>
            <w:r>
              <w:rPr>
                <w:rFonts w:hint="eastAsia"/>
              </w:rPr>
              <w:t>基金名称</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基金简称</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基金代码</w:t>
            </w:r>
          </w:p>
        </w:tc>
        <w:tc>
          <w:tcPr>
            <w:tcW w:w="5245" w:type="dxa"/>
            <w:vAlign w:val="center"/>
          </w:tcPr>
          <w:p w:rsidR="000C2FD9" w:rsidRDefault="00C877A2">
            <w:pPr>
              <w:spacing w:before="100" w:beforeAutospacing="1" w:after="100" w:afterAutospacing="1"/>
              <w:rPr>
                <w:rFonts w:ascii="宋体" w:hAnsi="宋体"/>
              </w:rPr>
            </w:pPr>
            <w:r>
              <w:rPr>
                <w:rFonts w:ascii="宋体" w:hAnsi="宋体"/>
              </w:rPr>
              <w:t>014430</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基金管理人名称</w:t>
            </w:r>
          </w:p>
        </w:tc>
        <w:tc>
          <w:tcPr>
            <w:tcW w:w="5245" w:type="dxa"/>
            <w:vAlign w:val="center"/>
          </w:tcPr>
          <w:p w:rsidR="000C2FD9" w:rsidRDefault="00C877A2">
            <w:pPr>
              <w:spacing w:before="100" w:beforeAutospacing="1" w:after="100" w:afterAutospacing="1"/>
            </w:pPr>
            <w:r>
              <w:rPr>
                <w:rFonts w:hint="eastAsia"/>
              </w:rPr>
              <w:t>南方基金管理股份有限公司</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公告依据</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天持有期证券投资基金基金合同》、</w:t>
            </w:r>
            <w:r>
              <w:rPr>
                <w:rFonts w:ascii="宋体" w:hAnsi="宋体" w:hint="eastAsia"/>
              </w:rPr>
              <w:t>《南方中证同业存单AAA指数7天持有期证券投资基金招募说明书》</w:t>
            </w:r>
            <w:r>
              <w:rPr>
                <w:rFonts w:ascii="宋体" w:hAnsi="宋体" w:hint="eastAsia"/>
                <w:szCs w:val="21"/>
              </w:rPr>
              <w:t>及其更新等</w:t>
            </w:r>
          </w:p>
        </w:tc>
      </w:tr>
      <w:tr w:rsidR="000C2FD9">
        <w:trPr>
          <w:jc w:val="center"/>
        </w:trPr>
        <w:tc>
          <w:tcPr>
            <w:tcW w:w="1271" w:type="dxa"/>
            <w:vMerge w:val="restart"/>
            <w:vAlign w:val="center"/>
          </w:tcPr>
          <w:p w:rsidR="000C2FD9" w:rsidRDefault="00C877A2">
            <w:pPr>
              <w:rPr>
                <w:rFonts w:ascii="宋体" w:hAnsi="宋体"/>
                <w:szCs w:val="21"/>
              </w:rPr>
            </w:pPr>
            <w:r>
              <w:rPr>
                <w:rFonts w:ascii="宋体" w:hAnsi="宋体" w:hint="eastAsia"/>
                <w:szCs w:val="21"/>
              </w:rPr>
              <w:t>暂停相关业务的起始日及原因说明</w:t>
            </w:r>
          </w:p>
        </w:tc>
        <w:tc>
          <w:tcPr>
            <w:tcW w:w="2126" w:type="dxa"/>
          </w:tcPr>
          <w:p w:rsidR="000C2FD9" w:rsidRDefault="00C877A2">
            <w:pPr>
              <w:rPr>
                <w:rFonts w:ascii="宋体" w:hAnsi="宋体"/>
                <w:szCs w:val="21"/>
              </w:rPr>
            </w:pPr>
            <w:r>
              <w:rPr>
                <w:rFonts w:ascii="宋体" w:hAnsi="宋体" w:hint="eastAsia"/>
                <w:szCs w:val="21"/>
              </w:rPr>
              <w:t>暂停大额申购起始日</w:t>
            </w:r>
          </w:p>
        </w:tc>
        <w:tc>
          <w:tcPr>
            <w:tcW w:w="5245" w:type="dxa"/>
          </w:tcPr>
          <w:p w:rsidR="000C2FD9" w:rsidRDefault="00AD09FC" w:rsidP="00AD09FC">
            <w:pPr>
              <w:rPr>
                <w:rFonts w:ascii="宋体" w:hAnsi="宋体"/>
                <w:szCs w:val="21"/>
              </w:rPr>
            </w:pPr>
            <w:r>
              <w:rPr>
                <w:rFonts w:ascii="宋体" w:hAnsi="宋体" w:hint="eastAsia"/>
                <w:szCs w:val="21"/>
              </w:rPr>
              <w:t>20</w:t>
            </w:r>
            <w:r>
              <w:rPr>
                <w:rFonts w:ascii="宋体" w:hAnsi="宋体"/>
                <w:szCs w:val="21"/>
              </w:rPr>
              <w:t>25</w:t>
            </w:r>
            <w:r w:rsidR="00C877A2">
              <w:rPr>
                <w:rFonts w:ascii="宋体" w:hAnsi="宋体" w:hint="eastAsia"/>
                <w:szCs w:val="21"/>
              </w:rPr>
              <w:t>年</w:t>
            </w:r>
            <w:r>
              <w:rPr>
                <w:rFonts w:ascii="宋体" w:hAnsi="宋体"/>
                <w:szCs w:val="21"/>
              </w:rPr>
              <w:t>10</w:t>
            </w:r>
            <w:r w:rsidR="00C877A2">
              <w:rPr>
                <w:rFonts w:ascii="宋体" w:hAnsi="宋体" w:hint="eastAsia"/>
                <w:szCs w:val="21"/>
              </w:rPr>
              <w:t>月</w:t>
            </w:r>
            <w:r>
              <w:rPr>
                <w:rFonts w:ascii="宋体" w:hAnsi="宋体"/>
                <w:szCs w:val="21"/>
              </w:rPr>
              <w:t>20</w:t>
            </w:r>
            <w:r w:rsidR="00C877A2">
              <w:rPr>
                <w:rFonts w:ascii="宋体" w:hAnsi="宋体" w:hint="eastAsia"/>
                <w:szCs w:val="21"/>
              </w:rPr>
              <w:t>日</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暂停大额定投起始日</w:t>
            </w:r>
          </w:p>
        </w:tc>
        <w:tc>
          <w:tcPr>
            <w:tcW w:w="5245" w:type="dxa"/>
          </w:tcPr>
          <w:p w:rsidR="000C2FD9" w:rsidRDefault="00AD09FC">
            <w:pPr>
              <w:rPr>
                <w:rFonts w:ascii="宋体" w:hAnsi="宋体"/>
                <w:szCs w:val="21"/>
              </w:rPr>
            </w:pPr>
            <w:r>
              <w:rPr>
                <w:rFonts w:ascii="宋体" w:hAnsi="宋体" w:hint="eastAsia"/>
                <w:szCs w:val="21"/>
              </w:rPr>
              <w:t>20</w:t>
            </w:r>
            <w:r>
              <w:rPr>
                <w:rFonts w:ascii="宋体" w:hAnsi="宋体"/>
                <w:szCs w:val="21"/>
              </w:rPr>
              <w:t>25</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20</w:t>
            </w:r>
            <w:r>
              <w:rPr>
                <w:rFonts w:ascii="宋体" w:hAnsi="宋体" w:hint="eastAsia"/>
                <w:szCs w:val="21"/>
              </w:rPr>
              <w:t>日</w:t>
            </w:r>
          </w:p>
        </w:tc>
      </w:tr>
      <w:tr w:rsidR="00EC7F7B">
        <w:trPr>
          <w:jc w:val="center"/>
        </w:trPr>
        <w:tc>
          <w:tcPr>
            <w:tcW w:w="1271" w:type="dxa"/>
            <w:vMerge/>
            <w:vAlign w:val="center"/>
          </w:tcPr>
          <w:p w:rsidR="00EC7F7B" w:rsidRDefault="00EC7F7B">
            <w:pPr>
              <w:rPr>
                <w:rFonts w:ascii="宋体" w:hAnsi="宋体"/>
                <w:szCs w:val="21"/>
              </w:rPr>
            </w:pPr>
          </w:p>
        </w:tc>
        <w:tc>
          <w:tcPr>
            <w:tcW w:w="2126" w:type="dxa"/>
          </w:tcPr>
          <w:p w:rsidR="00EC7F7B" w:rsidRDefault="00EC7F7B">
            <w:pPr>
              <w:rPr>
                <w:rFonts w:ascii="宋体" w:hAnsi="宋体"/>
                <w:szCs w:val="21"/>
              </w:rPr>
            </w:pPr>
            <w:r>
              <w:rPr>
                <w:rFonts w:ascii="宋体" w:hAnsi="宋体" w:hint="eastAsia"/>
                <w:szCs w:val="21"/>
              </w:rPr>
              <w:t>暂停大额转换转入起始日</w:t>
            </w:r>
          </w:p>
        </w:tc>
        <w:tc>
          <w:tcPr>
            <w:tcW w:w="5245" w:type="dxa"/>
          </w:tcPr>
          <w:p w:rsidR="00EC7F7B" w:rsidRDefault="00AD09FC">
            <w:pPr>
              <w:rPr>
                <w:rFonts w:ascii="宋体" w:hAnsi="宋体"/>
                <w:szCs w:val="21"/>
              </w:rPr>
            </w:pPr>
            <w:r>
              <w:rPr>
                <w:rFonts w:ascii="宋体" w:hAnsi="宋体" w:hint="eastAsia"/>
                <w:szCs w:val="21"/>
              </w:rPr>
              <w:t>20</w:t>
            </w:r>
            <w:r>
              <w:rPr>
                <w:rFonts w:ascii="宋体" w:hAnsi="宋体"/>
                <w:szCs w:val="21"/>
              </w:rPr>
              <w:t>25</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20</w:t>
            </w:r>
            <w:r>
              <w:rPr>
                <w:rFonts w:ascii="宋体" w:hAnsi="宋体" w:hint="eastAsia"/>
                <w:szCs w:val="21"/>
              </w:rPr>
              <w:t>日</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hint="eastAsia"/>
              </w:rPr>
              <w:t>限制申购金额</w:t>
            </w:r>
          </w:p>
        </w:tc>
        <w:tc>
          <w:tcPr>
            <w:tcW w:w="5245" w:type="dxa"/>
          </w:tcPr>
          <w:p w:rsidR="000C2FD9" w:rsidRDefault="00AD09FC">
            <w:pPr>
              <w:rPr>
                <w:rFonts w:ascii="宋体" w:hAnsi="宋体"/>
                <w:szCs w:val="21"/>
              </w:rPr>
            </w:pPr>
            <w:r>
              <w:rPr>
                <w:rFonts w:ascii="宋体" w:hAnsi="宋体"/>
                <w:szCs w:val="21"/>
              </w:rPr>
              <w:t>100</w:t>
            </w:r>
            <w:r w:rsidR="00C877A2">
              <w:rPr>
                <w:rFonts w:ascii="宋体" w:hAnsi="宋体" w:hint="eastAsia"/>
                <w:szCs w:val="21"/>
              </w:rPr>
              <w:t>万元</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限制定投金额</w:t>
            </w:r>
          </w:p>
        </w:tc>
        <w:tc>
          <w:tcPr>
            <w:tcW w:w="5245" w:type="dxa"/>
          </w:tcPr>
          <w:p w:rsidR="000C2FD9" w:rsidRDefault="00AD09FC">
            <w:pPr>
              <w:rPr>
                <w:rFonts w:ascii="宋体" w:hAnsi="宋体"/>
                <w:szCs w:val="21"/>
              </w:rPr>
            </w:pPr>
            <w:r>
              <w:rPr>
                <w:rFonts w:ascii="宋体" w:hAnsi="宋体"/>
                <w:szCs w:val="21"/>
              </w:rPr>
              <w:t>100</w:t>
            </w:r>
            <w:r w:rsidR="00C877A2">
              <w:rPr>
                <w:rFonts w:ascii="宋体" w:hAnsi="宋体" w:hint="eastAsia"/>
                <w:szCs w:val="21"/>
              </w:rPr>
              <w:t>万元</w:t>
            </w:r>
          </w:p>
        </w:tc>
      </w:tr>
      <w:tr w:rsidR="00041DBF">
        <w:trPr>
          <w:jc w:val="center"/>
        </w:trPr>
        <w:tc>
          <w:tcPr>
            <w:tcW w:w="1271" w:type="dxa"/>
            <w:vMerge/>
            <w:vAlign w:val="center"/>
          </w:tcPr>
          <w:p w:rsidR="00041DBF" w:rsidRDefault="00041DBF">
            <w:pPr>
              <w:rPr>
                <w:rFonts w:ascii="宋体" w:hAnsi="宋体"/>
                <w:szCs w:val="21"/>
              </w:rPr>
            </w:pPr>
          </w:p>
        </w:tc>
        <w:tc>
          <w:tcPr>
            <w:tcW w:w="2126" w:type="dxa"/>
          </w:tcPr>
          <w:p w:rsidR="00041DBF" w:rsidRDefault="00041DBF">
            <w:pPr>
              <w:rPr>
                <w:rFonts w:ascii="宋体" w:hAnsi="宋体"/>
                <w:szCs w:val="21"/>
              </w:rPr>
            </w:pPr>
            <w:r>
              <w:rPr>
                <w:rFonts w:ascii="宋体" w:hAnsi="宋体" w:hint="eastAsia"/>
                <w:szCs w:val="21"/>
              </w:rPr>
              <w:t>限制转换转入金额</w:t>
            </w:r>
          </w:p>
        </w:tc>
        <w:tc>
          <w:tcPr>
            <w:tcW w:w="5245" w:type="dxa"/>
          </w:tcPr>
          <w:p w:rsidR="00041DBF" w:rsidRDefault="00AD09FC">
            <w:pPr>
              <w:rPr>
                <w:rFonts w:ascii="宋体" w:hAnsi="宋体"/>
                <w:szCs w:val="21"/>
              </w:rPr>
            </w:pPr>
            <w:r>
              <w:rPr>
                <w:rFonts w:ascii="宋体" w:hAnsi="宋体"/>
                <w:szCs w:val="21"/>
              </w:rPr>
              <w:t>100</w:t>
            </w:r>
            <w:r w:rsidR="00041DBF">
              <w:rPr>
                <w:rFonts w:ascii="宋体" w:hAnsi="宋体" w:hint="eastAsia"/>
                <w:szCs w:val="21"/>
              </w:rPr>
              <w:t>万元</w:t>
            </w:r>
          </w:p>
        </w:tc>
      </w:tr>
      <w:tr w:rsidR="000C2FD9">
        <w:trPr>
          <w:jc w:val="center"/>
        </w:trPr>
        <w:tc>
          <w:tcPr>
            <w:tcW w:w="1271" w:type="dxa"/>
            <w:vMerge/>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暂停原因说明</w:t>
            </w:r>
          </w:p>
        </w:tc>
        <w:tc>
          <w:tcPr>
            <w:tcW w:w="5245" w:type="dxa"/>
          </w:tcPr>
          <w:p w:rsidR="000C2FD9" w:rsidRDefault="00C877A2" w:rsidP="00AD09FC">
            <w:pPr>
              <w:jc w:val="left"/>
              <w:rPr>
                <w:rFonts w:ascii="宋体" w:hAnsi="宋体"/>
                <w:szCs w:val="21"/>
              </w:rPr>
            </w:pPr>
            <w:r>
              <w:rPr>
                <w:rFonts w:ascii="宋体" w:hAnsi="宋体" w:hint="eastAsia"/>
                <w:szCs w:val="21"/>
              </w:rPr>
              <w:t>保护基金份额持有人的利益</w:t>
            </w:r>
          </w:p>
        </w:tc>
      </w:tr>
    </w:tbl>
    <w:p w:rsidR="000C2FD9" w:rsidRDefault="00C877A2">
      <w:pPr>
        <w:spacing w:line="360" w:lineRule="auto"/>
        <w:jc w:val="left"/>
        <w:rPr>
          <w:rFonts w:ascii="宋体" w:hAnsi="宋体"/>
          <w:szCs w:val="21"/>
        </w:rPr>
      </w:pPr>
      <w:r>
        <w:rPr>
          <w:rFonts w:ascii="宋体" w:hAnsi="宋体" w:hint="eastAsia"/>
          <w:szCs w:val="21"/>
        </w:rPr>
        <w:t>注：公募资产管理产品的申请不适用上述金额限制</w:t>
      </w:r>
      <w:r w:rsidR="00517925">
        <w:rPr>
          <w:rFonts w:ascii="宋体" w:hAnsi="宋体" w:hint="eastAsia"/>
          <w:szCs w:val="21"/>
        </w:rPr>
        <w:t>。</w:t>
      </w:r>
    </w:p>
    <w:p w:rsidR="000C2FD9" w:rsidRDefault="000C2FD9">
      <w:pPr>
        <w:spacing w:line="360" w:lineRule="auto"/>
        <w:jc w:val="left"/>
        <w:rPr>
          <w:rFonts w:ascii="宋体" w:hAnsi="宋体"/>
          <w:szCs w:val="21"/>
        </w:rPr>
      </w:pPr>
    </w:p>
    <w:p w:rsidR="000C2FD9" w:rsidRDefault="00C877A2" w:rsidP="00FE039A">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5" w:name="t_3_2_table"/>
      <w:bookmarkEnd w:id="5"/>
      <w:r>
        <w:rPr>
          <w:rFonts w:ascii="宋体" w:eastAsia="宋体" w:hAnsi="宋体" w:hint="eastAsia"/>
          <w:sz w:val="24"/>
        </w:rPr>
        <w:t>其他需要提示的事项</w:t>
      </w:r>
    </w:p>
    <w:p w:rsidR="000C2FD9" w:rsidRDefault="00C877A2" w:rsidP="006B48C2">
      <w:pPr>
        <w:spacing w:line="384" w:lineRule="auto"/>
        <w:ind w:firstLineChars="200" w:firstLine="420"/>
        <w:jc w:val="left"/>
        <w:rPr>
          <w:rFonts w:ascii="宋体" w:hAnsi="宋体"/>
          <w:szCs w:val="21"/>
        </w:rPr>
      </w:pPr>
      <w:bookmarkStart w:id="6" w:name="t_3_2_2646_a1_fm1"/>
      <w:bookmarkEnd w:id="6"/>
      <w:r>
        <w:rPr>
          <w:rFonts w:ascii="宋体" w:hAnsi="宋体" w:hint="eastAsia"/>
          <w:szCs w:val="21"/>
        </w:rPr>
        <w:t>（1）自</w:t>
      </w:r>
      <w:r w:rsidR="00AD09FC">
        <w:rPr>
          <w:rFonts w:ascii="宋体" w:hAnsi="宋体" w:hint="eastAsia"/>
          <w:szCs w:val="21"/>
        </w:rPr>
        <w:t>20</w:t>
      </w:r>
      <w:r w:rsidR="00AD09FC">
        <w:rPr>
          <w:rFonts w:ascii="宋体" w:hAnsi="宋体"/>
          <w:szCs w:val="21"/>
        </w:rPr>
        <w:t>25</w:t>
      </w:r>
      <w:r w:rsidR="00AD09FC">
        <w:rPr>
          <w:rFonts w:ascii="宋体" w:hAnsi="宋体" w:hint="eastAsia"/>
          <w:szCs w:val="21"/>
        </w:rPr>
        <w:t>年</w:t>
      </w:r>
      <w:r w:rsidR="00AD09FC">
        <w:rPr>
          <w:rFonts w:ascii="宋体" w:hAnsi="宋体"/>
          <w:szCs w:val="21"/>
        </w:rPr>
        <w:t>10</w:t>
      </w:r>
      <w:r w:rsidR="00AD09FC">
        <w:rPr>
          <w:rFonts w:ascii="宋体" w:hAnsi="宋体" w:hint="eastAsia"/>
          <w:szCs w:val="21"/>
        </w:rPr>
        <w:t>月</w:t>
      </w:r>
      <w:r w:rsidR="00AD09FC">
        <w:rPr>
          <w:rFonts w:ascii="宋体" w:hAnsi="宋体"/>
          <w:szCs w:val="21"/>
        </w:rPr>
        <w:t>20</w:t>
      </w:r>
      <w:r w:rsidR="00AD09FC">
        <w:rPr>
          <w:rFonts w:ascii="宋体" w:hAnsi="宋体" w:hint="eastAsia"/>
          <w:szCs w:val="21"/>
        </w:rPr>
        <w:t>日</w:t>
      </w:r>
      <w:r>
        <w:rPr>
          <w:rFonts w:ascii="宋体" w:hAnsi="宋体" w:hint="eastAsia"/>
          <w:szCs w:val="21"/>
        </w:rPr>
        <w:t>起，本基金的申购</w:t>
      </w:r>
      <w:r w:rsidR="009265C6">
        <w:rPr>
          <w:rFonts w:ascii="宋体" w:hAnsi="宋体" w:hint="eastAsia"/>
          <w:szCs w:val="21"/>
        </w:rPr>
        <w:t>、</w:t>
      </w:r>
      <w:r>
        <w:rPr>
          <w:rFonts w:ascii="宋体" w:hAnsi="宋体" w:hint="eastAsia"/>
          <w:szCs w:val="21"/>
        </w:rPr>
        <w:t>定投</w:t>
      </w:r>
      <w:r w:rsidR="009265C6">
        <w:rPr>
          <w:rFonts w:ascii="宋体" w:hAnsi="宋体" w:hint="eastAsia"/>
          <w:szCs w:val="21"/>
        </w:rPr>
        <w:t>和转换转入</w:t>
      </w:r>
      <w:r>
        <w:rPr>
          <w:rFonts w:ascii="宋体" w:hAnsi="宋体" w:hint="eastAsia"/>
          <w:szCs w:val="21"/>
        </w:rPr>
        <w:t>限额安排由“</w:t>
      </w:r>
      <w:r w:rsidR="00D93B46" w:rsidRPr="00D93B46">
        <w:rPr>
          <w:rFonts w:ascii="宋体" w:hAnsi="宋体" w:hint="eastAsia"/>
          <w:szCs w:val="21"/>
        </w:rPr>
        <w:t>单日每个基金账户累计申购本基金不超过</w:t>
      </w:r>
      <w:r w:rsidR="009265C6">
        <w:rPr>
          <w:rFonts w:ascii="宋体" w:hAnsi="宋体"/>
          <w:szCs w:val="21"/>
        </w:rPr>
        <w:t>1000</w:t>
      </w:r>
      <w:r w:rsidR="00D93B46" w:rsidRPr="00D93B46">
        <w:rPr>
          <w:rFonts w:ascii="宋体" w:hAnsi="宋体" w:hint="eastAsia"/>
          <w:szCs w:val="21"/>
        </w:rPr>
        <w:t>万元（申购</w:t>
      </w:r>
      <w:r w:rsidR="009265C6">
        <w:rPr>
          <w:rFonts w:ascii="宋体" w:hAnsi="宋体" w:hint="eastAsia"/>
          <w:szCs w:val="21"/>
        </w:rPr>
        <w:t>、</w:t>
      </w:r>
      <w:r w:rsidR="00D93B46" w:rsidRPr="00D93B46">
        <w:rPr>
          <w:rFonts w:ascii="宋体" w:hAnsi="宋体" w:hint="eastAsia"/>
          <w:szCs w:val="21"/>
        </w:rPr>
        <w:t>定投</w:t>
      </w:r>
      <w:r w:rsidR="009265C6">
        <w:rPr>
          <w:rFonts w:ascii="宋体" w:hAnsi="宋体" w:hint="eastAsia"/>
          <w:szCs w:val="21"/>
        </w:rPr>
        <w:t>和转换转入</w:t>
      </w:r>
      <w:r w:rsidR="00D93B46" w:rsidRPr="00D93B46">
        <w:rPr>
          <w:rFonts w:ascii="宋体" w:hAnsi="宋体" w:hint="eastAsia"/>
          <w:szCs w:val="21"/>
        </w:rPr>
        <w:t>的申请金额合并计算）</w:t>
      </w:r>
      <w:r>
        <w:rPr>
          <w:rFonts w:ascii="宋体" w:hAnsi="宋体" w:hint="eastAsia"/>
          <w:szCs w:val="21"/>
        </w:rPr>
        <w:t>”调整为</w:t>
      </w:r>
      <w:r>
        <w:rPr>
          <w:rFonts w:ascii="宋体" w:hAnsi="宋体"/>
          <w:szCs w:val="21"/>
        </w:rPr>
        <w:t>“</w:t>
      </w:r>
      <w:r w:rsidR="009369CC" w:rsidRPr="009369CC">
        <w:rPr>
          <w:rFonts w:ascii="宋体" w:hAnsi="宋体" w:hint="eastAsia"/>
          <w:szCs w:val="21"/>
        </w:rPr>
        <w:t>单日每个基金账户累计申购本基金不超过</w:t>
      </w:r>
      <w:r w:rsidR="009265C6">
        <w:rPr>
          <w:rFonts w:ascii="宋体" w:hAnsi="宋体"/>
          <w:szCs w:val="21"/>
        </w:rPr>
        <w:t>100</w:t>
      </w:r>
      <w:r w:rsidR="009369CC" w:rsidRPr="009369CC">
        <w:rPr>
          <w:rFonts w:ascii="宋体" w:hAnsi="宋体" w:hint="eastAsia"/>
          <w:szCs w:val="21"/>
        </w:rPr>
        <w:t>万元（申购</w:t>
      </w:r>
      <w:r w:rsidR="009265C6">
        <w:rPr>
          <w:rFonts w:ascii="宋体" w:hAnsi="宋体" w:hint="eastAsia"/>
          <w:szCs w:val="21"/>
        </w:rPr>
        <w:t>、</w:t>
      </w:r>
      <w:r w:rsidR="009369CC" w:rsidRPr="009369CC">
        <w:rPr>
          <w:rFonts w:ascii="宋体" w:hAnsi="宋体" w:hint="eastAsia"/>
          <w:szCs w:val="21"/>
        </w:rPr>
        <w:t>定投</w:t>
      </w:r>
      <w:r w:rsidR="009265C6">
        <w:rPr>
          <w:rFonts w:ascii="宋体" w:hAnsi="宋体" w:hint="eastAsia"/>
          <w:szCs w:val="21"/>
        </w:rPr>
        <w:t>和转换转入</w:t>
      </w:r>
      <w:r w:rsidR="009369CC" w:rsidRPr="009369CC">
        <w:rPr>
          <w:rFonts w:ascii="宋体" w:hAnsi="宋体" w:hint="eastAsia"/>
          <w:szCs w:val="21"/>
        </w:rPr>
        <w:t>的申请金额合并计算）</w:t>
      </w:r>
      <w:r>
        <w:rPr>
          <w:rFonts w:ascii="宋体" w:hAnsi="宋体"/>
          <w:szCs w:val="21"/>
        </w:rPr>
        <w:t>”</w:t>
      </w:r>
      <w:r w:rsidR="00993A47">
        <w:rPr>
          <w:rFonts w:ascii="宋体" w:hAnsi="宋体" w:hint="eastAsia"/>
          <w:szCs w:val="21"/>
        </w:rPr>
        <w:t>，</w:t>
      </w:r>
      <w:bookmarkStart w:id="7" w:name="_GoBack"/>
      <w:bookmarkEnd w:id="7"/>
      <w:r w:rsidR="00993A47" w:rsidRPr="00993A47">
        <w:rPr>
          <w:rFonts w:ascii="宋体" w:hAnsi="宋体" w:hint="eastAsia"/>
          <w:szCs w:val="21"/>
        </w:rPr>
        <w:t>公募资产管理产品的申请不适用上述金额限制。</w:t>
      </w:r>
      <w:r w:rsidR="00451DAA">
        <w:rPr>
          <w:rFonts w:ascii="宋体" w:hAnsi="宋体" w:hint="eastAsia"/>
          <w:szCs w:val="21"/>
        </w:rPr>
        <w:t>对于</w:t>
      </w:r>
      <w:r>
        <w:rPr>
          <w:rFonts w:ascii="宋体" w:hAnsi="宋体"/>
          <w:szCs w:val="21"/>
        </w:rPr>
        <w:t>不符合上述限额要求的申请</w:t>
      </w:r>
      <w:r w:rsidR="00451DAA">
        <w:rPr>
          <w:rFonts w:ascii="宋体" w:hAnsi="宋体" w:hint="eastAsia"/>
          <w:szCs w:val="21"/>
        </w:rPr>
        <w:t>，本</w:t>
      </w:r>
      <w:r w:rsidR="00451DAA">
        <w:rPr>
          <w:rFonts w:ascii="宋体" w:hAnsi="宋体"/>
          <w:szCs w:val="21"/>
        </w:rPr>
        <w:t>基金管理人</w:t>
      </w:r>
      <w:r w:rsidR="00451DAA">
        <w:rPr>
          <w:rFonts w:ascii="宋体" w:hAnsi="宋体" w:hint="eastAsia"/>
          <w:szCs w:val="21"/>
        </w:rPr>
        <w:t>有权全部拒绝</w:t>
      </w:r>
      <w:r w:rsidR="00451DAA">
        <w:rPr>
          <w:rFonts w:ascii="宋体" w:hAnsi="宋体"/>
          <w:szCs w:val="21"/>
        </w:rPr>
        <w:t>或</w:t>
      </w:r>
      <w:r w:rsidR="006B48C2">
        <w:rPr>
          <w:rFonts w:ascii="宋体" w:hAnsi="宋体" w:hint="eastAsia"/>
          <w:szCs w:val="21"/>
        </w:rPr>
        <w:t>予以</w:t>
      </w:r>
      <w:r w:rsidR="00451DAA">
        <w:rPr>
          <w:rFonts w:ascii="宋体" w:hAnsi="宋体"/>
          <w:szCs w:val="21"/>
        </w:rPr>
        <w:t>部分确认</w:t>
      </w:r>
      <w:r>
        <w:rPr>
          <w:rFonts w:ascii="宋体" w:hAnsi="宋体"/>
          <w:szCs w:val="21"/>
        </w:rPr>
        <w:t>。</w:t>
      </w:r>
    </w:p>
    <w:p w:rsidR="000C2FD9" w:rsidRDefault="00C877A2" w:rsidP="006B48C2">
      <w:pPr>
        <w:spacing w:line="384" w:lineRule="auto"/>
        <w:ind w:firstLineChars="200" w:firstLine="420"/>
        <w:jc w:val="left"/>
        <w:rPr>
          <w:rFonts w:ascii="宋体" w:hAnsi="宋体"/>
          <w:szCs w:val="21"/>
        </w:rPr>
      </w:pPr>
      <w:r>
        <w:rPr>
          <w:rFonts w:ascii="宋体" w:hAnsi="宋体" w:hint="eastAsia"/>
          <w:szCs w:val="21"/>
        </w:rPr>
        <w:t>（2）</w:t>
      </w:r>
      <w:r>
        <w:rPr>
          <w:rFonts w:ascii="宋体" w:hAnsi="宋体"/>
          <w:szCs w:val="21"/>
        </w:rPr>
        <w:t>在本基金限制大额</w:t>
      </w:r>
      <w:r>
        <w:rPr>
          <w:rFonts w:ascii="宋体" w:hAnsi="宋体" w:hint="eastAsia"/>
          <w:szCs w:val="21"/>
        </w:rPr>
        <w:t>申购</w:t>
      </w:r>
      <w:r w:rsidR="009265C6">
        <w:rPr>
          <w:rFonts w:ascii="宋体" w:hAnsi="宋体" w:hint="eastAsia"/>
          <w:szCs w:val="21"/>
        </w:rPr>
        <w:t>、</w:t>
      </w:r>
      <w:r>
        <w:rPr>
          <w:rFonts w:ascii="宋体" w:hAnsi="宋体" w:hint="eastAsia"/>
          <w:szCs w:val="21"/>
        </w:rPr>
        <w:t>定投</w:t>
      </w:r>
      <w:r w:rsidR="009265C6">
        <w:rPr>
          <w:rFonts w:ascii="宋体" w:hAnsi="宋体" w:hint="eastAsia"/>
          <w:szCs w:val="21"/>
        </w:rPr>
        <w:t>和转换转入</w:t>
      </w:r>
      <w:r>
        <w:rPr>
          <w:rFonts w:ascii="宋体" w:hAnsi="宋体"/>
          <w:szCs w:val="21"/>
        </w:rPr>
        <w:t>业务期间，</w:t>
      </w:r>
      <w:r>
        <w:rPr>
          <w:rFonts w:ascii="宋体" w:hAnsi="宋体" w:hint="eastAsia"/>
          <w:szCs w:val="21"/>
        </w:rPr>
        <w:t>其他</w:t>
      </w:r>
      <w:r>
        <w:rPr>
          <w:rFonts w:ascii="宋体" w:hAnsi="宋体"/>
          <w:szCs w:val="21"/>
        </w:rPr>
        <w:t>业务</w:t>
      </w:r>
      <w:r>
        <w:rPr>
          <w:rFonts w:ascii="宋体" w:hAnsi="宋体" w:hint="eastAsia"/>
          <w:szCs w:val="21"/>
        </w:rPr>
        <w:t>照常</w:t>
      </w:r>
      <w:r>
        <w:rPr>
          <w:rFonts w:ascii="宋体" w:hAnsi="宋体"/>
          <w:szCs w:val="21"/>
        </w:rPr>
        <w:t>办理。</w:t>
      </w:r>
      <w:r>
        <w:rPr>
          <w:rFonts w:ascii="宋体" w:hAnsi="宋体" w:hint="eastAsia"/>
          <w:szCs w:val="21"/>
        </w:rPr>
        <w:t>本基金申购、赎回、定投和转换转出业务的其他具体规则请见本基金管理人于2022年1月17日发布的《南方中证同业存单AAA指数7天持有期证券投资基金开放申购、赎回和定投业务的公告》和2022年</w:t>
      </w:r>
      <w:r>
        <w:rPr>
          <w:rFonts w:ascii="宋体" w:hAnsi="宋体"/>
          <w:szCs w:val="21"/>
        </w:rPr>
        <w:t>2</w:t>
      </w:r>
      <w:r>
        <w:rPr>
          <w:rFonts w:ascii="宋体" w:hAnsi="宋体" w:hint="eastAsia"/>
          <w:szCs w:val="21"/>
        </w:rPr>
        <w:t>月</w:t>
      </w:r>
      <w:r>
        <w:rPr>
          <w:rFonts w:ascii="宋体" w:hAnsi="宋体"/>
          <w:szCs w:val="21"/>
        </w:rPr>
        <w:t>10</w:t>
      </w:r>
      <w:r>
        <w:rPr>
          <w:rFonts w:ascii="宋体" w:hAnsi="宋体" w:hint="eastAsia"/>
          <w:szCs w:val="21"/>
        </w:rPr>
        <w:t>日发布的《南方中证同业存单AAA指数7天持有期证券投资基金开放转换转出业务的公告》</w:t>
      </w:r>
      <w:r w:rsidR="009265C6">
        <w:rPr>
          <w:rFonts w:ascii="宋体" w:hAnsi="宋体" w:hint="eastAsia"/>
          <w:szCs w:val="21"/>
        </w:rPr>
        <w:t>、</w:t>
      </w:r>
      <w:r>
        <w:rPr>
          <w:rFonts w:ascii="宋体" w:hAnsi="宋体" w:hint="eastAsia"/>
          <w:szCs w:val="21"/>
        </w:rPr>
        <w:t>2022年</w:t>
      </w:r>
      <w:r w:rsidR="00F62B65">
        <w:rPr>
          <w:rFonts w:ascii="宋体" w:hAnsi="宋体" w:hint="eastAsia"/>
          <w:szCs w:val="21"/>
        </w:rPr>
        <w:t>4</w:t>
      </w:r>
      <w:r>
        <w:rPr>
          <w:rFonts w:ascii="宋体" w:hAnsi="宋体" w:hint="eastAsia"/>
          <w:szCs w:val="21"/>
        </w:rPr>
        <w:t>月</w:t>
      </w:r>
      <w:r w:rsidR="00F62B65">
        <w:rPr>
          <w:rFonts w:ascii="宋体" w:hAnsi="宋体" w:hint="eastAsia"/>
          <w:szCs w:val="21"/>
        </w:rPr>
        <w:t>30</w:t>
      </w:r>
      <w:r>
        <w:rPr>
          <w:rFonts w:ascii="宋体" w:hAnsi="宋体" w:hint="eastAsia"/>
          <w:szCs w:val="21"/>
        </w:rPr>
        <w:t>日发布的《关于南方中证同业存单AAA指数7天持有期证券投资基金调整规模控制方案的公告》</w:t>
      </w:r>
      <w:r w:rsidR="009265C6">
        <w:rPr>
          <w:rFonts w:ascii="宋体" w:hAnsi="宋体" w:hint="eastAsia"/>
          <w:szCs w:val="21"/>
        </w:rPr>
        <w:t>、2</w:t>
      </w:r>
      <w:r w:rsidR="009265C6">
        <w:rPr>
          <w:rFonts w:ascii="宋体" w:hAnsi="宋体"/>
          <w:szCs w:val="21"/>
        </w:rPr>
        <w:t>023</w:t>
      </w:r>
      <w:r w:rsidR="009265C6">
        <w:rPr>
          <w:rFonts w:ascii="宋体" w:hAnsi="宋体" w:hint="eastAsia"/>
          <w:szCs w:val="21"/>
        </w:rPr>
        <w:t>年1</w:t>
      </w:r>
      <w:r w:rsidR="009265C6">
        <w:rPr>
          <w:rFonts w:ascii="宋体" w:hAnsi="宋体"/>
          <w:szCs w:val="21"/>
        </w:rPr>
        <w:t>0</w:t>
      </w:r>
      <w:r w:rsidR="009265C6">
        <w:rPr>
          <w:rFonts w:ascii="宋体" w:hAnsi="宋体" w:hint="eastAsia"/>
          <w:szCs w:val="21"/>
        </w:rPr>
        <w:t>月1</w:t>
      </w:r>
      <w:r w:rsidR="009265C6">
        <w:rPr>
          <w:rFonts w:ascii="宋体" w:hAnsi="宋体"/>
          <w:szCs w:val="21"/>
        </w:rPr>
        <w:t>4</w:t>
      </w:r>
      <w:r w:rsidR="009265C6">
        <w:rPr>
          <w:rFonts w:ascii="宋体" w:hAnsi="宋体" w:hint="eastAsia"/>
          <w:szCs w:val="21"/>
        </w:rPr>
        <w:t>日发布的《</w:t>
      </w:r>
      <w:r w:rsidR="009265C6" w:rsidRPr="00066019">
        <w:rPr>
          <w:rFonts w:ascii="宋体" w:hAnsi="宋体" w:hint="eastAsia"/>
          <w:szCs w:val="21"/>
        </w:rPr>
        <w:t>南方中证同业存单AAA指数7天持有期证券投资基金开放转换转入业务的公告</w:t>
      </w:r>
      <w:r w:rsidR="009265C6">
        <w:rPr>
          <w:rFonts w:ascii="宋体" w:hAnsi="宋体" w:hint="eastAsia"/>
          <w:szCs w:val="21"/>
        </w:rPr>
        <w:t>》以及后续发布的相关公告</w:t>
      </w:r>
      <w:r>
        <w:rPr>
          <w:rFonts w:ascii="宋体" w:hAnsi="宋体" w:hint="eastAsia"/>
          <w:szCs w:val="21"/>
        </w:rPr>
        <w:t>，相关规则以最新公告内容为准。敬请投资者关注上述公告规定的相关事宜，包括各销售机构的销售对象、单一投资者单日申购金额上限、本基金的基金资产净值上限等，并请投资者在购买本基金基金份额前充分考虑可能存在的相关风</w:t>
      </w:r>
      <w:r>
        <w:rPr>
          <w:rFonts w:ascii="宋体" w:hAnsi="宋体" w:hint="eastAsia"/>
          <w:szCs w:val="21"/>
        </w:rPr>
        <w:lastRenderedPageBreak/>
        <w:t>险。</w:t>
      </w:r>
    </w:p>
    <w:p w:rsidR="000C2FD9" w:rsidRDefault="00C877A2" w:rsidP="006B48C2">
      <w:pPr>
        <w:spacing w:line="384" w:lineRule="auto"/>
        <w:ind w:firstLineChars="200" w:firstLine="420"/>
        <w:jc w:val="left"/>
        <w:rPr>
          <w:rFonts w:ascii="宋体" w:hAnsi="宋体"/>
          <w:szCs w:val="21"/>
        </w:rPr>
      </w:pPr>
      <w:r>
        <w:rPr>
          <w:rFonts w:ascii="宋体" w:hAnsi="宋体" w:hint="eastAsia"/>
          <w:szCs w:val="21"/>
        </w:rPr>
        <w:t>（3）</w:t>
      </w:r>
      <w:r>
        <w:rPr>
          <w:rFonts w:ascii="宋体" w:hAnsi="宋体"/>
          <w:szCs w:val="21"/>
        </w:rPr>
        <w:t>本基金</w:t>
      </w:r>
      <w:r>
        <w:rPr>
          <w:rFonts w:ascii="宋体" w:hAnsi="宋体" w:hint="eastAsia"/>
          <w:szCs w:val="21"/>
        </w:rPr>
        <w:t>的</w:t>
      </w:r>
      <w:r>
        <w:rPr>
          <w:rFonts w:ascii="宋体" w:hAnsi="宋体"/>
          <w:szCs w:val="21"/>
        </w:rPr>
        <w:t>限额安排后续如有调整，请以</w:t>
      </w:r>
      <w:r>
        <w:rPr>
          <w:rFonts w:ascii="宋体" w:hAnsi="宋体" w:hint="eastAsia"/>
          <w:szCs w:val="21"/>
        </w:rPr>
        <w:t>本</w:t>
      </w:r>
      <w:r>
        <w:rPr>
          <w:rFonts w:ascii="宋体" w:hAnsi="宋体"/>
          <w:szCs w:val="21"/>
        </w:rPr>
        <w:t>基金管理人最新公告为准。</w:t>
      </w:r>
    </w:p>
    <w:p w:rsidR="00993A47" w:rsidRDefault="00C877A2" w:rsidP="006B48C2">
      <w:pPr>
        <w:spacing w:line="384" w:lineRule="auto"/>
        <w:ind w:firstLineChars="200" w:firstLine="420"/>
        <w:jc w:val="left"/>
        <w:rPr>
          <w:rFonts w:ascii="宋体" w:hAnsi="宋体"/>
          <w:szCs w:val="21"/>
        </w:rPr>
      </w:pPr>
      <w:r>
        <w:rPr>
          <w:rFonts w:ascii="宋体" w:hAnsi="宋体" w:hint="eastAsia"/>
          <w:szCs w:val="21"/>
        </w:rPr>
        <w:t>（4）</w:t>
      </w:r>
      <w:r w:rsidR="00993A47" w:rsidRPr="00993A47">
        <w:rPr>
          <w:rFonts w:ascii="宋体" w:hAnsi="宋体" w:hint="eastAsia"/>
          <w:szCs w:val="21"/>
        </w:rPr>
        <w:t>根据基金合同规定</w:t>
      </w:r>
      <w:r w:rsidR="00993A47">
        <w:rPr>
          <w:rFonts w:ascii="宋体" w:hAnsi="宋体" w:hint="eastAsia"/>
          <w:szCs w:val="21"/>
        </w:rPr>
        <w:t>，发生下列情况时，基金管理人可拒绝或暂停接受投资人的申购申请：</w:t>
      </w:r>
      <w:r w:rsidR="00993A47" w:rsidRPr="00993A47">
        <w:rPr>
          <w:rFonts w:ascii="宋体" w:hAnsi="宋体" w:hint="eastAsia"/>
          <w:szCs w:val="21"/>
        </w:rPr>
        <w:t>1）接</w:t>
      </w:r>
      <w:r w:rsidR="00993A47">
        <w:rPr>
          <w:rFonts w:ascii="宋体" w:hAnsi="宋体" w:hint="eastAsia"/>
          <w:szCs w:val="21"/>
        </w:rPr>
        <w:t>受某笔或某些申购申请可能会影响或损害现有基金份额持有人利益时；</w:t>
      </w:r>
      <w:r w:rsidR="00993A47" w:rsidRPr="00993A47">
        <w:rPr>
          <w:rFonts w:ascii="宋体" w:hAnsi="宋体" w:hint="eastAsia"/>
          <w:szCs w:val="21"/>
        </w:rPr>
        <w:t>2）若一笔新的申购申请被确认成功，使本基金总规模超过基金管理人规定的本基金总规模上限时；或该投资者累计持有的份额超过单个投资者累计持有的份额上限时；或该投资者当日申购金额超过单个投资者当日申购金额上限时。</w:t>
      </w:r>
    </w:p>
    <w:p w:rsidR="000C2FD9" w:rsidRDefault="00993A47" w:rsidP="006B48C2">
      <w:pPr>
        <w:spacing w:line="384" w:lineRule="auto"/>
        <w:ind w:firstLineChars="200" w:firstLine="420"/>
        <w:jc w:val="left"/>
        <w:rPr>
          <w:rFonts w:ascii="宋体" w:hAnsi="宋体"/>
          <w:szCs w:val="21"/>
        </w:rPr>
      </w:pPr>
      <w:r>
        <w:rPr>
          <w:rFonts w:ascii="宋体" w:hAnsi="宋体" w:hint="eastAsia"/>
          <w:szCs w:val="21"/>
        </w:rPr>
        <w:t>（5）</w:t>
      </w:r>
      <w:r w:rsidR="00C877A2">
        <w:rPr>
          <w:rFonts w:ascii="宋体" w:hAnsi="宋体"/>
          <w:szCs w:val="21"/>
        </w:rPr>
        <w:t>投资</w:t>
      </w:r>
      <w:r w:rsidR="00C877A2">
        <w:rPr>
          <w:rFonts w:ascii="宋体" w:hAnsi="宋体" w:hint="eastAsia"/>
          <w:szCs w:val="21"/>
        </w:rPr>
        <w:t>人</w:t>
      </w:r>
      <w:r w:rsidR="00C877A2">
        <w:rPr>
          <w:rFonts w:ascii="宋体" w:hAnsi="宋体"/>
          <w:szCs w:val="21"/>
        </w:rPr>
        <w:t>可访问</w:t>
      </w:r>
      <w:r w:rsidR="00C877A2">
        <w:rPr>
          <w:rFonts w:ascii="宋体" w:hAnsi="宋体" w:hint="eastAsia"/>
          <w:szCs w:val="21"/>
        </w:rPr>
        <w:t>本</w:t>
      </w:r>
      <w:r w:rsidR="00C877A2">
        <w:rPr>
          <w:rFonts w:ascii="宋体" w:hAnsi="宋体"/>
          <w:szCs w:val="21"/>
        </w:rPr>
        <w:t>基金管理人网站(www.nffund.com)或拨打客户服务电话（400－889－8899）咨询相关情况。</w:t>
      </w:r>
    </w:p>
    <w:p w:rsidR="000C2FD9" w:rsidRDefault="000C2FD9">
      <w:pPr>
        <w:spacing w:line="360" w:lineRule="auto"/>
        <w:ind w:left="525"/>
        <w:jc w:val="left"/>
        <w:rPr>
          <w:rFonts w:ascii="宋体" w:hAnsi="宋体"/>
          <w:szCs w:val="21"/>
        </w:rPr>
      </w:pPr>
    </w:p>
    <w:p w:rsidR="000C2FD9" w:rsidRDefault="00C877A2">
      <w:pPr>
        <w:spacing w:line="360" w:lineRule="auto"/>
        <w:jc w:val="right"/>
        <w:rPr>
          <w:rFonts w:ascii="宋体" w:hAnsi="宋体"/>
          <w:szCs w:val="21"/>
        </w:rPr>
      </w:pPr>
      <w:r>
        <w:rPr>
          <w:rFonts w:ascii="宋体" w:hAnsi="宋体" w:hint="eastAsia"/>
          <w:szCs w:val="21"/>
        </w:rPr>
        <w:t>南方基金管理股份有限公司</w:t>
      </w:r>
    </w:p>
    <w:p w:rsidR="000C2FD9" w:rsidRDefault="00C877A2">
      <w:pPr>
        <w:spacing w:line="360" w:lineRule="auto"/>
        <w:ind w:left="525"/>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sidR="00AD09FC">
        <w:rPr>
          <w:rFonts w:ascii="宋体" w:hAnsi="宋体" w:hint="eastAsia"/>
          <w:szCs w:val="21"/>
        </w:rPr>
        <w:t>20</w:t>
      </w:r>
      <w:r w:rsidR="00AD09FC">
        <w:rPr>
          <w:rFonts w:ascii="宋体" w:hAnsi="宋体"/>
          <w:szCs w:val="21"/>
        </w:rPr>
        <w:t>25</w:t>
      </w:r>
      <w:r w:rsidR="00AD09FC">
        <w:rPr>
          <w:rFonts w:ascii="宋体" w:hAnsi="宋体" w:hint="eastAsia"/>
          <w:szCs w:val="21"/>
        </w:rPr>
        <w:t>年</w:t>
      </w:r>
      <w:r w:rsidR="00AD09FC">
        <w:rPr>
          <w:rFonts w:ascii="宋体" w:hAnsi="宋体"/>
          <w:szCs w:val="21"/>
        </w:rPr>
        <w:t>10</w:t>
      </w:r>
      <w:r w:rsidR="00AD09FC">
        <w:rPr>
          <w:rFonts w:ascii="宋体" w:hAnsi="宋体" w:hint="eastAsia"/>
          <w:szCs w:val="21"/>
        </w:rPr>
        <w:t>月</w:t>
      </w:r>
      <w:r w:rsidR="00AD09FC">
        <w:rPr>
          <w:rFonts w:ascii="宋体" w:hAnsi="宋体"/>
          <w:szCs w:val="21"/>
        </w:rPr>
        <w:t>20</w:t>
      </w:r>
      <w:r w:rsidR="00AD09FC">
        <w:rPr>
          <w:rFonts w:ascii="宋体" w:hAnsi="宋体" w:hint="eastAsia"/>
          <w:szCs w:val="21"/>
        </w:rPr>
        <w:t>日</w:t>
      </w:r>
    </w:p>
    <w:p w:rsidR="000C2FD9" w:rsidRDefault="00C877A2">
      <w:pPr>
        <w:spacing w:line="360" w:lineRule="auto"/>
        <w:ind w:left="525"/>
        <w:jc w:val="left"/>
        <w:rPr>
          <w:rFonts w:ascii="宋体" w:hAnsi="宋体"/>
          <w:szCs w:val="21"/>
        </w:rPr>
      </w:pPr>
      <w:r>
        <w:rPr>
          <w:rFonts w:ascii="宋体" w:hAnsi="宋体" w:hint="eastAsia"/>
          <w:szCs w:val="21"/>
        </w:rPr>
        <w:t xml:space="preserve">                                                   </w:t>
      </w:r>
    </w:p>
    <w:sectPr w:rsidR="000C2FD9" w:rsidSect="00367C60">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A2B" w:rsidRDefault="00282A2B">
      <w:r>
        <w:separator/>
      </w:r>
    </w:p>
  </w:endnote>
  <w:endnote w:type="continuationSeparator" w:id="0">
    <w:p w:rsidR="00282A2B" w:rsidRDefault="00282A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D9" w:rsidRDefault="00C877A2">
    <w:pPr>
      <w:pStyle w:val="a6"/>
      <w:jc w:val="right"/>
    </w:pPr>
    <w:r>
      <w:rPr>
        <w:rFonts w:hint="eastAsia"/>
      </w:rPr>
      <w:t>第</w:t>
    </w:r>
    <w:r>
      <w:rPr>
        <w:rFonts w:hint="eastAsia"/>
      </w:rPr>
      <w:t xml:space="preserve"> </w:t>
    </w:r>
    <w:r w:rsidR="00367C60">
      <w:fldChar w:fldCharType="begin"/>
    </w:r>
    <w:r>
      <w:instrText xml:space="preserve"> PAGE   \* MERGEFORMAT </w:instrText>
    </w:r>
    <w:r w:rsidR="00367C60">
      <w:fldChar w:fldCharType="separate"/>
    </w:r>
    <w:r w:rsidR="00FE039A">
      <w:rPr>
        <w:noProof/>
      </w:rPr>
      <w:t>1</w:t>
    </w:r>
    <w:r w:rsidR="00367C60">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E039A">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A2B" w:rsidRDefault="00282A2B">
      <w:r>
        <w:separator/>
      </w:r>
    </w:p>
  </w:footnote>
  <w:footnote w:type="continuationSeparator" w:id="0">
    <w:p w:rsidR="00282A2B" w:rsidRDefault="00282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D9" w:rsidRDefault="000C2FD9">
    <w:pPr>
      <w:pStyle w:val="a7"/>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2FC5"/>
    <w:rsid w:val="00041DBF"/>
    <w:rsid w:val="0004215C"/>
    <w:rsid w:val="00054215"/>
    <w:rsid w:val="00067437"/>
    <w:rsid w:val="000931C8"/>
    <w:rsid w:val="000A06CA"/>
    <w:rsid w:val="000A496C"/>
    <w:rsid w:val="000B0AE2"/>
    <w:rsid w:val="000B6641"/>
    <w:rsid w:val="000C110C"/>
    <w:rsid w:val="000C2FD9"/>
    <w:rsid w:val="000C5413"/>
    <w:rsid w:val="000D2A75"/>
    <w:rsid w:val="000F1954"/>
    <w:rsid w:val="00102B5B"/>
    <w:rsid w:val="00103A28"/>
    <w:rsid w:val="00111B9D"/>
    <w:rsid w:val="00113EA6"/>
    <w:rsid w:val="00122313"/>
    <w:rsid w:val="00124909"/>
    <w:rsid w:val="0013351B"/>
    <w:rsid w:val="001357A5"/>
    <w:rsid w:val="001364ED"/>
    <w:rsid w:val="001370FF"/>
    <w:rsid w:val="0014620E"/>
    <w:rsid w:val="00151412"/>
    <w:rsid w:val="001672C5"/>
    <w:rsid w:val="00172A27"/>
    <w:rsid w:val="00173F7C"/>
    <w:rsid w:val="00175D7C"/>
    <w:rsid w:val="00180FB4"/>
    <w:rsid w:val="00185D48"/>
    <w:rsid w:val="00185F53"/>
    <w:rsid w:val="00195B67"/>
    <w:rsid w:val="001C6348"/>
    <w:rsid w:val="001D370A"/>
    <w:rsid w:val="001D473B"/>
    <w:rsid w:val="001E00F2"/>
    <w:rsid w:val="001E369E"/>
    <w:rsid w:val="001E429A"/>
    <w:rsid w:val="001E7404"/>
    <w:rsid w:val="00212CC6"/>
    <w:rsid w:val="002254EC"/>
    <w:rsid w:val="00227378"/>
    <w:rsid w:val="002279C1"/>
    <w:rsid w:val="00233BD8"/>
    <w:rsid w:val="00252A90"/>
    <w:rsid w:val="00257AA7"/>
    <w:rsid w:val="00273624"/>
    <w:rsid w:val="00282A2B"/>
    <w:rsid w:val="002842C9"/>
    <w:rsid w:val="002942DD"/>
    <w:rsid w:val="00295C6C"/>
    <w:rsid w:val="002A667D"/>
    <w:rsid w:val="002D26EB"/>
    <w:rsid w:val="002F0BC7"/>
    <w:rsid w:val="002F438E"/>
    <w:rsid w:val="002F43E9"/>
    <w:rsid w:val="00302E95"/>
    <w:rsid w:val="00304E49"/>
    <w:rsid w:val="00317A9D"/>
    <w:rsid w:val="003223F7"/>
    <w:rsid w:val="00322806"/>
    <w:rsid w:val="00322A91"/>
    <w:rsid w:val="003245F2"/>
    <w:rsid w:val="00330B85"/>
    <w:rsid w:val="00336745"/>
    <w:rsid w:val="00345D5C"/>
    <w:rsid w:val="003662BD"/>
    <w:rsid w:val="00367C60"/>
    <w:rsid w:val="00381366"/>
    <w:rsid w:val="0038706E"/>
    <w:rsid w:val="003A3F99"/>
    <w:rsid w:val="003C04A5"/>
    <w:rsid w:val="003D3331"/>
    <w:rsid w:val="003D3612"/>
    <w:rsid w:val="003E2D26"/>
    <w:rsid w:val="00412894"/>
    <w:rsid w:val="00424B5A"/>
    <w:rsid w:val="00435890"/>
    <w:rsid w:val="00440F82"/>
    <w:rsid w:val="00443D55"/>
    <w:rsid w:val="00451DAA"/>
    <w:rsid w:val="00492F49"/>
    <w:rsid w:val="004939B9"/>
    <w:rsid w:val="00493A10"/>
    <w:rsid w:val="00494E7A"/>
    <w:rsid w:val="00495EF1"/>
    <w:rsid w:val="004B0D04"/>
    <w:rsid w:val="004D0240"/>
    <w:rsid w:val="004E0360"/>
    <w:rsid w:val="004E0A92"/>
    <w:rsid w:val="004E48BA"/>
    <w:rsid w:val="004F0294"/>
    <w:rsid w:val="004F1E97"/>
    <w:rsid w:val="004F7B2B"/>
    <w:rsid w:val="005021CE"/>
    <w:rsid w:val="00511D14"/>
    <w:rsid w:val="005130C0"/>
    <w:rsid w:val="00517925"/>
    <w:rsid w:val="005277AC"/>
    <w:rsid w:val="00540DAA"/>
    <w:rsid w:val="00543771"/>
    <w:rsid w:val="00545963"/>
    <w:rsid w:val="00545B36"/>
    <w:rsid w:val="00582754"/>
    <w:rsid w:val="005C03EA"/>
    <w:rsid w:val="005C7412"/>
    <w:rsid w:val="005E3D15"/>
    <w:rsid w:val="005E3EB4"/>
    <w:rsid w:val="006143AD"/>
    <w:rsid w:val="0062654B"/>
    <w:rsid w:val="00627C41"/>
    <w:rsid w:val="0063086B"/>
    <w:rsid w:val="0064468E"/>
    <w:rsid w:val="006513E7"/>
    <w:rsid w:val="00654C2A"/>
    <w:rsid w:val="006676A6"/>
    <w:rsid w:val="0067544E"/>
    <w:rsid w:val="006777BA"/>
    <w:rsid w:val="00682404"/>
    <w:rsid w:val="00682983"/>
    <w:rsid w:val="00685128"/>
    <w:rsid w:val="006908B0"/>
    <w:rsid w:val="006B2029"/>
    <w:rsid w:val="006B48C2"/>
    <w:rsid w:val="006B5A1F"/>
    <w:rsid w:val="006D75A1"/>
    <w:rsid w:val="006E5F4E"/>
    <w:rsid w:val="00712A1C"/>
    <w:rsid w:val="00722D4A"/>
    <w:rsid w:val="00742C03"/>
    <w:rsid w:val="00750167"/>
    <w:rsid w:val="00777A3C"/>
    <w:rsid w:val="007800C4"/>
    <w:rsid w:val="00797B07"/>
    <w:rsid w:val="007A3529"/>
    <w:rsid w:val="007B2675"/>
    <w:rsid w:val="007C5895"/>
    <w:rsid w:val="0080195B"/>
    <w:rsid w:val="00830420"/>
    <w:rsid w:val="0083456D"/>
    <w:rsid w:val="00840D5A"/>
    <w:rsid w:val="0084459D"/>
    <w:rsid w:val="0086234D"/>
    <w:rsid w:val="00876088"/>
    <w:rsid w:val="0088259F"/>
    <w:rsid w:val="00882FD3"/>
    <w:rsid w:val="008A7168"/>
    <w:rsid w:val="008A7B17"/>
    <w:rsid w:val="009249C1"/>
    <w:rsid w:val="009265C6"/>
    <w:rsid w:val="009369CC"/>
    <w:rsid w:val="00941FF5"/>
    <w:rsid w:val="009839B1"/>
    <w:rsid w:val="00993A47"/>
    <w:rsid w:val="009E4B42"/>
    <w:rsid w:val="009F4321"/>
    <w:rsid w:val="009F7951"/>
    <w:rsid w:val="00A039B4"/>
    <w:rsid w:val="00A04CFA"/>
    <w:rsid w:val="00A07AB6"/>
    <w:rsid w:val="00A12F7E"/>
    <w:rsid w:val="00A241FE"/>
    <w:rsid w:val="00A57E51"/>
    <w:rsid w:val="00A62827"/>
    <w:rsid w:val="00A64A05"/>
    <w:rsid w:val="00A94833"/>
    <w:rsid w:val="00A94AE1"/>
    <w:rsid w:val="00A9750E"/>
    <w:rsid w:val="00AA485B"/>
    <w:rsid w:val="00AB1AFC"/>
    <w:rsid w:val="00AD09FC"/>
    <w:rsid w:val="00AE3179"/>
    <w:rsid w:val="00AE43E6"/>
    <w:rsid w:val="00AE6FB0"/>
    <w:rsid w:val="00B1172F"/>
    <w:rsid w:val="00B15482"/>
    <w:rsid w:val="00B24CFB"/>
    <w:rsid w:val="00B36F50"/>
    <w:rsid w:val="00B52D54"/>
    <w:rsid w:val="00B75B4F"/>
    <w:rsid w:val="00B82F0C"/>
    <w:rsid w:val="00B84C5B"/>
    <w:rsid w:val="00BA4725"/>
    <w:rsid w:val="00BB4D21"/>
    <w:rsid w:val="00BB68D5"/>
    <w:rsid w:val="00BD3085"/>
    <w:rsid w:val="00BD7812"/>
    <w:rsid w:val="00BE4AEC"/>
    <w:rsid w:val="00BF2710"/>
    <w:rsid w:val="00C04F2F"/>
    <w:rsid w:val="00C10AB6"/>
    <w:rsid w:val="00C22DB7"/>
    <w:rsid w:val="00C35666"/>
    <w:rsid w:val="00C4718C"/>
    <w:rsid w:val="00C675F8"/>
    <w:rsid w:val="00C7462A"/>
    <w:rsid w:val="00C748E3"/>
    <w:rsid w:val="00C85CAB"/>
    <w:rsid w:val="00C877A2"/>
    <w:rsid w:val="00C95419"/>
    <w:rsid w:val="00CA1B49"/>
    <w:rsid w:val="00CA339C"/>
    <w:rsid w:val="00CA5C62"/>
    <w:rsid w:val="00CB16AC"/>
    <w:rsid w:val="00CC13E3"/>
    <w:rsid w:val="00CC76CE"/>
    <w:rsid w:val="00CE7714"/>
    <w:rsid w:val="00D02003"/>
    <w:rsid w:val="00D226EE"/>
    <w:rsid w:val="00D258A0"/>
    <w:rsid w:val="00D31208"/>
    <w:rsid w:val="00D34DC7"/>
    <w:rsid w:val="00D408F4"/>
    <w:rsid w:val="00D41ABF"/>
    <w:rsid w:val="00D422DD"/>
    <w:rsid w:val="00D4541A"/>
    <w:rsid w:val="00D50005"/>
    <w:rsid w:val="00D732A9"/>
    <w:rsid w:val="00D75D4C"/>
    <w:rsid w:val="00D76C68"/>
    <w:rsid w:val="00D93B46"/>
    <w:rsid w:val="00DA42FC"/>
    <w:rsid w:val="00DA47DC"/>
    <w:rsid w:val="00DA5820"/>
    <w:rsid w:val="00DB3386"/>
    <w:rsid w:val="00DB5D29"/>
    <w:rsid w:val="00DC3840"/>
    <w:rsid w:val="00DD0BD1"/>
    <w:rsid w:val="00DD5BF8"/>
    <w:rsid w:val="00DD754F"/>
    <w:rsid w:val="00DE1290"/>
    <w:rsid w:val="00DE337D"/>
    <w:rsid w:val="00E00B27"/>
    <w:rsid w:val="00E16BF3"/>
    <w:rsid w:val="00E44613"/>
    <w:rsid w:val="00E56E28"/>
    <w:rsid w:val="00E613F1"/>
    <w:rsid w:val="00E84800"/>
    <w:rsid w:val="00E8556F"/>
    <w:rsid w:val="00E900E9"/>
    <w:rsid w:val="00E90578"/>
    <w:rsid w:val="00E92DF7"/>
    <w:rsid w:val="00EA60EB"/>
    <w:rsid w:val="00EB17F6"/>
    <w:rsid w:val="00EC0B1D"/>
    <w:rsid w:val="00EC4411"/>
    <w:rsid w:val="00EC7F7B"/>
    <w:rsid w:val="00ED6B71"/>
    <w:rsid w:val="00EE60FF"/>
    <w:rsid w:val="00F0364D"/>
    <w:rsid w:val="00F10C08"/>
    <w:rsid w:val="00F13519"/>
    <w:rsid w:val="00F14EED"/>
    <w:rsid w:val="00F23F28"/>
    <w:rsid w:val="00F27169"/>
    <w:rsid w:val="00F44C6D"/>
    <w:rsid w:val="00F45E3D"/>
    <w:rsid w:val="00F46F77"/>
    <w:rsid w:val="00F53F25"/>
    <w:rsid w:val="00F62B65"/>
    <w:rsid w:val="00F63DE1"/>
    <w:rsid w:val="00F80FF6"/>
    <w:rsid w:val="00F843F4"/>
    <w:rsid w:val="00F94058"/>
    <w:rsid w:val="00F9627F"/>
    <w:rsid w:val="00FA4C67"/>
    <w:rsid w:val="00FC6A50"/>
    <w:rsid w:val="00FD5B12"/>
    <w:rsid w:val="00FE039A"/>
    <w:rsid w:val="00FE6AF5"/>
    <w:rsid w:val="00FE7BD9"/>
    <w:rsid w:val="00FF3478"/>
    <w:rsid w:val="33E43645"/>
    <w:rsid w:val="52575E63"/>
    <w:rsid w:val="66FD6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qFormat="1"/>
    <w:lsdException w:name="header" w:semiHidden="0" w:uiPriority="0" w:unhideWhenUsed="0"/>
    <w:lsdException w:name="footer" w:semiHidden="0" w:uiPriority="0" w:unhideWhenUsed="0" w:qFormat="1"/>
    <w:lsdException w:name="caption" w:uiPriority="35" w:qFormat="1"/>
    <w:lsdException w:name="footnote reference" w:semiHidden="0" w:uiPriority="0" w:unhideWhenUsed="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60"/>
    <w:pPr>
      <w:widowControl w:val="0"/>
      <w:jc w:val="both"/>
    </w:pPr>
    <w:rPr>
      <w:kern w:val="2"/>
      <w:sz w:val="21"/>
    </w:rPr>
  </w:style>
  <w:style w:type="paragraph" w:styleId="2">
    <w:name w:val="heading 2"/>
    <w:basedOn w:val="a"/>
    <w:next w:val="a"/>
    <w:link w:val="2Char"/>
    <w:qFormat/>
    <w:rsid w:val="00367C6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367C60"/>
    <w:pPr>
      <w:shd w:val="clear" w:color="auto" w:fill="000080"/>
    </w:pPr>
  </w:style>
  <w:style w:type="paragraph" w:styleId="a4">
    <w:name w:val="annotation text"/>
    <w:basedOn w:val="a"/>
    <w:link w:val="Char"/>
    <w:uiPriority w:val="99"/>
    <w:semiHidden/>
    <w:unhideWhenUsed/>
    <w:qFormat/>
    <w:rsid w:val="00367C60"/>
    <w:pPr>
      <w:jc w:val="left"/>
    </w:pPr>
  </w:style>
  <w:style w:type="paragraph" w:styleId="a5">
    <w:name w:val="Balloon Text"/>
    <w:basedOn w:val="a"/>
    <w:link w:val="Char0"/>
    <w:uiPriority w:val="99"/>
    <w:semiHidden/>
    <w:unhideWhenUsed/>
    <w:qFormat/>
    <w:rsid w:val="00367C60"/>
    <w:rPr>
      <w:sz w:val="18"/>
      <w:szCs w:val="18"/>
    </w:rPr>
  </w:style>
  <w:style w:type="paragraph" w:styleId="a6">
    <w:name w:val="footer"/>
    <w:basedOn w:val="a"/>
    <w:link w:val="Char1"/>
    <w:qFormat/>
    <w:rsid w:val="00367C60"/>
    <w:pPr>
      <w:tabs>
        <w:tab w:val="center" w:pos="4153"/>
        <w:tab w:val="right" w:pos="8306"/>
      </w:tabs>
      <w:snapToGrid w:val="0"/>
      <w:jc w:val="left"/>
    </w:pPr>
    <w:rPr>
      <w:sz w:val="18"/>
    </w:rPr>
  </w:style>
  <w:style w:type="paragraph" w:styleId="a7">
    <w:name w:val="header"/>
    <w:basedOn w:val="a"/>
    <w:link w:val="Char2"/>
    <w:rsid w:val="00367C60"/>
    <w:pPr>
      <w:pBdr>
        <w:bottom w:val="single" w:sz="6" w:space="1" w:color="auto"/>
      </w:pBdr>
      <w:tabs>
        <w:tab w:val="center" w:pos="4153"/>
        <w:tab w:val="right" w:pos="8306"/>
      </w:tabs>
      <w:snapToGrid w:val="0"/>
      <w:jc w:val="center"/>
    </w:pPr>
    <w:rPr>
      <w:sz w:val="18"/>
    </w:rPr>
  </w:style>
  <w:style w:type="paragraph" w:styleId="a8">
    <w:name w:val="footnote text"/>
    <w:basedOn w:val="a"/>
    <w:link w:val="Char3"/>
    <w:rsid w:val="00367C60"/>
    <w:pPr>
      <w:snapToGrid w:val="0"/>
      <w:jc w:val="left"/>
    </w:pPr>
    <w:rPr>
      <w:rFonts w:ascii="Times New Roman" w:hAnsi="Times New Roman"/>
      <w:sz w:val="18"/>
    </w:rPr>
  </w:style>
  <w:style w:type="paragraph" w:styleId="a9">
    <w:name w:val="annotation subject"/>
    <w:basedOn w:val="a4"/>
    <w:next w:val="a4"/>
    <w:link w:val="Char4"/>
    <w:uiPriority w:val="99"/>
    <w:semiHidden/>
    <w:unhideWhenUsed/>
    <w:qFormat/>
    <w:rsid w:val="00367C60"/>
    <w:rPr>
      <w:b/>
      <w:bCs/>
    </w:rPr>
  </w:style>
  <w:style w:type="character" w:styleId="aa">
    <w:name w:val="annotation reference"/>
    <w:basedOn w:val="a0"/>
    <w:uiPriority w:val="99"/>
    <w:semiHidden/>
    <w:unhideWhenUsed/>
    <w:qFormat/>
    <w:rsid w:val="00367C60"/>
    <w:rPr>
      <w:sz w:val="21"/>
      <w:szCs w:val="21"/>
    </w:rPr>
  </w:style>
  <w:style w:type="character" w:styleId="ab">
    <w:name w:val="footnote reference"/>
    <w:rsid w:val="00367C60"/>
    <w:rPr>
      <w:vertAlign w:val="superscript"/>
    </w:rPr>
  </w:style>
  <w:style w:type="character" w:customStyle="1" w:styleId="Char2">
    <w:name w:val="页眉 Char"/>
    <w:link w:val="a7"/>
    <w:rsid w:val="00367C60"/>
    <w:rPr>
      <w:kern w:val="2"/>
      <w:sz w:val="18"/>
    </w:rPr>
  </w:style>
  <w:style w:type="character" w:customStyle="1" w:styleId="Char3">
    <w:name w:val="脚注文本 Char"/>
    <w:link w:val="a8"/>
    <w:qFormat/>
    <w:rsid w:val="00367C60"/>
    <w:rPr>
      <w:rFonts w:ascii="Times New Roman" w:hAnsi="Times New Roman"/>
      <w:kern w:val="2"/>
      <w:sz w:val="18"/>
    </w:rPr>
  </w:style>
  <w:style w:type="character" w:customStyle="1" w:styleId="Char1">
    <w:name w:val="页脚 Char"/>
    <w:link w:val="a6"/>
    <w:rsid w:val="00367C60"/>
    <w:rPr>
      <w:kern w:val="2"/>
      <w:sz w:val="18"/>
    </w:rPr>
  </w:style>
  <w:style w:type="character" w:customStyle="1" w:styleId="2Char">
    <w:name w:val="标题 2 Char"/>
    <w:link w:val="2"/>
    <w:rsid w:val="00367C60"/>
    <w:rPr>
      <w:rFonts w:ascii="Arial" w:eastAsia="黑体" w:hAnsi="Arial"/>
      <w:b/>
      <w:kern w:val="2"/>
      <w:sz w:val="32"/>
    </w:rPr>
  </w:style>
  <w:style w:type="paragraph" w:customStyle="1" w:styleId="Char5">
    <w:name w:val="Char"/>
    <w:basedOn w:val="a"/>
    <w:qFormat/>
    <w:rsid w:val="00367C60"/>
    <w:rPr>
      <w:sz w:val="18"/>
    </w:rPr>
  </w:style>
  <w:style w:type="character" w:customStyle="1" w:styleId="Char0">
    <w:name w:val="批注框文本 Char"/>
    <w:basedOn w:val="a0"/>
    <w:link w:val="a5"/>
    <w:uiPriority w:val="99"/>
    <w:semiHidden/>
    <w:rsid w:val="00367C60"/>
    <w:rPr>
      <w:kern w:val="2"/>
      <w:sz w:val="18"/>
      <w:szCs w:val="18"/>
    </w:rPr>
  </w:style>
  <w:style w:type="character" w:customStyle="1" w:styleId="Char">
    <w:name w:val="批注文字 Char"/>
    <w:basedOn w:val="a0"/>
    <w:link w:val="a4"/>
    <w:uiPriority w:val="99"/>
    <w:semiHidden/>
    <w:qFormat/>
    <w:rsid w:val="00367C60"/>
    <w:rPr>
      <w:kern w:val="2"/>
      <w:sz w:val="21"/>
    </w:rPr>
  </w:style>
  <w:style w:type="character" w:customStyle="1" w:styleId="Char4">
    <w:name w:val="批注主题 Char"/>
    <w:basedOn w:val="Char"/>
    <w:link w:val="a9"/>
    <w:uiPriority w:val="99"/>
    <w:semiHidden/>
    <w:qFormat/>
    <w:rsid w:val="00367C60"/>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1247</Characters>
  <Application>Microsoft Office Word</Application>
  <DocSecurity>4</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2017-12-27T12:10:00Z</cp:lastPrinted>
  <dcterms:created xsi:type="dcterms:W3CDTF">2025-10-19T16:01:00Z</dcterms:created>
  <dcterms:modified xsi:type="dcterms:W3CDTF">2025-10-19T16:01:00Z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260EEA8765D34F098A89576F744ABA7D</vt:lpwstr>
  </property>
  <property fmtid="{D5CDD505-2E9C-101B-9397-08002B2CF9AE}" pid="4" name="commondata">
    <vt:lpwstr>eyJoZGlkIjoiZDQ5MjJlNTFlNzk4ZDRkZjdlOTZiZGJkMDA5MmFlMmIifQ==</vt:lpwstr>
  </property>
</Properties>
</file>