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E2" w:rsidRDefault="000E36FF">
      <w:pPr>
        <w:pStyle w:val="aa"/>
        <w:spacing w:line="360" w:lineRule="auto"/>
      </w:pPr>
      <w:bookmarkStart w:id="0" w:name="_GoBack"/>
      <w:bookmarkEnd w:id="0"/>
      <w:r>
        <w:rPr>
          <w:rFonts w:hint="eastAsia"/>
        </w:rPr>
        <w:t>关于</w:t>
      </w:r>
      <w:r>
        <w:rPr>
          <w:rFonts w:hint="eastAsia"/>
        </w:rPr>
        <w:t>博时现金收益证券投资基金</w:t>
      </w:r>
      <w:r>
        <w:rPr>
          <w:rFonts w:hint="eastAsia"/>
        </w:rPr>
        <w:t>调低基金</w:t>
      </w:r>
      <w:r>
        <w:rPr>
          <w:rFonts w:hint="eastAsia"/>
        </w:rPr>
        <w:t>托管</w:t>
      </w:r>
      <w:r>
        <w:rPr>
          <w:rFonts w:hint="eastAsia"/>
        </w:rPr>
        <w:t>费率并修订基金合同和托管协议的公告</w:t>
      </w:r>
    </w:p>
    <w:p w:rsidR="003F71E2" w:rsidRDefault="003F71E2">
      <w:pPr>
        <w:spacing w:line="360" w:lineRule="auto"/>
        <w:ind w:firstLineChars="200" w:firstLine="480"/>
        <w:rPr>
          <w:sz w:val="24"/>
          <w:szCs w:val="24"/>
        </w:rPr>
      </w:pPr>
    </w:p>
    <w:p w:rsidR="003F71E2" w:rsidRDefault="000E36FF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为更好地满足广大投资者的投资理财需求，降低投资者的理财成本，根据《中华人民共和国证券投资基金法》、《公开募集证券投资基金运作管理办法》、《博时现金收益证券投资基金</w:t>
      </w:r>
      <w:r>
        <w:rPr>
          <w:rFonts w:ascii="宋体" w:eastAsia="宋体" w:hAnsi="宋体" w:cs="宋体" w:hint="eastAsia"/>
          <w:sz w:val="24"/>
          <w:szCs w:val="24"/>
        </w:rPr>
        <w:t>基金</w:t>
      </w:r>
      <w:r>
        <w:rPr>
          <w:rFonts w:ascii="宋体" w:eastAsia="宋体" w:hAnsi="宋体" w:cs="宋体" w:hint="eastAsia"/>
          <w:sz w:val="24"/>
          <w:szCs w:val="24"/>
        </w:rPr>
        <w:t>契约》（以下简称</w:t>
      </w:r>
      <w:r>
        <w:rPr>
          <w:rFonts w:ascii="宋体" w:hAnsi="宋体" w:cs="宋体" w:hint="eastAsia"/>
          <w:sz w:val="24"/>
          <w:szCs w:val="20"/>
        </w:rPr>
        <w:t>“基金合同”或</w:t>
      </w:r>
      <w:r>
        <w:rPr>
          <w:rFonts w:ascii="宋体" w:eastAsia="宋体" w:hAnsi="宋体" w:cs="宋体" w:hint="eastAsia"/>
          <w:sz w:val="24"/>
          <w:szCs w:val="24"/>
        </w:rPr>
        <w:t>“《基金合同》”）和《</w:t>
      </w:r>
      <w:r>
        <w:rPr>
          <w:rFonts w:ascii="宋体" w:eastAsia="宋体" w:hAnsi="宋体" w:cs="宋体" w:hint="eastAsia"/>
          <w:sz w:val="24"/>
          <w:szCs w:val="24"/>
        </w:rPr>
        <w:t>博时现金收益证券投资基金</w:t>
      </w:r>
      <w:r>
        <w:rPr>
          <w:rFonts w:ascii="宋体" w:eastAsia="宋体" w:hAnsi="宋体" w:cs="宋体" w:hint="eastAsia"/>
          <w:sz w:val="24"/>
          <w:szCs w:val="24"/>
        </w:rPr>
        <w:t>托管协议》（以下简称“《托管协议》”）有关规定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博时基金管理有限公司（以下简称“基金管理人”）经与基金托管人</w:t>
      </w:r>
      <w:r>
        <w:rPr>
          <w:rFonts w:ascii="宋体" w:eastAsia="宋体" w:hAnsi="宋体" w:cs="宋体" w:hint="eastAsia"/>
          <w:sz w:val="24"/>
          <w:szCs w:val="24"/>
        </w:rPr>
        <w:t>交通</w:t>
      </w:r>
      <w:r>
        <w:rPr>
          <w:rFonts w:ascii="宋体" w:eastAsia="宋体" w:hAnsi="宋体" w:cs="宋体" w:hint="eastAsia"/>
          <w:sz w:val="24"/>
          <w:szCs w:val="24"/>
        </w:rPr>
        <w:t>银行股份有限公司协商一致，决定自</w:t>
      </w:r>
      <w:r>
        <w:rPr>
          <w:rFonts w:ascii="宋体" w:eastAsia="宋体" w:hAnsi="宋体" w:cs="宋体" w:hint="eastAsia"/>
          <w:sz w:val="24"/>
          <w:szCs w:val="24"/>
        </w:rPr>
        <w:t>202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日起调整</w:t>
      </w:r>
      <w:r>
        <w:rPr>
          <w:rFonts w:ascii="宋体" w:eastAsia="宋体" w:hAnsi="宋体" w:cs="宋体" w:hint="eastAsia"/>
          <w:sz w:val="24"/>
          <w:szCs w:val="24"/>
        </w:rPr>
        <w:t>博时现金收益证券投资基金</w:t>
      </w:r>
      <w:r>
        <w:rPr>
          <w:rFonts w:ascii="宋体" w:eastAsia="宋体" w:hAnsi="宋体" w:cs="宋体" w:hint="eastAsia"/>
          <w:sz w:val="24"/>
          <w:szCs w:val="24"/>
        </w:rPr>
        <w:t>（以下简称“本基金”）的</w:t>
      </w:r>
      <w:r>
        <w:rPr>
          <w:rFonts w:ascii="宋体" w:eastAsia="宋体" w:hAnsi="宋体" w:cs="宋体" w:hint="eastAsia"/>
          <w:sz w:val="24"/>
          <w:szCs w:val="24"/>
        </w:rPr>
        <w:t>托管费</w:t>
      </w:r>
      <w:r>
        <w:rPr>
          <w:rFonts w:ascii="宋体" w:eastAsia="宋体" w:hAnsi="宋体" w:cs="宋体" w:hint="eastAsia"/>
          <w:sz w:val="24"/>
          <w:szCs w:val="24"/>
        </w:rPr>
        <w:t>费率，将</w:t>
      </w:r>
      <w:r>
        <w:rPr>
          <w:rFonts w:ascii="宋体" w:eastAsia="宋体" w:hAnsi="宋体" w:cs="宋体" w:hint="eastAsia"/>
          <w:sz w:val="24"/>
          <w:szCs w:val="24"/>
        </w:rPr>
        <w:t>托管</w:t>
      </w:r>
      <w:r>
        <w:rPr>
          <w:rFonts w:ascii="宋体" w:eastAsia="宋体" w:hAnsi="宋体" w:cs="宋体" w:hint="eastAsia"/>
          <w:sz w:val="24"/>
          <w:szCs w:val="24"/>
        </w:rPr>
        <w:t>费费率由</w:t>
      </w:r>
      <w:r>
        <w:rPr>
          <w:rFonts w:ascii="宋体" w:eastAsia="宋体" w:hAnsi="宋体" w:cs="宋体" w:hint="eastAsia"/>
          <w:sz w:val="24"/>
          <w:szCs w:val="24"/>
        </w:rPr>
        <w:t>0.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%/</w:t>
      </w:r>
      <w:r>
        <w:rPr>
          <w:rFonts w:ascii="宋体" w:eastAsia="宋体" w:hAnsi="宋体" w:cs="宋体" w:hint="eastAsia"/>
          <w:sz w:val="24"/>
          <w:szCs w:val="24"/>
        </w:rPr>
        <w:t>年调整为</w:t>
      </w:r>
      <w:r>
        <w:rPr>
          <w:rFonts w:ascii="宋体" w:eastAsia="宋体" w:hAnsi="宋体" w:cs="宋体" w:hint="eastAsia"/>
          <w:sz w:val="24"/>
          <w:szCs w:val="24"/>
        </w:rPr>
        <w:t>0.</w:t>
      </w:r>
      <w:r>
        <w:rPr>
          <w:rFonts w:ascii="宋体" w:eastAsia="宋体" w:hAnsi="宋体" w:cs="宋体" w:hint="eastAsia"/>
          <w:sz w:val="24"/>
          <w:szCs w:val="24"/>
        </w:rPr>
        <w:t>07</w:t>
      </w:r>
      <w:r>
        <w:rPr>
          <w:rFonts w:ascii="宋体" w:eastAsia="宋体" w:hAnsi="宋体" w:cs="宋体" w:hint="eastAsia"/>
          <w:sz w:val="24"/>
          <w:szCs w:val="24"/>
        </w:rPr>
        <w:t>%/</w:t>
      </w:r>
      <w:r>
        <w:rPr>
          <w:rFonts w:ascii="宋体" w:eastAsia="宋体" w:hAnsi="宋体" w:cs="宋体" w:hint="eastAsia"/>
          <w:sz w:val="24"/>
          <w:szCs w:val="24"/>
        </w:rPr>
        <w:t>年，并相应修订《基金合同》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等法律文件相关条款</w:t>
      </w:r>
      <w:r>
        <w:rPr>
          <w:rFonts w:ascii="宋体" w:eastAsia="宋体" w:hAnsi="宋体" w:cs="宋体" w:hint="eastAsia"/>
          <w:sz w:val="24"/>
          <w:szCs w:val="24"/>
        </w:rPr>
        <w:t>，现将相关事项公告如下：</w:t>
      </w:r>
    </w:p>
    <w:p w:rsidR="003F71E2" w:rsidRDefault="000E36FF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一、《基金合同》修订内容</w:t>
      </w:r>
    </w:p>
    <w:p w:rsidR="003F71E2" w:rsidRDefault="000E36FF">
      <w:pPr>
        <w:pStyle w:val="2"/>
        <w:numPr>
          <w:ilvl w:val="255"/>
          <w:numId w:val="0"/>
        </w:numPr>
        <w:spacing w:line="360" w:lineRule="auto"/>
        <w:ind w:firstLineChars="200" w:firstLine="480"/>
        <w:rPr>
          <w:rFonts w:ascii="宋体" w:hAnsi="宋体" w:cs="宋体"/>
          <w:b w:val="0"/>
          <w:bCs w:val="0"/>
          <w:szCs w:val="24"/>
        </w:rPr>
      </w:pPr>
      <w:r>
        <w:rPr>
          <w:rFonts w:ascii="宋体" w:hAnsi="宋体" w:cs="宋体" w:hint="eastAsia"/>
          <w:b w:val="0"/>
          <w:bCs w:val="0"/>
          <w:szCs w:val="24"/>
        </w:rPr>
        <w:t>将《基金合同》中“</w:t>
      </w:r>
      <w:r>
        <w:rPr>
          <w:rFonts w:ascii="宋体" w:hAnsi="宋体" w:cs="宋体" w:hint="eastAsia"/>
          <w:b w:val="0"/>
          <w:bCs w:val="0"/>
          <w:szCs w:val="24"/>
        </w:rPr>
        <w:t>二十</w:t>
      </w:r>
      <w:r>
        <w:rPr>
          <w:rFonts w:ascii="宋体" w:hAnsi="宋体" w:cs="宋体" w:hint="eastAsia"/>
          <w:b w:val="0"/>
          <w:bCs w:val="0"/>
          <w:szCs w:val="24"/>
        </w:rPr>
        <w:t>、</w:t>
      </w:r>
      <w:r>
        <w:rPr>
          <w:rFonts w:ascii="宋体" w:hAnsi="宋体" w:cs="宋体" w:hint="eastAsia"/>
          <w:b w:val="0"/>
          <w:bCs w:val="0"/>
          <w:szCs w:val="24"/>
        </w:rPr>
        <w:t>基金费用与税收”“</w:t>
      </w:r>
      <w:r>
        <w:rPr>
          <w:rFonts w:ascii="宋体" w:hAnsi="宋体" w:cs="宋体" w:hint="eastAsia"/>
          <w:b w:val="0"/>
          <w:bCs w:val="0"/>
          <w:szCs w:val="24"/>
        </w:rPr>
        <w:t>（</w:t>
      </w:r>
      <w:r>
        <w:rPr>
          <w:rFonts w:ascii="宋体" w:hAnsi="宋体" w:cs="宋体" w:hint="eastAsia"/>
          <w:b w:val="0"/>
          <w:bCs w:val="0"/>
          <w:szCs w:val="24"/>
        </w:rPr>
        <w:t>二</w:t>
      </w:r>
      <w:r>
        <w:rPr>
          <w:rFonts w:ascii="宋体" w:hAnsi="宋体" w:cs="宋体" w:hint="eastAsia"/>
          <w:b w:val="0"/>
          <w:bCs w:val="0"/>
          <w:szCs w:val="24"/>
        </w:rPr>
        <w:t>）</w:t>
      </w:r>
      <w:r>
        <w:rPr>
          <w:rFonts w:hint="eastAsia"/>
          <w:b w:val="0"/>
          <w:bCs w:val="0"/>
          <w:color w:val="000000"/>
          <w:szCs w:val="24"/>
        </w:rPr>
        <w:t>基金费用计提方法、计提标准和支付方式</w:t>
      </w:r>
      <w:r>
        <w:rPr>
          <w:rFonts w:ascii="宋体" w:hAnsi="宋体" w:cs="宋体" w:hint="eastAsia"/>
          <w:b w:val="0"/>
          <w:bCs w:val="0"/>
          <w:szCs w:val="24"/>
        </w:rPr>
        <w:t>”“</w:t>
      </w:r>
      <w:r>
        <w:rPr>
          <w:rFonts w:ascii="宋体" w:hAnsi="宋体" w:cs="宋体" w:hint="eastAsia"/>
          <w:b w:val="0"/>
          <w:bCs w:val="0"/>
          <w:color w:val="000000"/>
          <w:szCs w:val="24"/>
        </w:rPr>
        <w:t>2</w:t>
      </w:r>
      <w:r>
        <w:rPr>
          <w:rFonts w:ascii="宋体" w:hAnsi="宋体" w:cs="宋体" w:hint="eastAsia"/>
          <w:b w:val="0"/>
          <w:bCs w:val="0"/>
          <w:color w:val="000000"/>
          <w:szCs w:val="24"/>
        </w:rPr>
        <w:t>、基金托管人的托管费</w:t>
      </w:r>
      <w:r>
        <w:rPr>
          <w:rFonts w:ascii="宋体" w:hAnsi="宋体" w:cs="宋体" w:hint="eastAsia"/>
          <w:b w:val="0"/>
          <w:bCs w:val="0"/>
          <w:szCs w:val="24"/>
        </w:rPr>
        <w:t>”由原来的：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</w:t>
      </w:r>
      <w:r>
        <w:rPr>
          <w:rFonts w:hint="eastAsia"/>
          <w:color w:val="000000"/>
          <w:sz w:val="24"/>
          <w:szCs w:val="24"/>
        </w:rPr>
        <w:t>基金托管人的托管费按不高于前一日的基金资产净值的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0.10%</w:t>
      </w:r>
      <w:r>
        <w:rPr>
          <w:rFonts w:hint="eastAsia"/>
          <w:color w:val="000000"/>
          <w:sz w:val="24"/>
          <w:szCs w:val="24"/>
        </w:rPr>
        <w:t>的年费率计提。方法如下：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="42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H=E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×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0.10%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÷当年天数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="42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H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为每日应计提的基金托管费；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E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为前一日的基金资产净值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基金托管人的托管费每日计算，每日计提，按月支付，由基金托管人于次月首日起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个工作日内从基金资产中一次性支付取，若遇法定节假日、休息日等，支付日期顺延。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”</w:t>
      </w:r>
    </w:p>
    <w:p w:rsidR="003F71E2" w:rsidRDefault="000E36FF">
      <w:pPr>
        <w:pStyle w:val="a9"/>
        <w:spacing w:before="0" w:beforeAutospacing="0" w:after="0" w:afterAutospacing="0" w:line="360" w:lineRule="auto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修改为：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“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基金托管人的托管费按不高于前一日的基金资产净值的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0.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07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%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的年费率计提。方法如下：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="42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H=E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×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0.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07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%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÷当年天数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="420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H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为每日应计提的基金托管费；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E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为前一日的基金资产净值</w:t>
      </w:r>
    </w:p>
    <w:p w:rsidR="003F71E2" w:rsidRDefault="000E36FF">
      <w:pPr>
        <w:pStyle w:val="a5"/>
        <w:numPr>
          <w:ilvl w:val="2"/>
          <w:numId w:val="0"/>
        </w:numPr>
        <w:tabs>
          <w:tab w:val="left" w:pos="360"/>
        </w:tabs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lastRenderedPageBreak/>
        <w:t>基金托管人的托管费每日计算，每日计提，按月支付，由基金托管人于次月首日起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个工作日内从基金资产中一次性支付取，若遇法定节假日、休息日等，支付日期顺延。</w:t>
      </w:r>
      <w:r>
        <w:rPr>
          <w:rFonts w:asciiTheme="minorEastAsia" w:hAnsiTheme="minorEastAsia" w:cstheme="minorEastAsia" w:hint="eastAsia"/>
          <w:sz w:val="24"/>
          <w:szCs w:val="24"/>
        </w:rPr>
        <w:t>”</w:t>
      </w:r>
    </w:p>
    <w:p w:rsidR="003F71E2" w:rsidRDefault="000E36FF">
      <w:pPr>
        <w:numPr>
          <w:ilvl w:val="0"/>
          <w:numId w:val="1"/>
        </w:numPr>
        <w:adjustRightInd w:val="0"/>
        <w:spacing w:line="360" w:lineRule="auto"/>
        <w:ind w:firstLine="120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《托管协议》修改内容</w:t>
      </w:r>
    </w:p>
    <w:p w:rsidR="003F71E2" w:rsidRDefault="000E36FF" w:rsidP="000E36FF">
      <w:pPr>
        <w:pStyle w:val="2"/>
        <w:adjustRightInd w:val="0"/>
        <w:snapToGrid w:val="0"/>
        <w:spacing w:line="360" w:lineRule="auto"/>
        <w:ind w:firstLineChars="202" w:firstLine="485"/>
        <w:rPr>
          <w:rFonts w:ascii="宋体" w:hAnsi="宋体" w:cs="宋体"/>
          <w:b w:val="0"/>
          <w:bCs w:val="0"/>
          <w:szCs w:val="24"/>
        </w:rPr>
      </w:pPr>
      <w:r>
        <w:rPr>
          <w:rFonts w:ascii="宋体" w:hAnsi="宋体" w:cs="宋体" w:hint="eastAsia"/>
          <w:b w:val="0"/>
          <w:bCs w:val="0"/>
          <w:szCs w:val="24"/>
        </w:rPr>
        <w:t>将《托管协议》中“十</w:t>
      </w:r>
      <w:r>
        <w:rPr>
          <w:rFonts w:ascii="宋体" w:hAnsi="宋体" w:cs="宋体" w:hint="eastAsia"/>
          <w:b w:val="0"/>
          <w:bCs w:val="0"/>
          <w:szCs w:val="24"/>
        </w:rPr>
        <w:t>四</w:t>
      </w:r>
      <w:r>
        <w:rPr>
          <w:rFonts w:ascii="宋体" w:hAnsi="宋体" w:cs="宋体" w:hint="eastAsia"/>
          <w:b w:val="0"/>
          <w:bCs w:val="0"/>
          <w:szCs w:val="24"/>
        </w:rPr>
        <w:t>、</w:t>
      </w:r>
      <w:r>
        <w:rPr>
          <w:rFonts w:ascii="宋体" w:hAnsi="宋体" w:cs="宋体" w:hint="eastAsia"/>
          <w:b w:val="0"/>
          <w:bCs w:val="0"/>
          <w:szCs w:val="24"/>
        </w:rPr>
        <w:t xml:space="preserve"> </w:t>
      </w:r>
      <w:r>
        <w:rPr>
          <w:rFonts w:ascii="宋体" w:hAnsi="宋体" w:cs="宋体" w:hint="eastAsia"/>
          <w:b w:val="0"/>
          <w:bCs w:val="0"/>
          <w:szCs w:val="24"/>
        </w:rPr>
        <w:t>基金</w:t>
      </w:r>
      <w:r>
        <w:rPr>
          <w:rFonts w:ascii="宋体" w:hAnsi="宋体" w:hint="eastAsia"/>
          <w:b w:val="0"/>
          <w:bCs w:val="0"/>
          <w:color w:val="000000"/>
          <w:szCs w:val="24"/>
        </w:rPr>
        <w:t>管理费</w:t>
      </w:r>
      <w:r>
        <w:rPr>
          <w:rFonts w:ascii="宋体" w:hAnsi="宋体" w:hint="eastAsia"/>
          <w:b w:val="0"/>
          <w:bCs w:val="0"/>
          <w:color w:val="000000"/>
          <w:szCs w:val="24"/>
        </w:rPr>
        <w:t>、</w:t>
      </w:r>
      <w:r>
        <w:rPr>
          <w:rFonts w:hAnsi="宋体" w:cs="Arial" w:hint="eastAsia"/>
          <w:b w:val="0"/>
          <w:bCs w:val="0"/>
          <w:szCs w:val="24"/>
        </w:rPr>
        <w:t>托管费</w:t>
      </w:r>
      <w:r>
        <w:rPr>
          <w:rFonts w:hAnsi="宋体" w:cs="Arial" w:hint="eastAsia"/>
          <w:b w:val="0"/>
          <w:bCs w:val="0"/>
          <w:szCs w:val="24"/>
        </w:rPr>
        <w:t>、</w:t>
      </w:r>
      <w:r>
        <w:rPr>
          <w:rFonts w:hAnsi="宋体" w:cs="Arial" w:hint="eastAsia"/>
          <w:b w:val="0"/>
          <w:bCs w:val="0"/>
          <w:szCs w:val="24"/>
        </w:rPr>
        <w:t>销售服务费</w:t>
      </w:r>
      <w:r>
        <w:rPr>
          <w:rFonts w:ascii="宋体" w:hAnsi="宋体" w:cs="宋体" w:hint="eastAsia"/>
          <w:b w:val="0"/>
          <w:bCs w:val="0"/>
          <w:szCs w:val="24"/>
        </w:rPr>
        <w:t>”“</w:t>
      </w:r>
      <w:r>
        <w:rPr>
          <w:rFonts w:hAnsi="宋体" w:cs="Arial" w:hint="eastAsia"/>
          <w:b w:val="0"/>
          <w:bCs w:val="0"/>
          <w:szCs w:val="24"/>
        </w:rPr>
        <w:t>（二）</w:t>
      </w:r>
      <w:r>
        <w:rPr>
          <w:rFonts w:hint="eastAsia"/>
          <w:b w:val="0"/>
          <w:bCs w:val="0"/>
          <w:color w:val="000000"/>
          <w:szCs w:val="24"/>
        </w:rPr>
        <w:t>基金托管费的计提比例和计提方法</w:t>
      </w:r>
      <w:r>
        <w:rPr>
          <w:rFonts w:ascii="宋体" w:hAnsi="宋体" w:cs="宋体" w:hint="eastAsia"/>
          <w:b w:val="0"/>
          <w:bCs w:val="0"/>
          <w:szCs w:val="24"/>
        </w:rPr>
        <w:t>”由原来的：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</w:t>
      </w:r>
      <w:r>
        <w:rPr>
          <w:rFonts w:ascii="宋体" w:hAnsi="宋体" w:hint="eastAsia"/>
          <w:color w:val="000000"/>
          <w:sz w:val="24"/>
          <w:szCs w:val="24"/>
        </w:rPr>
        <w:t>基金托管费按不高于基金资产净值的</w:t>
      </w:r>
      <w:r>
        <w:rPr>
          <w:rFonts w:ascii="宋体" w:hAnsi="宋体" w:hint="eastAsia"/>
          <w:color w:val="000000"/>
          <w:sz w:val="24"/>
          <w:szCs w:val="24"/>
        </w:rPr>
        <w:t>0.10%</w:t>
      </w:r>
      <w:r>
        <w:rPr>
          <w:rFonts w:ascii="宋体" w:hAnsi="宋体" w:hint="eastAsia"/>
          <w:color w:val="000000"/>
          <w:sz w:val="24"/>
          <w:szCs w:val="24"/>
        </w:rPr>
        <w:t>年费率计提。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在通常情况下，基金托管费按前一日基金资产净值的</w:t>
      </w:r>
      <w:r>
        <w:rPr>
          <w:rFonts w:ascii="宋体" w:hAnsi="宋体" w:hint="eastAsia"/>
          <w:color w:val="000000"/>
          <w:sz w:val="24"/>
          <w:szCs w:val="24"/>
        </w:rPr>
        <w:t>0.10</w:t>
      </w:r>
      <w:r>
        <w:rPr>
          <w:rFonts w:ascii="宋体" w:hAnsi="宋体" w:hint="eastAsia"/>
          <w:color w:val="000000"/>
          <w:sz w:val="24"/>
          <w:szCs w:val="24"/>
        </w:rPr>
        <w:t>％年费率计提。计算方法如下：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H=E</w:t>
      </w:r>
      <w:r>
        <w:rPr>
          <w:rFonts w:ascii="宋体" w:hAnsi="宋体" w:hint="eastAsia"/>
          <w:color w:val="000000"/>
          <w:sz w:val="24"/>
          <w:szCs w:val="24"/>
        </w:rPr>
        <w:t>×</w:t>
      </w:r>
      <w:r>
        <w:rPr>
          <w:rFonts w:ascii="宋体" w:hAnsi="宋体" w:hint="eastAsia"/>
          <w:color w:val="000000"/>
          <w:sz w:val="24"/>
          <w:szCs w:val="24"/>
        </w:rPr>
        <w:t>0.10%</w:t>
      </w:r>
      <w:r>
        <w:rPr>
          <w:rFonts w:ascii="宋体" w:hAnsi="宋体" w:hint="eastAsia"/>
          <w:color w:val="000000"/>
          <w:sz w:val="24"/>
          <w:szCs w:val="24"/>
        </w:rPr>
        <w:t>÷当年天数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</w:t>
      </w:r>
      <w:r>
        <w:rPr>
          <w:rFonts w:ascii="宋体" w:hAnsi="宋体" w:hint="eastAsia"/>
          <w:color w:val="000000"/>
          <w:sz w:val="24"/>
          <w:szCs w:val="24"/>
        </w:rPr>
        <w:t>为每日应计提的基金托管费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E</w:t>
      </w:r>
      <w:r>
        <w:rPr>
          <w:rFonts w:ascii="宋体" w:hAnsi="宋体" w:hint="eastAsia"/>
          <w:color w:val="000000"/>
          <w:sz w:val="24"/>
          <w:szCs w:val="24"/>
        </w:rPr>
        <w:t>为前一日的基金资产净值</w:t>
      </w:r>
      <w:r>
        <w:rPr>
          <w:rFonts w:ascii="宋体" w:hAnsi="宋体" w:cs="宋体" w:hint="eastAsia"/>
          <w:sz w:val="24"/>
          <w:szCs w:val="24"/>
        </w:rPr>
        <w:t>”</w:t>
      </w:r>
    </w:p>
    <w:p w:rsidR="003F71E2" w:rsidRDefault="000E36FF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修改为：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</w:t>
      </w:r>
      <w:r>
        <w:rPr>
          <w:rFonts w:ascii="宋体" w:hAnsi="宋体" w:hint="eastAsia"/>
          <w:color w:val="000000"/>
          <w:sz w:val="24"/>
          <w:szCs w:val="24"/>
        </w:rPr>
        <w:t>基金托管费按不高于基金资产净值的</w:t>
      </w:r>
      <w:r>
        <w:rPr>
          <w:rFonts w:ascii="宋体" w:hAnsi="宋体" w:hint="eastAsia"/>
          <w:color w:val="000000"/>
          <w:sz w:val="24"/>
          <w:szCs w:val="24"/>
        </w:rPr>
        <w:t>0.</w:t>
      </w:r>
      <w:r>
        <w:rPr>
          <w:rFonts w:ascii="宋体" w:hAnsi="宋体" w:hint="eastAsia"/>
          <w:color w:val="000000"/>
          <w:sz w:val="24"/>
          <w:szCs w:val="24"/>
        </w:rPr>
        <w:t>07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 w:hint="eastAsia"/>
          <w:color w:val="000000"/>
          <w:sz w:val="24"/>
          <w:szCs w:val="24"/>
        </w:rPr>
        <w:t>年费率计提。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在通常情况下，基金托管费按前一日基金资产净值的</w:t>
      </w:r>
      <w:r>
        <w:rPr>
          <w:rFonts w:ascii="宋体" w:hAnsi="宋体" w:hint="eastAsia"/>
          <w:color w:val="000000"/>
          <w:sz w:val="24"/>
          <w:szCs w:val="24"/>
        </w:rPr>
        <w:t>0.</w:t>
      </w:r>
      <w:r>
        <w:rPr>
          <w:rFonts w:ascii="宋体" w:hAnsi="宋体" w:hint="eastAsia"/>
          <w:color w:val="000000"/>
          <w:sz w:val="24"/>
          <w:szCs w:val="24"/>
        </w:rPr>
        <w:t>07</w:t>
      </w:r>
      <w:r>
        <w:rPr>
          <w:rFonts w:ascii="宋体" w:hAnsi="宋体" w:hint="eastAsia"/>
          <w:color w:val="000000"/>
          <w:sz w:val="24"/>
          <w:szCs w:val="24"/>
        </w:rPr>
        <w:t>％年费率计提。计算方法如下：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H=E</w:t>
      </w:r>
      <w:r>
        <w:rPr>
          <w:rFonts w:ascii="宋体" w:hAnsi="宋体" w:hint="eastAsia"/>
          <w:color w:val="000000"/>
          <w:sz w:val="24"/>
          <w:szCs w:val="24"/>
        </w:rPr>
        <w:t>×</w:t>
      </w:r>
      <w:r>
        <w:rPr>
          <w:rFonts w:ascii="宋体" w:hAnsi="宋体" w:hint="eastAsia"/>
          <w:color w:val="000000"/>
          <w:sz w:val="24"/>
          <w:szCs w:val="24"/>
        </w:rPr>
        <w:t>0.</w:t>
      </w:r>
      <w:r>
        <w:rPr>
          <w:rFonts w:ascii="宋体" w:hAnsi="宋体" w:hint="eastAsia"/>
          <w:color w:val="000000"/>
          <w:sz w:val="24"/>
          <w:szCs w:val="24"/>
        </w:rPr>
        <w:t>07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 w:hint="eastAsia"/>
          <w:color w:val="000000"/>
          <w:sz w:val="24"/>
          <w:szCs w:val="24"/>
        </w:rPr>
        <w:t>÷当年天数</w:t>
      </w:r>
    </w:p>
    <w:p w:rsidR="003F71E2" w:rsidRDefault="000E36FF">
      <w:pPr>
        <w:tabs>
          <w:tab w:val="left" w:pos="4680"/>
        </w:tabs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</w:t>
      </w:r>
      <w:r>
        <w:rPr>
          <w:rFonts w:ascii="宋体" w:hAnsi="宋体" w:hint="eastAsia"/>
          <w:color w:val="000000"/>
          <w:sz w:val="24"/>
          <w:szCs w:val="24"/>
        </w:rPr>
        <w:t>为每日应计提的基金托管费</w:t>
      </w:r>
    </w:p>
    <w:p w:rsidR="003F71E2" w:rsidRDefault="000E36FF" w:rsidP="000E36FF">
      <w:pPr>
        <w:adjustRightInd w:val="0"/>
        <w:snapToGrid w:val="0"/>
        <w:spacing w:line="360" w:lineRule="auto"/>
        <w:ind w:firstLineChars="202" w:firstLine="485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E</w:t>
      </w:r>
      <w:r>
        <w:rPr>
          <w:rFonts w:ascii="宋体" w:hAnsi="宋体" w:hint="eastAsia"/>
          <w:color w:val="000000"/>
          <w:sz w:val="24"/>
          <w:szCs w:val="24"/>
        </w:rPr>
        <w:t>为前一日的基金资产净值</w:t>
      </w:r>
      <w:r>
        <w:rPr>
          <w:rFonts w:ascii="宋体" w:hAnsi="宋体" w:cs="宋体" w:hint="eastAsia"/>
          <w:sz w:val="24"/>
          <w:szCs w:val="24"/>
        </w:rPr>
        <w:t>”</w:t>
      </w:r>
    </w:p>
    <w:p w:rsidR="003F71E2" w:rsidRDefault="000E36FF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本次修订已履行规定的程序，</w:t>
      </w:r>
      <w:r>
        <w:rPr>
          <w:rFonts w:ascii="宋体" w:hAnsi="宋体" w:cs="宋体" w:hint="eastAsia"/>
          <w:sz w:val="24"/>
        </w:rPr>
        <w:t>符合相关法律法规的规定及基金合同的约定。</w:t>
      </w:r>
      <w:r>
        <w:rPr>
          <w:rFonts w:ascii="宋体" w:eastAsia="宋体" w:hAnsi="宋体" w:cs="宋体" w:hint="eastAsia"/>
          <w:sz w:val="24"/>
          <w:szCs w:val="24"/>
        </w:rPr>
        <w:t>修订后的</w:t>
      </w:r>
      <w:r>
        <w:rPr>
          <w:rFonts w:ascii="宋体" w:eastAsia="宋体" w:hAnsi="宋体" w:cs="宋体" w:hint="eastAsia"/>
          <w:sz w:val="24"/>
          <w:szCs w:val="24"/>
        </w:rPr>
        <w:t>《</w:t>
      </w:r>
      <w:r>
        <w:rPr>
          <w:rFonts w:ascii="宋体" w:eastAsia="宋体" w:hAnsi="宋体" w:cs="宋体" w:hint="eastAsia"/>
          <w:sz w:val="24"/>
          <w:szCs w:val="24"/>
        </w:rPr>
        <w:t>基金合同</w:t>
      </w:r>
      <w:r>
        <w:rPr>
          <w:rFonts w:ascii="宋体" w:eastAsia="宋体" w:hAnsi="宋体" w:cs="宋体" w:hint="eastAsia"/>
          <w:sz w:val="24"/>
          <w:szCs w:val="24"/>
        </w:rPr>
        <w:t>》</w:t>
      </w:r>
      <w:r>
        <w:rPr>
          <w:rFonts w:ascii="宋体" w:eastAsia="宋体" w:hAnsi="宋体" w:cs="宋体" w:hint="eastAsia"/>
          <w:sz w:val="24"/>
          <w:szCs w:val="24"/>
        </w:rPr>
        <w:t>及《托管协议》</w:t>
      </w:r>
      <w:r>
        <w:rPr>
          <w:rFonts w:ascii="宋体" w:eastAsia="宋体" w:hAnsi="宋体" w:cs="宋体" w:hint="eastAsia"/>
          <w:sz w:val="24"/>
          <w:szCs w:val="24"/>
        </w:rPr>
        <w:t>自</w:t>
      </w:r>
      <w:r>
        <w:rPr>
          <w:rFonts w:ascii="宋体" w:eastAsia="宋体" w:hAnsi="宋体" w:cs="宋体" w:hint="eastAsia"/>
          <w:sz w:val="24"/>
          <w:szCs w:val="24"/>
        </w:rPr>
        <w:t>202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日起生效，并与本公告同日登载于基金管理人网站（</w:t>
      </w:r>
      <w:r>
        <w:rPr>
          <w:rFonts w:ascii="宋体" w:eastAsia="宋体" w:hAnsi="宋体" w:cs="宋体" w:hint="eastAsia"/>
          <w:sz w:val="24"/>
          <w:szCs w:val="24"/>
        </w:rPr>
        <w:t>www.bosera.com</w:t>
      </w:r>
      <w:r>
        <w:rPr>
          <w:rFonts w:ascii="宋体" w:eastAsia="宋体" w:hAnsi="宋体" w:cs="宋体" w:hint="eastAsia"/>
          <w:sz w:val="24"/>
          <w:szCs w:val="24"/>
        </w:rPr>
        <w:t>）及中国证监会基金电子披露网站（</w:t>
      </w:r>
      <w:r>
        <w:rPr>
          <w:rFonts w:ascii="宋体" w:eastAsia="宋体" w:hAnsi="宋体" w:cs="宋体" w:hint="eastAsia"/>
          <w:sz w:val="24"/>
          <w:szCs w:val="24"/>
        </w:rPr>
        <w:t>http://eid.csrc.gov.cn/fund</w:t>
      </w:r>
      <w:r>
        <w:rPr>
          <w:rFonts w:ascii="宋体" w:eastAsia="宋体" w:hAnsi="宋体" w:cs="宋体" w:hint="eastAsia"/>
          <w:sz w:val="24"/>
          <w:szCs w:val="24"/>
        </w:rPr>
        <w:t>）。招募说明书、基金产品资料概要涉及前述内容的，将一并修改，并依照《公开募集证券投资基金信息披露管理办法》的有关规定在规定媒介上公告。</w:t>
      </w:r>
    </w:p>
    <w:p w:rsidR="003F71E2" w:rsidRDefault="000E36FF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三、其他事项</w:t>
      </w:r>
    </w:p>
    <w:p w:rsidR="003F71E2" w:rsidRDefault="000E36FF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、投资者可通过以下途径咨询有关详情</w:t>
      </w:r>
    </w:p>
    <w:p w:rsidR="003F71E2" w:rsidRDefault="000E36FF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）本公司客户服务电话：</w:t>
      </w:r>
      <w:r>
        <w:rPr>
          <w:rFonts w:ascii="宋体" w:eastAsia="宋体" w:hAnsi="宋体" w:cs="宋体" w:hint="eastAsia"/>
          <w:sz w:val="24"/>
          <w:szCs w:val="24"/>
        </w:rPr>
        <w:t>95105568</w:t>
      </w:r>
      <w:r>
        <w:rPr>
          <w:rFonts w:ascii="宋体" w:eastAsia="宋体" w:hAnsi="宋体" w:cs="宋体" w:hint="eastAsia"/>
          <w:sz w:val="24"/>
          <w:szCs w:val="24"/>
        </w:rPr>
        <w:t>（全国免长途话费）；</w:t>
      </w:r>
    </w:p>
    <w:p w:rsidR="003F71E2" w:rsidRDefault="000E36FF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）本公司网址：</w:t>
      </w:r>
      <w:r>
        <w:rPr>
          <w:rFonts w:ascii="宋体" w:eastAsia="宋体" w:hAnsi="宋体" w:cs="宋体" w:hint="eastAsia"/>
          <w:sz w:val="24"/>
          <w:szCs w:val="24"/>
        </w:rPr>
        <w:t>www.bosera.com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3F71E2" w:rsidRDefault="000E36FF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和基金产品资料概要等基金法律文件，全面认识基金产品的风险收益特征，在了解产品情况及销售机构适当性意见的基</w:t>
      </w:r>
      <w:r>
        <w:rPr>
          <w:rFonts w:ascii="宋体" w:eastAsia="宋体" w:hAnsi="宋体" w:cs="宋体" w:hint="eastAsia"/>
          <w:sz w:val="24"/>
          <w:szCs w:val="24"/>
        </w:rPr>
        <w:t>础上，根据自身的风险承受能力、投资期限和投资目标，对基金投资作出独立决策，选择合适的基金产品。</w:t>
      </w:r>
    </w:p>
    <w:p w:rsidR="003F71E2" w:rsidRDefault="003F71E2">
      <w:pPr>
        <w:adjustRightIn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3F71E2" w:rsidRDefault="003F71E2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3F71E2" w:rsidRDefault="000E36FF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特此公告。</w:t>
      </w:r>
    </w:p>
    <w:p w:rsidR="003F71E2" w:rsidRDefault="003F71E2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3F71E2" w:rsidRDefault="003F71E2">
      <w:pPr>
        <w:adjustRightInd w:val="0"/>
        <w:snapToGrid w:val="0"/>
        <w:spacing w:line="360" w:lineRule="auto"/>
        <w:ind w:firstLine="480"/>
        <w:rPr>
          <w:rFonts w:ascii="宋体" w:eastAsia="宋体" w:hAnsi="宋体" w:cs="宋体"/>
          <w:color w:val="000000"/>
          <w:sz w:val="24"/>
          <w:szCs w:val="24"/>
        </w:rPr>
      </w:pPr>
    </w:p>
    <w:p w:rsidR="003F71E2" w:rsidRDefault="000E36FF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博时基金管理有限公司</w:t>
      </w:r>
    </w:p>
    <w:p w:rsidR="003F71E2" w:rsidRDefault="000E36FF">
      <w:pPr>
        <w:wordWrap w:val="0"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3F71E2" w:rsidSect="003F71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1E2" w:rsidRDefault="003F71E2" w:rsidP="003F71E2">
      <w:r>
        <w:separator/>
      </w:r>
    </w:p>
  </w:endnote>
  <w:endnote w:type="continuationSeparator" w:id="0">
    <w:p w:rsidR="003F71E2" w:rsidRDefault="003F71E2" w:rsidP="003F7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8583471"/>
    </w:sdtPr>
    <w:sdtContent>
      <w:p w:rsidR="003F71E2" w:rsidRDefault="003F71E2">
        <w:pPr>
          <w:pStyle w:val="a7"/>
          <w:jc w:val="center"/>
        </w:pPr>
        <w:r>
          <w:fldChar w:fldCharType="begin"/>
        </w:r>
        <w:r w:rsidR="000E36FF">
          <w:instrText>PAGE   \* MERGEFORMAT</w:instrText>
        </w:r>
        <w:r>
          <w:fldChar w:fldCharType="separate"/>
        </w:r>
        <w:r w:rsidR="000E36FF" w:rsidRPr="000E36FF">
          <w:rPr>
            <w:noProof/>
            <w:lang w:val="zh-CN"/>
          </w:rPr>
          <w:t>1</w:t>
        </w:r>
        <w:r>
          <w:fldChar w:fldCharType="end"/>
        </w:r>
      </w:p>
    </w:sdtContent>
  </w:sdt>
  <w:p w:rsidR="003F71E2" w:rsidRDefault="003F71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1E2" w:rsidRDefault="003F71E2" w:rsidP="003F71E2">
      <w:r>
        <w:separator/>
      </w:r>
    </w:p>
  </w:footnote>
  <w:footnote w:type="continuationSeparator" w:id="0">
    <w:p w:rsidR="003F71E2" w:rsidRDefault="003F71E2" w:rsidP="003F7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E23A2D"/>
    <w:multiLevelType w:val="singleLevel"/>
    <w:tmpl w:val="EAE23A2D"/>
    <w:lvl w:ilvl="0">
      <w:start w:val="2"/>
      <w:numFmt w:val="chineseCounting"/>
      <w:suff w:val="space"/>
      <w:lvlText w:val="%1、"/>
      <w:lvlJc w:val="left"/>
      <w:pPr>
        <w:ind w:left="2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CCB"/>
    <w:rsid w:val="00007424"/>
    <w:rsid w:val="0001245A"/>
    <w:rsid w:val="00024409"/>
    <w:rsid w:val="000317FF"/>
    <w:rsid w:val="0003328A"/>
    <w:rsid w:val="00050D18"/>
    <w:rsid w:val="000544FA"/>
    <w:rsid w:val="00062939"/>
    <w:rsid w:val="000633DB"/>
    <w:rsid w:val="0006615E"/>
    <w:rsid w:val="000710BF"/>
    <w:rsid w:val="00072B09"/>
    <w:rsid w:val="00076E52"/>
    <w:rsid w:val="00084DBD"/>
    <w:rsid w:val="00086A35"/>
    <w:rsid w:val="00093BCF"/>
    <w:rsid w:val="00094E78"/>
    <w:rsid w:val="000969D1"/>
    <w:rsid w:val="000A7A0A"/>
    <w:rsid w:val="000D1AA0"/>
    <w:rsid w:val="000E0E41"/>
    <w:rsid w:val="000E36FF"/>
    <w:rsid w:val="000E5093"/>
    <w:rsid w:val="000E6BC4"/>
    <w:rsid w:val="00121E58"/>
    <w:rsid w:val="00127DD0"/>
    <w:rsid w:val="001618BD"/>
    <w:rsid w:val="001667BD"/>
    <w:rsid w:val="00183E55"/>
    <w:rsid w:val="00192AE5"/>
    <w:rsid w:val="001A4927"/>
    <w:rsid w:val="001B0A27"/>
    <w:rsid w:val="001E174B"/>
    <w:rsid w:val="00232862"/>
    <w:rsid w:val="002342E5"/>
    <w:rsid w:val="002850D5"/>
    <w:rsid w:val="0029551F"/>
    <w:rsid w:val="002A593C"/>
    <w:rsid w:val="002A6541"/>
    <w:rsid w:val="002A70CD"/>
    <w:rsid w:val="002B15D4"/>
    <w:rsid w:val="002B4780"/>
    <w:rsid w:val="002C45D4"/>
    <w:rsid w:val="002D34C5"/>
    <w:rsid w:val="002F54EA"/>
    <w:rsid w:val="002F64CF"/>
    <w:rsid w:val="002F7262"/>
    <w:rsid w:val="0032077E"/>
    <w:rsid w:val="003313C3"/>
    <w:rsid w:val="00356225"/>
    <w:rsid w:val="00385A77"/>
    <w:rsid w:val="00387104"/>
    <w:rsid w:val="0039414B"/>
    <w:rsid w:val="00396D4B"/>
    <w:rsid w:val="003A1201"/>
    <w:rsid w:val="003A5F8B"/>
    <w:rsid w:val="003B29B4"/>
    <w:rsid w:val="003B489B"/>
    <w:rsid w:val="003C6003"/>
    <w:rsid w:val="003C6BAB"/>
    <w:rsid w:val="003E5821"/>
    <w:rsid w:val="003E7FFE"/>
    <w:rsid w:val="003F71E2"/>
    <w:rsid w:val="004000AA"/>
    <w:rsid w:val="004055FB"/>
    <w:rsid w:val="00426E12"/>
    <w:rsid w:val="00445495"/>
    <w:rsid w:val="004454B2"/>
    <w:rsid w:val="00452758"/>
    <w:rsid w:val="0045343C"/>
    <w:rsid w:val="0046122D"/>
    <w:rsid w:val="004734A6"/>
    <w:rsid w:val="00485CE8"/>
    <w:rsid w:val="00492B16"/>
    <w:rsid w:val="004A5D5C"/>
    <w:rsid w:val="004D37F8"/>
    <w:rsid w:val="00503F2B"/>
    <w:rsid w:val="00507D8E"/>
    <w:rsid w:val="00514E8E"/>
    <w:rsid w:val="0053651A"/>
    <w:rsid w:val="00537911"/>
    <w:rsid w:val="005432B8"/>
    <w:rsid w:val="0055089D"/>
    <w:rsid w:val="00556759"/>
    <w:rsid w:val="005644B9"/>
    <w:rsid w:val="005665B2"/>
    <w:rsid w:val="00585AAF"/>
    <w:rsid w:val="0058663A"/>
    <w:rsid w:val="005936B3"/>
    <w:rsid w:val="005B33FC"/>
    <w:rsid w:val="005C441E"/>
    <w:rsid w:val="005D298B"/>
    <w:rsid w:val="005E1168"/>
    <w:rsid w:val="00611F92"/>
    <w:rsid w:val="006159BD"/>
    <w:rsid w:val="00615D2D"/>
    <w:rsid w:val="00616B72"/>
    <w:rsid w:val="00636BAB"/>
    <w:rsid w:val="00644E3B"/>
    <w:rsid w:val="0065786B"/>
    <w:rsid w:val="00660A52"/>
    <w:rsid w:val="006916D7"/>
    <w:rsid w:val="006951CA"/>
    <w:rsid w:val="006B6A92"/>
    <w:rsid w:val="006C5BC7"/>
    <w:rsid w:val="006E6803"/>
    <w:rsid w:val="00717FB1"/>
    <w:rsid w:val="007276B1"/>
    <w:rsid w:val="00775BE8"/>
    <w:rsid w:val="00776A6F"/>
    <w:rsid w:val="007B189D"/>
    <w:rsid w:val="007B609E"/>
    <w:rsid w:val="007C63F2"/>
    <w:rsid w:val="007D1254"/>
    <w:rsid w:val="00821037"/>
    <w:rsid w:val="00836149"/>
    <w:rsid w:val="0084561C"/>
    <w:rsid w:val="008550FB"/>
    <w:rsid w:val="00871303"/>
    <w:rsid w:val="008720FD"/>
    <w:rsid w:val="00877D7B"/>
    <w:rsid w:val="00881416"/>
    <w:rsid w:val="008A0295"/>
    <w:rsid w:val="008A6ACD"/>
    <w:rsid w:val="008B7B1A"/>
    <w:rsid w:val="008C171C"/>
    <w:rsid w:val="008C4053"/>
    <w:rsid w:val="008D4AE9"/>
    <w:rsid w:val="008F36E7"/>
    <w:rsid w:val="008F52F5"/>
    <w:rsid w:val="009164E0"/>
    <w:rsid w:val="00947A15"/>
    <w:rsid w:val="0096639A"/>
    <w:rsid w:val="009709C0"/>
    <w:rsid w:val="00973B55"/>
    <w:rsid w:val="00983852"/>
    <w:rsid w:val="009B4E69"/>
    <w:rsid w:val="009B7C8D"/>
    <w:rsid w:val="009D0A17"/>
    <w:rsid w:val="009E5F5A"/>
    <w:rsid w:val="009F7749"/>
    <w:rsid w:val="00A13B47"/>
    <w:rsid w:val="00A14326"/>
    <w:rsid w:val="00A53B46"/>
    <w:rsid w:val="00A547EC"/>
    <w:rsid w:val="00A836EA"/>
    <w:rsid w:val="00A86C94"/>
    <w:rsid w:val="00A920A8"/>
    <w:rsid w:val="00AA38C8"/>
    <w:rsid w:val="00AF11A9"/>
    <w:rsid w:val="00B0663F"/>
    <w:rsid w:val="00B14C79"/>
    <w:rsid w:val="00B15FCA"/>
    <w:rsid w:val="00B32292"/>
    <w:rsid w:val="00B35CEF"/>
    <w:rsid w:val="00BB0C41"/>
    <w:rsid w:val="00BC7936"/>
    <w:rsid w:val="00BF4CE1"/>
    <w:rsid w:val="00BF7C80"/>
    <w:rsid w:val="00C00C59"/>
    <w:rsid w:val="00C03E88"/>
    <w:rsid w:val="00C23061"/>
    <w:rsid w:val="00C265D4"/>
    <w:rsid w:val="00C5554A"/>
    <w:rsid w:val="00C64009"/>
    <w:rsid w:val="00C751D2"/>
    <w:rsid w:val="00C82B76"/>
    <w:rsid w:val="00C87D09"/>
    <w:rsid w:val="00C90769"/>
    <w:rsid w:val="00CA1DCD"/>
    <w:rsid w:val="00CB61AB"/>
    <w:rsid w:val="00CC1244"/>
    <w:rsid w:val="00CD26E2"/>
    <w:rsid w:val="00CE2E9A"/>
    <w:rsid w:val="00CE51E8"/>
    <w:rsid w:val="00D003D8"/>
    <w:rsid w:val="00D154E5"/>
    <w:rsid w:val="00D16564"/>
    <w:rsid w:val="00D3382D"/>
    <w:rsid w:val="00D34797"/>
    <w:rsid w:val="00D37D67"/>
    <w:rsid w:val="00D438D5"/>
    <w:rsid w:val="00D44A40"/>
    <w:rsid w:val="00D47E8F"/>
    <w:rsid w:val="00D47F11"/>
    <w:rsid w:val="00D56F44"/>
    <w:rsid w:val="00D70597"/>
    <w:rsid w:val="00D759DF"/>
    <w:rsid w:val="00D94406"/>
    <w:rsid w:val="00DB31DA"/>
    <w:rsid w:val="00DB4191"/>
    <w:rsid w:val="00DE4608"/>
    <w:rsid w:val="00DE6F94"/>
    <w:rsid w:val="00DF1593"/>
    <w:rsid w:val="00E00B3E"/>
    <w:rsid w:val="00E01C8A"/>
    <w:rsid w:val="00E1111C"/>
    <w:rsid w:val="00E117B4"/>
    <w:rsid w:val="00E1459D"/>
    <w:rsid w:val="00E212D7"/>
    <w:rsid w:val="00E402A5"/>
    <w:rsid w:val="00E42AFE"/>
    <w:rsid w:val="00E5499C"/>
    <w:rsid w:val="00E708D2"/>
    <w:rsid w:val="00E8647A"/>
    <w:rsid w:val="00E938BE"/>
    <w:rsid w:val="00EA38EB"/>
    <w:rsid w:val="00EA7D3C"/>
    <w:rsid w:val="00EB440C"/>
    <w:rsid w:val="00EC38B2"/>
    <w:rsid w:val="00EC4FC7"/>
    <w:rsid w:val="00EE7F37"/>
    <w:rsid w:val="00EF42A8"/>
    <w:rsid w:val="00F02169"/>
    <w:rsid w:val="00F05672"/>
    <w:rsid w:val="00F21697"/>
    <w:rsid w:val="00F85CCB"/>
    <w:rsid w:val="00F8729E"/>
    <w:rsid w:val="00FC3809"/>
    <w:rsid w:val="00FC3CC8"/>
    <w:rsid w:val="00FD287E"/>
    <w:rsid w:val="00FE172F"/>
    <w:rsid w:val="00FE400A"/>
    <w:rsid w:val="00FE70D6"/>
    <w:rsid w:val="00FF6A2E"/>
    <w:rsid w:val="01A96587"/>
    <w:rsid w:val="02BD4BE4"/>
    <w:rsid w:val="05BA772D"/>
    <w:rsid w:val="06010068"/>
    <w:rsid w:val="06CE3F39"/>
    <w:rsid w:val="07963981"/>
    <w:rsid w:val="08C71AF5"/>
    <w:rsid w:val="0D67410D"/>
    <w:rsid w:val="0F1844B9"/>
    <w:rsid w:val="0F1915CB"/>
    <w:rsid w:val="1203449B"/>
    <w:rsid w:val="12C000D1"/>
    <w:rsid w:val="139A32B7"/>
    <w:rsid w:val="190D4AD8"/>
    <w:rsid w:val="1BA558EC"/>
    <w:rsid w:val="1C3123B9"/>
    <w:rsid w:val="1F8A3F4D"/>
    <w:rsid w:val="1FE2545A"/>
    <w:rsid w:val="204476F4"/>
    <w:rsid w:val="208444AB"/>
    <w:rsid w:val="21824EC2"/>
    <w:rsid w:val="23834AD2"/>
    <w:rsid w:val="23E90662"/>
    <w:rsid w:val="25F85512"/>
    <w:rsid w:val="26E80893"/>
    <w:rsid w:val="272D1900"/>
    <w:rsid w:val="27B9389D"/>
    <w:rsid w:val="29305AB2"/>
    <w:rsid w:val="2BC05BCE"/>
    <w:rsid w:val="2BEE4BA1"/>
    <w:rsid w:val="2C3A3E99"/>
    <w:rsid w:val="2D8639BE"/>
    <w:rsid w:val="2ECE4A31"/>
    <w:rsid w:val="2ED63DF1"/>
    <w:rsid w:val="2FFA4747"/>
    <w:rsid w:val="30894312"/>
    <w:rsid w:val="330A235E"/>
    <w:rsid w:val="33874918"/>
    <w:rsid w:val="35155D82"/>
    <w:rsid w:val="37AC75E6"/>
    <w:rsid w:val="38777FB4"/>
    <w:rsid w:val="3BC00BBA"/>
    <w:rsid w:val="3C837B36"/>
    <w:rsid w:val="3CB75A2A"/>
    <w:rsid w:val="3E2005BB"/>
    <w:rsid w:val="404339FD"/>
    <w:rsid w:val="4387760B"/>
    <w:rsid w:val="45154265"/>
    <w:rsid w:val="451851EA"/>
    <w:rsid w:val="45BD10DE"/>
    <w:rsid w:val="464623D8"/>
    <w:rsid w:val="46D50B05"/>
    <w:rsid w:val="476218AB"/>
    <w:rsid w:val="48405A16"/>
    <w:rsid w:val="48891CE0"/>
    <w:rsid w:val="48A4573B"/>
    <w:rsid w:val="494F4610"/>
    <w:rsid w:val="4A3F2F5D"/>
    <w:rsid w:val="4A4473E5"/>
    <w:rsid w:val="4AA94B8B"/>
    <w:rsid w:val="4B557DAB"/>
    <w:rsid w:val="4C457E30"/>
    <w:rsid w:val="4E4740FD"/>
    <w:rsid w:val="4E7E6AE0"/>
    <w:rsid w:val="4EEE3BD0"/>
    <w:rsid w:val="51B376FD"/>
    <w:rsid w:val="568D04F2"/>
    <w:rsid w:val="575823DC"/>
    <w:rsid w:val="576E6AFE"/>
    <w:rsid w:val="57715504"/>
    <w:rsid w:val="5AA62E48"/>
    <w:rsid w:val="5C350FD5"/>
    <w:rsid w:val="5FB70C17"/>
    <w:rsid w:val="6492430D"/>
    <w:rsid w:val="65CA788D"/>
    <w:rsid w:val="666B23BE"/>
    <w:rsid w:val="66B86AD4"/>
    <w:rsid w:val="6FCB6AF9"/>
    <w:rsid w:val="6FEC6C3C"/>
    <w:rsid w:val="73555D45"/>
    <w:rsid w:val="73B26648"/>
    <w:rsid w:val="74C92AA2"/>
    <w:rsid w:val="766A0607"/>
    <w:rsid w:val="78A04BA3"/>
    <w:rsid w:val="7A253E75"/>
    <w:rsid w:val="7AAA5C90"/>
    <w:rsid w:val="7CFC5A0B"/>
    <w:rsid w:val="7EE4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First Indent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rsid w:val="003F71E2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semiHidden/>
    <w:qFormat/>
    <w:rsid w:val="003F71E2"/>
    <w:pPr>
      <w:spacing w:line="300" w:lineRule="auto"/>
      <w:ind w:firstLine="425"/>
    </w:pPr>
    <w:rPr>
      <w:szCs w:val="20"/>
    </w:rPr>
  </w:style>
  <w:style w:type="paragraph" w:styleId="a4">
    <w:name w:val="Body Text"/>
    <w:basedOn w:val="a"/>
    <w:semiHidden/>
    <w:qFormat/>
    <w:rsid w:val="003F71E2"/>
    <w:pPr>
      <w:spacing w:after="120"/>
    </w:pPr>
  </w:style>
  <w:style w:type="paragraph" w:styleId="a5">
    <w:name w:val="Normal Indent"/>
    <w:basedOn w:val="a"/>
    <w:semiHidden/>
    <w:qFormat/>
    <w:rsid w:val="003F71E2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qFormat/>
    <w:rsid w:val="003F71E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3F7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rsid w:val="003F7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F71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2"/>
    <w:uiPriority w:val="10"/>
    <w:qFormat/>
    <w:rsid w:val="003F71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basedOn w:val="a1"/>
    <w:uiPriority w:val="22"/>
    <w:qFormat/>
    <w:rsid w:val="003F71E2"/>
    <w:rPr>
      <w:b/>
      <w:bCs/>
    </w:rPr>
  </w:style>
  <w:style w:type="character" w:customStyle="1" w:styleId="Char1">
    <w:name w:val="页眉 Char"/>
    <w:basedOn w:val="a1"/>
    <w:link w:val="a8"/>
    <w:uiPriority w:val="99"/>
    <w:qFormat/>
    <w:rsid w:val="003F71E2"/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sid w:val="003F71E2"/>
    <w:rPr>
      <w:sz w:val="18"/>
      <w:szCs w:val="18"/>
    </w:rPr>
  </w:style>
  <w:style w:type="character" w:customStyle="1" w:styleId="Char2">
    <w:name w:val="标题 Char"/>
    <w:basedOn w:val="a1"/>
    <w:link w:val="aa"/>
    <w:uiPriority w:val="10"/>
    <w:qFormat/>
    <w:rsid w:val="003F71E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baec5a81-e4d6-4674-97f3-e9220f0136c1">
    <w:name w:val="baec5a81-e4d6-4674-97f3-e9220f0136c1"/>
    <w:basedOn w:val="a1"/>
    <w:qFormat/>
    <w:rsid w:val="003F71E2"/>
  </w:style>
  <w:style w:type="character" w:customStyle="1" w:styleId="Char">
    <w:name w:val="批注框文本 Char"/>
    <w:basedOn w:val="a1"/>
    <w:link w:val="a6"/>
    <w:uiPriority w:val="99"/>
    <w:semiHidden/>
    <w:qFormat/>
    <w:rsid w:val="003F7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1354</Characters>
  <Application>Microsoft Office Word</Application>
  <DocSecurity>4</DocSecurity>
  <Lines>11</Lines>
  <Paragraphs>3</Paragraphs>
  <ScaleCrop>false</ScaleCrop>
  <Company>llinks.com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haop</dc:creator>
  <cp:lastModifiedBy>ZHONGM</cp:lastModifiedBy>
  <cp:revision>2</cp:revision>
  <cp:lastPrinted>2021-07-30T06:39:00Z</cp:lastPrinted>
  <dcterms:created xsi:type="dcterms:W3CDTF">2025-10-17T16:01:00Z</dcterms:created>
  <dcterms:modified xsi:type="dcterms:W3CDTF">2025-10-17T16:01:00Z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4B439C488A17468494F1A750488F6FD7_13</vt:lpwstr>
  </property>
</Properties>
</file>