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35" w:rsidRDefault="00B25835">
      <w:pPr>
        <w:pStyle w:val="biaogecenter"/>
        <w:rPr>
          <w:sz w:val="30"/>
          <w:szCs w:val="30"/>
        </w:rPr>
      </w:pPr>
      <w:r>
        <w:rPr>
          <w:rFonts w:hint="eastAsia"/>
          <w:b/>
          <w:bCs/>
          <w:sz w:val="30"/>
          <w:szCs w:val="30"/>
        </w:rPr>
        <w:t>浙商汇金锦利增强30天持有期债券型证券投资基金开放日常申购、赎回、转换、定期定额投资业务公告</w:t>
      </w:r>
    </w:p>
    <w:p w:rsidR="00B25835" w:rsidRDefault="00B25835">
      <w:pPr>
        <w:pStyle w:val="biaogecenter"/>
        <w:rPr>
          <w:rFonts w:hint="eastAsia"/>
        </w:rPr>
      </w:pPr>
    </w:p>
    <w:p w:rsidR="00B25835" w:rsidRDefault="00B25835">
      <w:pPr>
        <w:pStyle w:val="biaogecenter"/>
        <w:rPr>
          <w:rFonts w:hint="eastAsia"/>
        </w:rPr>
      </w:pPr>
      <w:r>
        <w:rPr>
          <w:rFonts w:hint="eastAsia"/>
        </w:rPr>
        <w:t>公告送出日期：2025年10月18日</w:t>
      </w:r>
    </w:p>
    <w:p w:rsidR="00B25835" w:rsidRDefault="00B25835" w:rsidP="004F1271">
      <w:pPr>
        <w:pStyle w:val="dazhangjie"/>
        <w:rPr>
          <w:rFonts w:hint="eastAsia"/>
        </w:rPr>
      </w:pPr>
      <w:r w:rsidRPr="001E5A7F">
        <w:rPr>
          <w:rFonts w:hAnsi="Calibri" w:hint="eastAsia"/>
          <w:b/>
          <w:color w:val="000000"/>
        </w:rPr>
        <w:t>1 公告基本信息</w:t>
      </w:r>
    </w:p>
    <w:tbl>
      <w:tblPr>
        <w:tblW w:w="8250" w:type="dxa"/>
        <w:tblInd w:w="108" w:type="dxa"/>
        <w:tblLook w:val="04A0"/>
      </w:tblPr>
      <w:tblGrid>
        <w:gridCol w:w="3300"/>
        <w:gridCol w:w="2475"/>
        <w:gridCol w:w="2475"/>
      </w:tblGrid>
      <w:tr w:rsidR="00B25835" w:rsidRPr="001E5A7F">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浙商汇金锦利增强30天持有期债券型证券投资基金</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浙商汇金锦利增强30天持有期债券</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024102</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基金运作方式</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契约型开放式。每个开放日开放申购，本基金对每份基金份额设置30天的最短持有期限。</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2025年09月19日</w:t>
            </w:r>
          </w:p>
        </w:tc>
      </w:tr>
      <w:tr w:rsidR="00B25835" w:rsidRPr="001E5A7F">
        <w:tc>
          <w:tcPr>
            <w:tcW w:w="3600" w:type="dxa"/>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浙江浙商证券资产管理有限公司</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中国农业银行股份有限公司</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基金注册登记机构名称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浙江浙商证券资产管理有限公司</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《公开募集证券投资基金信息披露管理办法》《浙商汇金锦利增强30天持有期债券型证券投资基金基金合同》和《浙商汇金锦利增强30天持有期债券型证券投资基金招募说明书》等</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申购起始日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2025年10月20日</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赎回起始日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2025年10月20日</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转换转入起始日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2025年10月20日</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转换转出起始日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2025年10月20日</w:t>
            </w:r>
          </w:p>
        </w:tc>
      </w:tr>
      <w:tr w:rsidR="00B25835" w:rsidRPr="001E5A7F">
        <w:tc>
          <w:tcPr>
            <w:tcW w:w="0" w:type="auto"/>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定期定额投资起始日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2025年10月20日</w:t>
            </w:r>
          </w:p>
        </w:tc>
      </w:tr>
      <w:tr w:rsidR="00B25835" w:rsidRPr="001E5A7F">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浙商汇金锦利增强30天持有期债券A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浙商汇金锦利增强30天持有期债券C</w:t>
            </w:r>
          </w:p>
        </w:tc>
      </w:tr>
      <w:tr w:rsidR="00B25835" w:rsidRPr="001E5A7F">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024102</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024103</w:t>
            </w:r>
          </w:p>
        </w:tc>
      </w:tr>
      <w:tr w:rsidR="00B25835" w:rsidRPr="001E5A7F">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该分级基金是否开放申购、赎回（转换、定期定额投资）</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是</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是</w:t>
            </w:r>
          </w:p>
        </w:tc>
      </w:tr>
    </w:tbl>
    <w:p w:rsidR="00B25835" w:rsidRDefault="00B25835">
      <w:pPr>
        <w:widowControl/>
        <w:jc w:val="left"/>
        <w:rPr>
          <w:rFonts w:ascii="宋体" w:hAnsi="宋体" w:cs="宋体" w:hint="eastAsia"/>
          <w:kern w:val="0"/>
          <w:sz w:val="24"/>
          <w:szCs w:val="24"/>
        </w:rPr>
      </w:pPr>
    </w:p>
    <w:p w:rsidR="00B25835" w:rsidRDefault="00B25835">
      <w:pPr>
        <w:pStyle w:val="dazhangjie"/>
        <w:divId w:val="1824658800"/>
        <w:rPr>
          <w:rFonts w:hint="eastAsia"/>
        </w:rPr>
      </w:pPr>
      <w:r>
        <w:rPr>
          <w:rFonts w:hint="eastAsia"/>
          <w:b/>
          <w:bCs/>
        </w:rPr>
        <w:t>2 日常申购、赎回（转换、定期定额投资）业务的办理时间</w:t>
      </w:r>
    </w:p>
    <w:p w:rsidR="00B25835" w:rsidRDefault="00B25835" w:rsidP="004F1271">
      <w:pPr>
        <w:pStyle w:val="neirong"/>
        <w:divId w:val="1824658800"/>
        <w:rPr>
          <w:rFonts w:hint="eastAsia"/>
        </w:rPr>
      </w:pPr>
      <w:r>
        <w:rPr>
          <w:rFonts w:hint="eastAsia"/>
        </w:rPr>
        <w:lastRenderedPageBreak/>
        <w:t>  基金管理人在开放日办理基金份额的申购，在每份基金份额的最短持有期限届满后的下一工作日（含）起可办理赎回及转换转出业务。具体办理时间为上海证券交易所、深圳证券交易所的正常交易日的交易时间（若本基金参与港股通交易且该工作日为非港股通交易日或遇港股通因其他原因暂停交易的情况，则基金管理人可根据实际情况决定本基金是否暂停办理申购、赎回及转换业务，具体以届时的公告为准），但基金管理人根据法律法规、中国证监会的要求或本基金合同的规定公告暂停申购、赎回时除外。开放日的具体业务办理时间在招募说明书中载明。</w:t>
      </w:r>
      <w:r>
        <w:rPr>
          <w:rFonts w:hint="eastAsia"/>
        </w:rPr>
        <w:br/>
        <w:t>  基金合同生效后，若出现新的证券/期货交易市场、证券/期货交易所交易时间变更、港股通交易规则变更或其他特殊情况，基金管理人将视情况对前述开放日及开放时间进行相应的调整，但应在实施日前依照《信息披露办法》的有关规定在规定媒介上公告。</w:t>
      </w:r>
      <w:r w:rsidR="004F1271">
        <w:rPr>
          <w:rFonts w:hint="eastAsia"/>
        </w:rPr>
        <w:br/>
        <w:t>  </w:t>
      </w:r>
    </w:p>
    <w:p w:rsidR="00B25835" w:rsidRDefault="00B25835" w:rsidP="004F1271">
      <w:pPr>
        <w:pStyle w:val="dazhangjie"/>
        <w:divId w:val="1018971317"/>
        <w:rPr>
          <w:rFonts w:hint="eastAsia"/>
        </w:rPr>
      </w:pPr>
      <w:r>
        <w:rPr>
          <w:rFonts w:hint="eastAsia"/>
          <w:b/>
          <w:bCs/>
        </w:rPr>
        <w:t>3 日常申购业务</w:t>
      </w:r>
    </w:p>
    <w:p w:rsidR="00B25835" w:rsidRDefault="00B25835">
      <w:pPr>
        <w:pStyle w:val="zhangjiep"/>
        <w:divId w:val="1018971317"/>
        <w:rPr>
          <w:rFonts w:hint="eastAsia"/>
        </w:rPr>
      </w:pPr>
      <w:r>
        <w:rPr>
          <w:rFonts w:hint="eastAsia"/>
          <w:b/>
          <w:bCs/>
        </w:rPr>
        <w:t>3.1 申购金额限制</w:t>
      </w:r>
    </w:p>
    <w:p w:rsidR="00B25835" w:rsidRDefault="00B25835">
      <w:pPr>
        <w:pStyle w:val="neirong"/>
        <w:divId w:val="1018971317"/>
        <w:rPr>
          <w:rFonts w:hint="eastAsia"/>
        </w:rPr>
      </w:pPr>
      <w:r>
        <w:rPr>
          <w:rFonts w:hint="eastAsia"/>
        </w:rPr>
        <w:t>  1、投资人通过其他销售机构申购本基金基金份额的，每个基金账户首次申购的单笔最低金额为人民币1.00元（含申购费），追加申购不设单笔最低限额。投资人通过直销机构（直销柜台）首次申购本基金基金份额的，单笔最低限额为人民币1,000元（含申购费），追加申购单笔最低限额为人民币1,000元（含申购费）。各销售机构对最低申购限额及交易级差有其他规定的，以各销售机构的业务规定为准。</w:t>
      </w:r>
      <w:r>
        <w:rPr>
          <w:rFonts w:hint="eastAsia"/>
        </w:rPr>
        <w:br/>
        <w:t>  投资人如已成功认购过本基金则不受上述首次最低申购金额限制。投资者当期分配的基金收益转购基金份额时，不受最低上述申购金额的限制。</w:t>
      </w:r>
      <w:r>
        <w:rPr>
          <w:rFonts w:hint="eastAsia"/>
        </w:rPr>
        <w:br/>
        <w:t>  2、投资者可多次申购，对单个投资人累计持有的基金份额不设上限限制。但单一投资者持有基金份额数不得达到或超过基金份额总数的50%（在基金运作过程中因基金份额赎回等情形导致被动达到或超过50%的除外）。</w:t>
      </w:r>
      <w:r>
        <w:rPr>
          <w:rFonts w:hint="eastAsia"/>
        </w:rPr>
        <w:br/>
        <w:t>  3、基金管理人有权决定本基金的总规模限额、单日净申购比例上限、单个投资者单日或单笔申购金额上限，但应最迟在新的限额实施前依照《信息披露办法》的有关规定在规定媒介上公告。</w:t>
      </w:r>
      <w:r>
        <w:rPr>
          <w:rFonts w:hint="eastAsia"/>
        </w:rPr>
        <w:br/>
        <w:t>  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w:t>
      </w:r>
      <w:r>
        <w:rPr>
          <w:rFonts w:hint="eastAsia"/>
        </w:rPr>
        <w:lastRenderedPageBreak/>
        <w:t>运作与风险控制的需要，可采取上述措施对基金规模予以控制。具体见基金管理人相关公告。</w:t>
      </w:r>
      <w:r>
        <w:rPr>
          <w:rFonts w:hint="eastAsia"/>
        </w:rPr>
        <w:br/>
        <w:t>  5、基金管理人可在法律法规允许的情况下，调整上述规定申购金额和赎回份额的数量限制。基金管理人必须在调整实施前依照《信息披露办法》的有关规定在规定媒介上公告。</w:t>
      </w:r>
    </w:p>
    <w:p w:rsidR="00B25835" w:rsidRDefault="00B25835">
      <w:pPr>
        <w:widowControl/>
        <w:jc w:val="left"/>
        <w:divId w:val="1018971317"/>
        <w:rPr>
          <w:rFonts w:ascii="宋体" w:hAnsi="宋体" w:cs="宋体" w:hint="eastAsia"/>
          <w:kern w:val="0"/>
          <w:sz w:val="24"/>
          <w:szCs w:val="24"/>
        </w:rPr>
      </w:pPr>
    </w:p>
    <w:p w:rsidR="00B25835" w:rsidRDefault="00B25835" w:rsidP="004F1271">
      <w:pPr>
        <w:pStyle w:val="zhangjiep"/>
        <w:divId w:val="1018971317"/>
        <w:rPr>
          <w:rFonts w:hint="eastAsia"/>
        </w:rPr>
      </w:pPr>
      <w:r>
        <w:rPr>
          <w:rFonts w:hint="eastAsia"/>
          <w:b/>
          <w:bCs/>
        </w:rPr>
        <w:t>3.2 申购费率</w:t>
      </w:r>
    </w:p>
    <w:p w:rsidR="00B25835" w:rsidRDefault="00B25835">
      <w:pPr>
        <w:pStyle w:val="zhangjiep"/>
        <w:divId w:val="1018971317"/>
        <w:rPr>
          <w:rFonts w:hint="eastAsia"/>
        </w:rPr>
      </w:pPr>
      <w:r>
        <w:rPr>
          <w:rFonts w:hint="eastAsia"/>
          <w:b/>
          <w:bCs/>
        </w:rPr>
        <w:t>3.2.1 前端收费</w:t>
      </w:r>
    </w:p>
    <w:tbl>
      <w:tblPr>
        <w:tblW w:w="8250" w:type="dxa"/>
        <w:tblInd w:w="108" w:type="dxa"/>
        <w:tblLook w:val="04A0"/>
      </w:tblPr>
      <w:tblGrid>
        <w:gridCol w:w="3300"/>
        <w:gridCol w:w="2475"/>
        <w:gridCol w:w="2475"/>
      </w:tblGrid>
      <w:tr w:rsidR="00B25835" w:rsidRPr="001E5A7F">
        <w:trPr>
          <w:divId w:val="1018971317"/>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浙商汇金锦利增强30天持有期债券A申购金额(M)</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申购费率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备注</w:t>
            </w:r>
          </w:p>
        </w:tc>
      </w:tr>
      <w:tr w:rsidR="00B25835" w:rsidRPr="001E5A7F">
        <w:trPr>
          <w:divId w:val="1018971317"/>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M100万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0.60%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rPr>
                <w:rFonts w:ascii="宋体" w:hAnsi="宋体" w:cs="宋体"/>
                <w:kern w:val="0"/>
                <w:sz w:val="24"/>
                <w:szCs w:val="24"/>
              </w:rPr>
            </w:pPr>
          </w:p>
        </w:tc>
      </w:tr>
      <w:tr w:rsidR="00B25835" w:rsidRPr="001E5A7F">
        <w:trPr>
          <w:divId w:val="1018971317"/>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100万≤M&lt;200万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0.40%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rPr>
                <w:rFonts w:ascii="宋体" w:hAnsi="宋体" w:cs="宋体"/>
                <w:kern w:val="0"/>
                <w:sz w:val="24"/>
                <w:szCs w:val="24"/>
              </w:rPr>
            </w:pPr>
          </w:p>
        </w:tc>
      </w:tr>
      <w:tr w:rsidR="00B25835" w:rsidRPr="001E5A7F">
        <w:trPr>
          <w:divId w:val="1018971317"/>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200万≤M&lt;500万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0.20%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rPr>
                <w:rFonts w:ascii="宋体" w:hAnsi="宋体" w:cs="宋体"/>
                <w:kern w:val="0"/>
                <w:sz w:val="24"/>
                <w:szCs w:val="24"/>
              </w:rPr>
            </w:pPr>
          </w:p>
        </w:tc>
      </w:tr>
      <w:tr w:rsidR="00B25835" w:rsidRPr="001E5A7F">
        <w:trPr>
          <w:divId w:val="1018971317"/>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500万≤M</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pStyle w:val="biaogeleft"/>
              <w:wordWrap w:val="0"/>
            </w:pPr>
            <w:r>
              <w:rPr>
                <w:rFonts w:hint="eastAsia"/>
              </w:rPr>
              <w:t>1000.00元/笔</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B25835" w:rsidRDefault="00B25835">
            <w:pPr>
              <w:rPr>
                <w:rFonts w:ascii="宋体" w:hAnsi="宋体" w:cs="宋体"/>
                <w:kern w:val="0"/>
                <w:sz w:val="24"/>
                <w:szCs w:val="24"/>
              </w:rPr>
            </w:pPr>
          </w:p>
        </w:tc>
      </w:tr>
    </w:tbl>
    <w:p w:rsidR="00B25835" w:rsidRDefault="00B25835" w:rsidP="004F1271">
      <w:pPr>
        <w:pStyle w:val="neirong"/>
        <w:ind w:left="0"/>
        <w:divId w:val="1018971317"/>
        <w:rPr>
          <w:rFonts w:hint="eastAsia"/>
        </w:rPr>
      </w:pPr>
      <w:r>
        <w:rPr>
          <w:rFonts w:hint="eastAsia"/>
        </w:rPr>
        <w:t>C类基金份额不收取申购费用，但从本类别基金资产中计提销售服务费。</w:t>
      </w:r>
    </w:p>
    <w:p w:rsidR="00B25835" w:rsidRDefault="00B25835">
      <w:pPr>
        <w:widowControl/>
        <w:jc w:val="left"/>
        <w:divId w:val="1018971317"/>
        <w:rPr>
          <w:rFonts w:ascii="宋体" w:hAnsi="宋体" w:cs="宋体" w:hint="eastAsia"/>
          <w:kern w:val="0"/>
          <w:sz w:val="24"/>
          <w:szCs w:val="24"/>
        </w:rPr>
      </w:pPr>
    </w:p>
    <w:p w:rsidR="00B25835" w:rsidRDefault="00B25835">
      <w:pPr>
        <w:pStyle w:val="zhangjiep"/>
        <w:divId w:val="1018971317"/>
        <w:rPr>
          <w:rFonts w:hint="eastAsia"/>
        </w:rPr>
      </w:pPr>
      <w:r>
        <w:rPr>
          <w:rFonts w:hint="eastAsia"/>
          <w:b/>
          <w:bCs/>
        </w:rPr>
        <w:t>3.3 其他与申购相关的事项</w:t>
      </w:r>
    </w:p>
    <w:p w:rsidR="00B25835" w:rsidRDefault="00B25835">
      <w:pPr>
        <w:pStyle w:val="biaogeleft"/>
        <w:ind w:firstLine="480"/>
        <w:divId w:val="1018971317"/>
        <w:rPr>
          <w:rFonts w:hint="eastAsia"/>
        </w:rPr>
      </w:pPr>
      <w:r>
        <w:rPr>
          <w:rFonts w:hint="eastAsia"/>
        </w:rPr>
        <w:t>无。</w:t>
      </w:r>
    </w:p>
    <w:p w:rsidR="00B25835" w:rsidRDefault="00B25835">
      <w:pPr>
        <w:widowControl/>
        <w:jc w:val="left"/>
        <w:divId w:val="1018971317"/>
        <w:rPr>
          <w:rFonts w:ascii="宋体" w:hAnsi="宋体" w:cs="宋体" w:hint="eastAsia"/>
          <w:kern w:val="0"/>
          <w:sz w:val="24"/>
          <w:szCs w:val="24"/>
        </w:rPr>
      </w:pPr>
    </w:p>
    <w:p w:rsidR="00B25835" w:rsidRDefault="00B25835" w:rsidP="004F1271">
      <w:pPr>
        <w:pStyle w:val="dazhangjie"/>
        <w:divId w:val="1760714386"/>
        <w:rPr>
          <w:rFonts w:hint="eastAsia"/>
        </w:rPr>
      </w:pPr>
      <w:r>
        <w:rPr>
          <w:rFonts w:hint="eastAsia"/>
          <w:b/>
          <w:bCs/>
        </w:rPr>
        <w:t>4 日常赎回业务</w:t>
      </w:r>
    </w:p>
    <w:p w:rsidR="00B25835" w:rsidRDefault="00B25835">
      <w:pPr>
        <w:pStyle w:val="zhangjiep"/>
        <w:divId w:val="1760714386"/>
        <w:rPr>
          <w:rFonts w:hint="eastAsia"/>
        </w:rPr>
      </w:pPr>
      <w:r>
        <w:rPr>
          <w:rFonts w:hint="eastAsia"/>
          <w:b/>
          <w:bCs/>
        </w:rPr>
        <w:t>4.1 赎回份额限制</w:t>
      </w:r>
    </w:p>
    <w:p w:rsidR="00B25835" w:rsidRDefault="00B25835">
      <w:pPr>
        <w:pStyle w:val="neirong"/>
        <w:divId w:val="1760714386"/>
        <w:rPr>
          <w:rFonts w:hint="eastAsia"/>
        </w:rPr>
      </w:pPr>
      <w:r>
        <w:rPr>
          <w:rFonts w:hint="eastAsia"/>
        </w:rPr>
        <w:t>  1、基金份额持有人在销售机构赎回基金份额时，每次赎回申请不得低于1份基金份额。基金份额持有人赎回时或赎回后在销售机构单个基金交易账户保留的基金份额余额不足1.00份的，余额部分基金份额在赎回时须同时全部赎回。</w:t>
      </w:r>
      <w:r>
        <w:rPr>
          <w:rFonts w:hint="eastAsia"/>
        </w:rPr>
        <w:br/>
        <w:t>  2、基金管理人可在法律法规允许的情况下，调整上述规定申购金额和赎回份额的数量限制。基金管理人必须在调整前依照《信息披露办法》的有关规定在规定媒介上公告。</w:t>
      </w:r>
    </w:p>
    <w:p w:rsidR="00B25835" w:rsidRDefault="00B25835">
      <w:pPr>
        <w:widowControl/>
        <w:jc w:val="left"/>
        <w:divId w:val="1760714386"/>
        <w:rPr>
          <w:rFonts w:ascii="宋体" w:hAnsi="宋体" w:cs="宋体" w:hint="eastAsia"/>
          <w:kern w:val="0"/>
          <w:sz w:val="24"/>
          <w:szCs w:val="24"/>
        </w:rPr>
      </w:pPr>
    </w:p>
    <w:p w:rsidR="00B25835" w:rsidRDefault="00B25835">
      <w:pPr>
        <w:pStyle w:val="zhangjiep"/>
        <w:divId w:val="1760714386"/>
        <w:rPr>
          <w:rFonts w:hint="eastAsia"/>
        </w:rPr>
      </w:pPr>
      <w:r>
        <w:rPr>
          <w:rFonts w:hint="eastAsia"/>
          <w:b/>
          <w:bCs/>
        </w:rPr>
        <w:t>4.2 赎回费率</w:t>
      </w:r>
    </w:p>
    <w:p w:rsidR="00B25835" w:rsidRDefault="00B25835">
      <w:pPr>
        <w:pStyle w:val="neirong"/>
        <w:divId w:val="1760714386"/>
        <w:rPr>
          <w:rFonts w:hint="eastAsia"/>
        </w:rPr>
      </w:pPr>
      <w:r>
        <w:rPr>
          <w:rFonts w:hint="eastAsia"/>
        </w:rPr>
        <w:t>由于本基金对每份基金份额设置30天的最短持有期限，最短持有期限届满后，本基金赎回不收取赎回费用。</w:t>
      </w:r>
    </w:p>
    <w:p w:rsidR="00B25835" w:rsidRDefault="00B25835">
      <w:pPr>
        <w:widowControl/>
        <w:jc w:val="left"/>
        <w:divId w:val="1760714386"/>
        <w:rPr>
          <w:rFonts w:ascii="宋体" w:hAnsi="宋体" w:cs="宋体" w:hint="eastAsia"/>
          <w:kern w:val="0"/>
          <w:sz w:val="24"/>
          <w:szCs w:val="24"/>
        </w:rPr>
      </w:pPr>
    </w:p>
    <w:p w:rsidR="00B25835" w:rsidRDefault="00B25835">
      <w:pPr>
        <w:pStyle w:val="zhangjiep"/>
        <w:divId w:val="1760714386"/>
        <w:rPr>
          <w:rFonts w:hint="eastAsia"/>
        </w:rPr>
      </w:pPr>
      <w:r>
        <w:rPr>
          <w:rFonts w:hint="eastAsia"/>
          <w:b/>
          <w:bCs/>
        </w:rPr>
        <w:t>4.3 其他与赎回相关的事项</w:t>
      </w:r>
    </w:p>
    <w:p w:rsidR="00B25835" w:rsidRDefault="00B25835">
      <w:pPr>
        <w:pStyle w:val="biaogeleft"/>
        <w:ind w:firstLine="480"/>
        <w:divId w:val="1760714386"/>
        <w:rPr>
          <w:rFonts w:hint="eastAsia"/>
        </w:rPr>
      </w:pPr>
      <w:r>
        <w:rPr>
          <w:rFonts w:hint="eastAsia"/>
        </w:rPr>
        <w:t>无。</w:t>
      </w:r>
    </w:p>
    <w:p w:rsidR="00B25835" w:rsidRDefault="00B25835">
      <w:pPr>
        <w:widowControl/>
        <w:jc w:val="left"/>
        <w:divId w:val="1760714386"/>
        <w:rPr>
          <w:rFonts w:ascii="宋体" w:hAnsi="宋体" w:cs="宋体" w:hint="eastAsia"/>
          <w:kern w:val="0"/>
          <w:sz w:val="24"/>
          <w:szCs w:val="24"/>
        </w:rPr>
      </w:pPr>
    </w:p>
    <w:p w:rsidR="00B25835" w:rsidRDefault="00B25835" w:rsidP="004F1271">
      <w:pPr>
        <w:pStyle w:val="dazhangjie"/>
        <w:divId w:val="460003049"/>
        <w:rPr>
          <w:rFonts w:hint="eastAsia"/>
        </w:rPr>
      </w:pPr>
      <w:r>
        <w:rPr>
          <w:rFonts w:hint="eastAsia"/>
          <w:b/>
          <w:bCs/>
        </w:rPr>
        <w:t>5 日常转换业务</w:t>
      </w:r>
    </w:p>
    <w:p w:rsidR="00B25835" w:rsidRDefault="00B25835">
      <w:pPr>
        <w:pStyle w:val="zhangjiep"/>
        <w:divId w:val="460003049"/>
        <w:rPr>
          <w:rFonts w:hint="eastAsia"/>
        </w:rPr>
      </w:pPr>
      <w:r>
        <w:rPr>
          <w:rFonts w:hint="eastAsia"/>
          <w:b/>
          <w:bCs/>
        </w:rPr>
        <w:t>5.1 转换费率</w:t>
      </w:r>
    </w:p>
    <w:p w:rsidR="00B25835" w:rsidRDefault="00B25835" w:rsidP="004F1271">
      <w:pPr>
        <w:pStyle w:val="neirong"/>
        <w:divId w:val="460003049"/>
        <w:rPr>
          <w:rFonts w:hint="eastAsia"/>
        </w:rPr>
      </w:pPr>
      <w:r>
        <w:rPr>
          <w:rFonts w:hint="eastAsia"/>
        </w:rPr>
        <w:t>  基金转换费用由转出基金赎回费和转换补差费组成，即：基金转换费=转出基金赎回费+转换补差费。从申购费用低的基金向申购费用高的基金转换时，收取转换补差费；从申购费用高的基金向申购费用低的基金转换时，不收取转换补差费。另，本公司将不对销售机构转换补差费率设折扣限制，原转换补差费率为固定费用的，则按原费率执行。</w:t>
      </w:r>
      <w:r w:rsidR="004F1271">
        <w:rPr>
          <w:rFonts w:hint="eastAsia"/>
        </w:rPr>
        <w:br/>
        <w:t xml:space="preserve">    </w:t>
      </w:r>
      <w:r>
        <w:rPr>
          <w:rFonts w:hint="eastAsia"/>
        </w:rPr>
        <w:t>1）基金转换以份额为单位进行申请。投资者办理基金转换业务时，转出方的基金必须处于可赎回状态，转入方的基金必须处于可申购状态。</w:t>
      </w:r>
      <w:r w:rsidR="004F1271">
        <w:rPr>
          <w:rFonts w:hint="eastAsia"/>
        </w:rPr>
        <w:br/>
        <w:t>  </w:t>
      </w:r>
      <w:r>
        <w:rPr>
          <w:rFonts w:hint="eastAsia"/>
        </w:rPr>
        <w:t>2）基金转换的目标基金份额按新交易计算持有时间。基金转出视为赎回，转入视为申购。</w:t>
      </w:r>
      <w:r w:rsidR="004F1271">
        <w:rPr>
          <w:rFonts w:hint="eastAsia"/>
        </w:rPr>
        <w:br/>
        <w:t>  </w:t>
      </w:r>
      <w:r>
        <w:rPr>
          <w:rFonts w:hint="eastAsia"/>
        </w:rPr>
        <w:t>3）基金转换采取未知价法，以申请当日基金份额净值为基础计算。投资者采用“份额转换”的原则提交申请。转出基金份额必须是可用份额，并遵循“先进先出”的原则，即先转换持有时间最长的基金份额。如果转换申请当日，同时有赎回申请的情况下，则遵循先赎回后转换的处理原则。</w:t>
      </w:r>
      <w:r w:rsidR="004F1271">
        <w:rPr>
          <w:rFonts w:hint="eastAsia"/>
        </w:rPr>
        <w:br/>
        <w:t>  </w:t>
      </w:r>
      <w:r>
        <w:rPr>
          <w:rFonts w:hint="eastAsia"/>
        </w:rPr>
        <w:t>4）转换费计算采用单笔计算法。投资者在单日多次转换的，单笔计算转换费，不按照转换的总份额计算其转换费用。基金转换费用由基金份额持有人承担。</w:t>
      </w:r>
      <w:r w:rsidR="004F1271">
        <w:rPr>
          <w:rFonts w:hint="eastAsia"/>
        </w:rPr>
        <w:br/>
        <w:t>  </w:t>
      </w:r>
      <w:r>
        <w:rPr>
          <w:rFonts w:hint="eastAsia"/>
        </w:rPr>
        <w:t>5）办理转换时，本基金的最低转换转出份额及最低持有份额以相应公告为准。若基金份额持有人单个基金账户中单只基金份额余额低于上述转换最低份额，当基金份额持有人申请将账户中该基金全部份额进行转换为另一只基金时，不受上述转换最低份额限制。当基金份额持有人的某笔转换申请导致单个基金账户的基金份额余额少于上述最低持有份额时，基金管理人有权将余额部分基金份额强制赎回。</w:t>
      </w:r>
      <w:r w:rsidR="004F1271">
        <w:rPr>
          <w:rFonts w:hint="eastAsia"/>
        </w:rPr>
        <w:br/>
        <w:t>  </w:t>
      </w:r>
    </w:p>
    <w:p w:rsidR="00B25835" w:rsidRDefault="00B25835">
      <w:pPr>
        <w:pStyle w:val="zhangjiep"/>
        <w:divId w:val="1409689928"/>
        <w:rPr>
          <w:rFonts w:hint="eastAsia"/>
        </w:rPr>
      </w:pPr>
      <w:r>
        <w:rPr>
          <w:rFonts w:hint="eastAsia"/>
          <w:b/>
          <w:bCs/>
        </w:rPr>
        <w:t>5.2 其他与转换相关的事项</w:t>
      </w:r>
    </w:p>
    <w:p w:rsidR="00B25835" w:rsidRDefault="00B25835" w:rsidP="004F1271">
      <w:pPr>
        <w:pStyle w:val="neirong"/>
        <w:divId w:val="460003049"/>
        <w:rPr>
          <w:rFonts w:hint="eastAsia"/>
        </w:rPr>
      </w:pPr>
      <w:r>
        <w:rPr>
          <w:rFonts w:hint="eastAsia"/>
        </w:rPr>
        <w:t>  基金转换只能在同一销售机构办理，且该销售机构同时代理转出基金及转入基金的销售。此次参与转换业务的代销机构包含：京东肯特瑞基金销售有限公司、上海天天基金销售有限公司、蚂蚁（杭州）基金销售有限公司、腾安基金销售(深圳)有限公司、浙江同花顺基金销售有限公司、深圳众禄基金销售股份有限公司、上海基煜基金销售有限公司、招商证券股份有限公司、上海好买基金销售有限公司、上海利得基金销售有限公司、众惠基金销售有限公司、上海陆金所基金销售有限公司、珠海盈米基金销售有限公司、北京度小满基金销售有限公司、北京汇成基金销售有限公司、上海中正达广基金销售有限公司。销售机构支持办理本基金的转换业务以销售机构规定为准，转换业务的具体规则请遵循各销售机构的具体规则执行。</w:t>
      </w:r>
      <w:r w:rsidR="004F1271">
        <w:rPr>
          <w:rFonts w:hint="eastAsia"/>
        </w:rPr>
        <w:br/>
        <w:t>  </w:t>
      </w:r>
    </w:p>
    <w:p w:rsidR="00B25835" w:rsidRDefault="00B25835">
      <w:pPr>
        <w:pStyle w:val="dazhangjie"/>
        <w:divId w:val="1656688504"/>
        <w:rPr>
          <w:rFonts w:hint="eastAsia"/>
        </w:rPr>
      </w:pPr>
      <w:r>
        <w:rPr>
          <w:rFonts w:hint="eastAsia"/>
          <w:b/>
          <w:bCs/>
        </w:rPr>
        <w:t>6 定期定额投资业务</w:t>
      </w:r>
    </w:p>
    <w:p w:rsidR="00B25835" w:rsidRDefault="00B25835">
      <w:pPr>
        <w:pStyle w:val="neirong"/>
        <w:divId w:val="1656688504"/>
        <w:rPr>
          <w:rFonts w:hint="eastAsia"/>
        </w:rPr>
      </w:pPr>
      <w:r>
        <w:rPr>
          <w:rFonts w:hint="eastAsia"/>
        </w:rPr>
        <w:t>  定期定额投资业务是基金申购的一种业务方式，投资者可以通过基金销售机构提交申请，约定每期扣款时间、扣款金额及扣款方式，由基金销售机构于约定扣款日在投资者指定资金账户内自动完成扣款及基金申购业务。投资者在办理基金定期定额投资业务的同时，仍然可以进行日常申购、赎回业务。投资者可通过基金销售机构办理本基金定期定额投资业务，其他销售机构如以后开展本基金定期定额投资业务，基金管理人不再另行公告，以各销售机构公告为准。</w:t>
      </w:r>
    </w:p>
    <w:p w:rsidR="00B25835" w:rsidRDefault="00B25835">
      <w:pPr>
        <w:widowControl/>
        <w:jc w:val="left"/>
        <w:divId w:val="5406344"/>
        <w:rPr>
          <w:rFonts w:ascii="宋体" w:hAnsi="宋体" w:cs="宋体" w:hint="eastAsia"/>
          <w:kern w:val="0"/>
          <w:sz w:val="24"/>
          <w:szCs w:val="24"/>
        </w:rPr>
      </w:pPr>
    </w:p>
    <w:p w:rsidR="00B25835" w:rsidRDefault="00B25835" w:rsidP="004F1271">
      <w:pPr>
        <w:pStyle w:val="dazhangjie"/>
        <w:divId w:val="40135719"/>
        <w:rPr>
          <w:rFonts w:hint="eastAsia"/>
        </w:rPr>
      </w:pPr>
      <w:r>
        <w:rPr>
          <w:rFonts w:hint="eastAsia"/>
          <w:b/>
          <w:bCs/>
        </w:rPr>
        <w:t>7 基金销售机构</w:t>
      </w:r>
    </w:p>
    <w:p w:rsidR="00B25835" w:rsidRDefault="00B25835">
      <w:pPr>
        <w:pStyle w:val="zhangjiep"/>
        <w:divId w:val="40135719"/>
        <w:rPr>
          <w:rFonts w:hint="eastAsia"/>
        </w:rPr>
      </w:pPr>
      <w:r>
        <w:rPr>
          <w:rFonts w:hint="eastAsia"/>
          <w:b/>
          <w:bCs/>
        </w:rPr>
        <w:t>7.1 场外销售机构</w:t>
      </w:r>
    </w:p>
    <w:p w:rsidR="00B25835" w:rsidRDefault="00B25835">
      <w:pPr>
        <w:pStyle w:val="zhangjiep"/>
        <w:divId w:val="40135719"/>
        <w:rPr>
          <w:rFonts w:hint="eastAsia"/>
        </w:rPr>
      </w:pPr>
      <w:r>
        <w:rPr>
          <w:rFonts w:hint="eastAsia"/>
          <w:b/>
          <w:bCs/>
        </w:rPr>
        <w:t>7.1.1 直销机构</w:t>
      </w:r>
    </w:p>
    <w:p w:rsidR="00B25835" w:rsidRDefault="00B25835">
      <w:pPr>
        <w:pStyle w:val="neirong"/>
        <w:divId w:val="40135719"/>
        <w:rPr>
          <w:rFonts w:hint="eastAsia"/>
        </w:rPr>
      </w:pPr>
      <w:r>
        <w:rPr>
          <w:rFonts w:hint="eastAsia"/>
        </w:rPr>
        <w:t>  浙江浙商证券资产管理有限公司直销柜台</w:t>
      </w:r>
      <w:r>
        <w:rPr>
          <w:rFonts w:hint="eastAsia"/>
        </w:rPr>
        <w:br/>
        <w:t>  住所：杭州市拱墅区天水巷25号</w:t>
      </w:r>
      <w:r>
        <w:rPr>
          <w:rFonts w:hint="eastAsia"/>
        </w:rPr>
        <w:br/>
        <w:t>  办公地址：浙江省杭州市上城区五星路201号浙商证券大楼7楼</w:t>
      </w:r>
      <w:r>
        <w:rPr>
          <w:rFonts w:hint="eastAsia"/>
        </w:rPr>
        <w:br/>
        <w:t>  法定代表人：盛建龙</w:t>
      </w:r>
      <w:r>
        <w:rPr>
          <w:rFonts w:hint="eastAsia"/>
        </w:rPr>
        <w:br/>
        <w:t>  联系人：杨丹宁</w:t>
      </w:r>
      <w:r>
        <w:rPr>
          <w:rFonts w:hint="eastAsia"/>
        </w:rPr>
        <w:br/>
        <w:t>  联系电话：（0571）87903793</w:t>
      </w:r>
      <w:r>
        <w:rPr>
          <w:rFonts w:hint="eastAsia"/>
        </w:rPr>
        <w:br/>
        <w:t>  传真：（0571）87902581</w:t>
      </w:r>
      <w:r>
        <w:rPr>
          <w:rFonts w:hint="eastAsia"/>
        </w:rPr>
        <w:br/>
        <w:t>  网址：www.stocke.com.cn</w:t>
      </w:r>
      <w:r>
        <w:rPr>
          <w:rFonts w:hint="eastAsia"/>
        </w:rPr>
        <w:br/>
        <w:t>  客服电话：95345</w:t>
      </w:r>
      <w:r>
        <w:rPr>
          <w:rFonts w:hint="eastAsia"/>
        </w:rPr>
        <w:br/>
        <w:t>  </w:t>
      </w:r>
    </w:p>
    <w:p w:rsidR="00B25835" w:rsidRDefault="00B25835">
      <w:pPr>
        <w:pStyle w:val="zhangjiep"/>
        <w:divId w:val="40135719"/>
        <w:rPr>
          <w:rFonts w:hint="eastAsia"/>
        </w:rPr>
      </w:pPr>
      <w:r>
        <w:rPr>
          <w:rFonts w:hint="eastAsia"/>
          <w:b/>
          <w:bCs/>
        </w:rPr>
        <w:t>7.1.2 场外非直销机构</w:t>
      </w:r>
    </w:p>
    <w:p w:rsidR="00B25835" w:rsidRDefault="00B25835">
      <w:pPr>
        <w:pStyle w:val="neirong"/>
        <w:divId w:val="40135719"/>
        <w:rPr>
          <w:rFonts w:hint="eastAsia"/>
        </w:rPr>
      </w:pPr>
      <w:r>
        <w:rPr>
          <w:rFonts w:hint="eastAsia"/>
        </w:rPr>
        <w:t>  详见管理人网站公示。基金管理人可根据相关法律法规要求，变更或增减本基金的销售机构，并在基金管理人网站公示。</w:t>
      </w:r>
      <w:r>
        <w:rPr>
          <w:rFonts w:hint="eastAsia"/>
        </w:rPr>
        <w:br/>
        <w:t>  </w:t>
      </w:r>
    </w:p>
    <w:p w:rsidR="00B25835" w:rsidRDefault="00B25835">
      <w:pPr>
        <w:pStyle w:val="zhangjiep"/>
        <w:divId w:val="40135719"/>
        <w:rPr>
          <w:rFonts w:hint="eastAsia"/>
        </w:rPr>
      </w:pPr>
      <w:r>
        <w:rPr>
          <w:rFonts w:hint="eastAsia"/>
          <w:b/>
          <w:bCs/>
        </w:rPr>
        <w:t>7.2 场内销售机构</w:t>
      </w:r>
    </w:p>
    <w:p w:rsidR="00B25835" w:rsidRDefault="00B25835">
      <w:pPr>
        <w:pStyle w:val="neirong"/>
        <w:divId w:val="40135719"/>
        <w:rPr>
          <w:rFonts w:hint="eastAsia"/>
        </w:rPr>
      </w:pPr>
      <w:r>
        <w:rPr>
          <w:rFonts w:hint="eastAsia"/>
        </w:rPr>
        <w:t>  无。</w:t>
      </w:r>
    </w:p>
    <w:p w:rsidR="004F1271" w:rsidRDefault="004F1271">
      <w:pPr>
        <w:pStyle w:val="neirong"/>
        <w:divId w:val="40135719"/>
        <w:rPr>
          <w:rFonts w:hint="eastAsia"/>
        </w:rPr>
      </w:pPr>
    </w:p>
    <w:p w:rsidR="00B25835" w:rsidRDefault="00B25835">
      <w:pPr>
        <w:pStyle w:val="dazhangjie"/>
        <w:divId w:val="925115088"/>
        <w:rPr>
          <w:rFonts w:hint="eastAsia"/>
        </w:rPr>
      </w:pPr>
      <w:r>
        <w:rPr>
          <w:rFonts w:hint="eastAsia"/>
          <w:b/>
          <w:bCs/>
        </w:rPr>
        <w:t>8 基金份额净值公告/基金收益公告的披露安排</w:t>
      </w:r>
    </w:p>
    <w:p w:rsidR="00B25835" w:rsidRDefault="00B25835" w:rsidP="004F1271">
      <w:pPr>
        <w:pStyle w:val="neirong"/>
        <w:divId w:val="925115088"/>
        <w:rPr>
          <w:rFonts w:hint="eastAsia"/>
        </w:rPr>
      </w:pPr>
      <w:r>
        <w:rPr>
          <w:rFonts w:hint="eastAsia"/>
        </w:rPr>
        <w:t>  本基金管理人在开始办理基金份额申购或者赎回后，基金管理人应当按照下列要求披露基金净值信息：</w:t>
      </w:r>
      <w:r w:rsidR="004F1271">
        <w:rPr>
          <w:rFonts w:hint="eastAsia"/>
        </w:rPr>
        <w:br/>
        <w:t>  </w:t>
      </w:r>
      <w:r>
        <w:rPr>
          <w:rFonts w:hint="eastAsia"/>
        </w:rPr>
        <w:t>1）开放式基金在不晚于每个开放日的次日，通过规定网站、基金销售机构网站或者营业网点披露开放日的基金份额净值和基金份额累计净值；</w:t>
      </w:r>
      <w:r w:rsidR="004F1271">
        <w:rPr>
          <w:rFonts w:hint="eastAsia"/>
        </w:rPr>
        <w:br/>
        <w:t>  </w:t>
      </w:r>
      <w:r>
        <w:rPr>
          <w:rFonts w:hint="eastAsia"/>
        </w:rPr>
        <w:t>2）开放式基金的基金合同生效后，在开始办理基金份额申购或赎回前，至少每周在制规定网站披露一次基金份额净值和基金份额累计净值；</w:t>
      </w:r>
      <w:r w:rsidR="004F1271">
        <w:rPr>
          <w:rFonts w:hint="eastAsia"/>
        </w:rPr>
        <w:br/>
        <w:t>  </w:t>
      </w:r>
      <w:r>
        <w:rPr>
          <w:rFonts w:hint="eastAsia"/>
        </w:rPr>
        <w:t>3）在不晚于半年度和年度最后一日的次日，在规定网站披露半年度和年度最后一日的基金份额净值和基金份额累计净值。</w:t>
      </w:r>
      <w:r w:rsidR="004F1271">
        <w:rPr>
          <w:rFonts w:hint="eastAsia"/>
        </w:rPr>
        <w:br/>
        <w:t>  </w:t>
      </w:r>
    </w:p>
    <w:p w:rsidR="00B25835" w:rsidRDefault="00B25835">
      <w:pPr>
        <w:pStyle w:val="dazhangjie"/>
        <w:divId w:val="530529334"/>
        <w:rPr>
          <w:rFonts w:hint="eastAsia"/>
        </w:rPr>
      </w:pPr>
      <w:r>
        <w:rPr>
          <w:rFonts w:hint="eastAsia"/>
          <w:b/>
          <w:bCs/>
        </w:rPr>
        <w:t>9 其他需要提示的事项</w:t>
      </w:r>
    </w:p>
    <w:p w:rsidR="00B25835" w:rsidRDefault="00B25835">
      <w:pPr>
        <w:pStyle w:val="neirong"/>
        <w:divId w:val="530529334"/>
        <w:rPr>
          <w:rFonts w:hint="eastAsia"/>
        </w:rPr>
      </w:pPr>
      <w:r>
        <w:rPr>
          <w:rFonts w:hint="eastAsia"/>
        </w:rPr>
        <w:t>  1）投资者欲了解本基金的详细情况，请查询本基金的《基金合同》和《招募说明书》；有关本基金开放申购、赎回的具体规定若有变化，本公司将另行公告。</w:t>
      </w:r>
      <w:r>
        <w:rPr>
          <w:rFonts w:hint="eastAsia"/>
        </w:rPr>
        <w:br/>
        <w:t>  2）基金管理人依照恪尽职守、诚实信用、谨慎勤勉的原则管理和运用基金资产，但不保证本基金一定盈利，也不保证最低收益。本基金的过往业绩及其净值高低并不预示其未来业绩表现，基金管理人管理的其他基金的业绩亦不构成对本基金业绩表现的保证。基金管理人提醒投资者基金投资的“买者自负”原则，在做出投资决策后，基金运营状况与基金净值变化引致的投资风险，由投资者自行负担。</w:t>
      </w:r>
      <w:r>
        <w:rPr>
          <w:rFonts w:hint="eastAsia"/>
        </w:rPr>
        <w:br/>
        <w:t>  3）投资者可拨打本公司的客户服务电话（95345）了解基金申购、赎回等事宜，亦可通过本公司网站（www.stocke.com.cn）了解基金销售相关事宜。</w:t>
      </w:r>
    </w:p>
    <w:p w:rsidR="00B25835" w:rsidRDefault="00B25835">
      <w:pPr>
        <w:widowControl/>
        <w:jc w:val="left"/>
        <w:divId w:val="530529334"/>
        <w:rPr>
          <w:rFonts w:ascii="宋体" w:hAnsi="宋体" w:cs="宋体" w:hint="eastAsia"/>
          <w:kern w:val="0"/>
          <w:sz w:val="24"/>
          <w:szCs w:val="24"/>
        </w:rPr>
      </w:pPr>
    </w:p>
    <w:p w:rsidR="00B25835" w:rsidRDefault="00B25835">
      <w:pPr>
        <w:pStyle w:val="biaogeright"/>
        <w:rPr>
          <w:rFonts w:hint="eastAsia"/>
        </w:rPr>
      </w:pPr>
      <w:r w:rsidRPr="001E5A7F">
        <w:rPr>
          <w:rFonts w:hAnsi="Calibri" w:hint="eastAsia"/>
          <w:color w:val="000000"/>
        </w:rPr>
        <w:t>浙江浙商证券资产管理有限公司</w:t>
      </w:r>
    </w:p>
    <w:p w:rsidR="00B25835" w:rsidRDefault="00B25835">
      <w:pPr>
        <w:pStyle w:val="biaogeright"/>
        <w:rPr>
          <w:rFonts w:hint="eastAsia"/>
        </w:rPr>
      </w:pPr>
      <w:r w:rsidRPr="001E5A7F">
        <w:rPr>
          <w:rFonts w:hAnsi="Calibri" w:hint="eastAsia"/>
          <w:color w:val="000000"/>
        </w:rPr>
        <w:t>2025年10月18日</w:t>
      </w:r>
    </w:p>
    <w:sectPr w:rsidR="00B25835">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742" w:rsidRDefault="00634742" w:rsidP="001E5A7F">
      <w:r>
        <w:separator/>
      </w:r>
    </w:p>
  </w:endnote>
  <w:endnote w:type="continuationSeparator" w:id="0">
    <w:p w:rsidR="00634742" w:rsidRDefault="00634742" w:rsidP="001E5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742" w:rsidRDefault="00634742" w:rsidP="001E5A7F">
      <w:r>
        <w:separator/>
      </w:r>
    </w:p>
  </w:footnote>
  <w:footnote w:type="continuationSeparator" w:id="0">
    <w:p w:rsidR="00634742" w:rsidRDefault="00634742" w:rsidP="001E5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5A7F"/>
    <w:rsid w:val="001E5A7F"/>
    <w:rsid w:val="00246DDC"/>
    <w:rsid w:val="004F1271"/>
    <w:rsid w:val="00634742"/>
    <w:rsid w:val="00B258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135719">
      <w:marLeft w:val="0"/>
      <w:marRight w:val="0"/>
      <w:marTop w:val="0"/>
      <w:marBottom w:val="0"/>
      <w:divBdr>
        <w:top w:val="none" w:sz="0" w:space="0" w:color="auto"/>
        <w:left w:val="none" w:sz="0" w:space="0" w:color="auto"/>
        <w:bottom w:val="none" w:sz="0" w:space="0" w:color="auto"/>
        <w:right w:val="none" w:sz="0" w:space="0" w:color="auto"/>
      </w:divBdr>
    </w:div>
    <w:div w:id="460003049">
      <w:marLeft w:val="0"/>
      <w:marRight w:val="0"/>
      <w:marTop w:val="0"/>
      <w:marBottom w:val="0"/>
      <w:divBdr>
        <w:top w:val="none" w:sz="0" w:space="0" w:color="auto"/>
        <w:left w:val="none" w:sz="0" w:space="0" w:color="auto"/>
        <w:bottom w:val="none" w:sz="0" w:space="0" w:color="auto"/>
        <w:right w:val="none" w:sz="0" w:space="0" w:color="auto"/>
      </w:divBdr>
      <w:divsChild>
        <w:div w:id="70009362">
          <w:marLeft w:val="0"/>
          <w:marRight w:val="0"/>
          <w:marTop w:val="0"/>
          <w:marBottom w:val="0"/>
          <w:divBdr>
            <w:top w:val="none" w:sz="0" w:space="0" w:color="auto"/>
            <w:left w:val="none" w:sz="0" w:space="0" w:color="auto"/>
            <w:bottom w:val="none" w:sz="0" w:space="0" w:color="auto"/>
            <w:right w:val="none" w:sz="0" w:space="0" w:color="auto"/>
          </w:divBdr>
        </w:div>
        <w:div w:id="558445308">
          <w:marLeft w:val="0"/>
          <w:marRight w:val="0"/>
          <w:marTop w:val="0"/>
          <w:marBottom w:val="0"/>
          <w:divBdr>
            <w:top w:val="none" w:sz="0" w:space="0" w:color="auto"/>
            <w:left w:val="none" w:sz="0" w:space="0" w:color="auto"/>
            <w:bottom w:val="none" w:sz="0" w:space="0" w:color="auto"/>
            <w:right w:val="none" w:sz="0" w:space="0" w:color="auto"/>
          </w:divBdr>
        </w:div>
        <w:div w:id="1409689928">
          <w:marLeft w:val="0"/>
          <w:marRight w:val="0"/>
          <w:marTop w:val="0"/>
          <w:marBottom w:val="0"/>
          <w:divBdr>
            <w:top w:val="none" w:sz="0" w:space="0" w:color="auto"/>
            <w:left w:val="none" w:sz="0" w:space="0" w:color="auto"/>
            <w:bottom w:val="none" w:sz="0" w:space="0" w:color="auto"/>
            <w:right w:val="none" w:sz="0" w:space="0" w:color="auto"/>
          </w:divBdr>
        </w:div>
        <w:div w:id="1420520573">
          <w:marLeft w:val="0"/>
          <w:marRight w:val="0"/>
          <w:marTop w:val="0"/>
          <w:marBottom w:val="0"/>
          <w:divBdr>
            <w:top w:val="none" w:sz="0" w:space="0" w:color="auto"/>
            <w:left w:val="none" w:sz="0" w:space="0" w:color="auto"/>
            <w:bottom w:val="none" w:sz="0" w:space="0" w:color="auto"/>
            <w:right w:val="none" w:sz="0" w:space="0" w:color="auto"/>
          </w:divBdr>
        </w:div>
      </w:divsChild>
    </w:div>
    <w:div w:id="530529334">
      <w:marLeft w:val="0"/>
      <w:marRight w:val="0"/>
      <w:marTop w:val="0"/>
      <w:marBottom w:val="0"/>
      <w:divBdr>
        <w:top w:val="none" w:sz="0" w:space="0" w:color="auto"/>
        <w:left w:val="none" w:sz="0" w:space="0" w:color="auto"/>
        <w:bottom w:val="none" w:sz="0" w:space="0" w:color="auto"/>
        <w:right w:val="none" w:sz="0" w:space="0" w:color="auto"/>
      </w:divBdr>
    </w:div>
    <w:div w:id="925115088">
      <w:marLeft w:val="0"/>
      <w:marRight w:val="0"/>
      <w:marTop w:val="0"/>
      <w:marBottom w:val="0"/>
      <w:divBdr>
        <w:top w:val="none" w:sz="0" w:space="0" w:color="auto"/>
        <w:left w:val="none" w:sz="0" w:space="0" w:color="auto"/>
        <w:bottom w:val="none" w:sz="0" w:space="0" w:color="auto"/>
        <w:right w:val="none" w:sz="0" w:space="0" w:color="auto"/>
      </w:divBdr>
    </w:div>
    <w:div w:id="1018971317">
      <w:marLeft w:val="0"/>
      <w:marRight w:val="0"/>
      <w:marTop w:val="0"/>
      <w:marBottom w:val="0"/>
      <w:divBdr>
        <w:top w:val="none" w:sz="0" w:space="0" w:color="auto"/>
        <w:left w:val="none" w:sz="0" w:space="0" w:color="auto"/>
        <w:bottom w:val="none" w:sz="0" w:space="0" w:color="auto"/>
        <w:right w:val="none" w:sz="0" w:space="0" w:color="auto"/>
      </w:divBdr>
    </w:div>
    <w:div w:id="1656688504">
      <w:marLeft w:val="0"/>
      <w:marRight w:val="0"/>
      <w:marTop w:val="0"/>
      <w:marBottom w:val="0"/>
      <w:divBdr>
        <w:top w:val="none" w:sz="0" w:space="0" w:color="auto"/>
        <w:left w:val="none" w:sz="0" w:space="0" w:color="auto"/>
        <w:bottom w:val="none" w:sz="0" w:space="0" w:color="auto"/>
        <w:right w:val="none" w:sz="0" w:space="0" w:color="auto"/>
      </w:divBdr>
      <w:divsChild>
        <w:div w:id="5406344">
          <w:marLeft w:val="0"/>
          <w:marRight w:val="0"/>
          <w:marTop w:val="0"/>
          <w:marBottom w:val="0"/>
          <w:divBdr>
            <w:top w:val="none" w:sz="0" w:space="0" w:color="auto"/>
            <w:left w:val="none" w:sz="0" w:space="0" w:color="auto"/>
            <w:bottom w:val="none" w:sz="0" w:space="0" w:color="auto"/>
            <w:right w:val="none" w:sz="0" w:space="0" w:color="auto"/>
          </w:divBdr>
        </w:div>
      </w:divsChild>
    </w:div>
    <w:div w:id="1760714386">
      <w:marLeft w:val="0"/>
      <w:marRight w:val="0"/>
      <w:marTop w:val="0"/>
      <w:marBottom w:val="0"/>
      <w:divBdr>
        <w:top w:val="none" w:sz="0" w:space="0" w:color="auto"/>
        <w:left w:val="none" w:sz="0" w:space="0" w:color="auto"/>
        <w:bottom w:val="none" w:sz="0" w:space="0" w:color="auto"/>
        <w:right w:val="none" w:sz="0" w:space="0" w:color="auto"/>
      </w:divBdr>
    </w:div>
    <w:div w:id="182465880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3671</Characters>
  <Application>Microsoft Office Word</Application>
  <DocSecurity>4</DocSecurity>
  <Lines>30</Lines>
  <Paragraphs>8</Paragraphs>
  <ScaleCrop>false</ScaleCrop>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2025-10-17T16:00:00Z</dcterms:created>
  <dcterms:modified xsi:type="dcterms:W3CDTF">2025-10-17T16:00:00Z</dcterms:modified>
</cp:coreProperties>
</file>