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873EE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5C4BEC" w:rsidP="005C4BE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C4BEC">
        <w:rPr>
          <w:rFonts w:ascii="仿宋" w:eastAsia="仿宋" w:hAnsi="仿宋" w:hint="eastAsia"/>
          <w:color w:val="000000" w:themeColor="text1"/>
          <w:sz w:val="28"/>
          <w:szCs w:val="28"/>
        </w:rPr>
        <w:t>万家创业板2年定期开放混合型证券投资基金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5C4BEC">
        <w:rPr>
          <w:rFonts w:ascii="仿宋" w:eastAsia="仿宋" w:hAnsi="仿宋" w:hint="eastAsia"/>
          <w:color w:val="000000" w:themeColor="text1"/>
          <w:sz w:val="28"/>
          <w:szCs w:val="28"/>
        </w:rPr>
        <w:t>万家沪深300成长交易型开放式指数证券投资基金发起式联接基金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5C4BEC">
        <w:rPr>
          <w:rFonts w:ascii="仿宋" w:eastAsia="仿宋" w:hAnsi="仿宋" w:hint="eastAsia"/>
          <w:color w:val="000000" w:themeColor="text1"/>
          <w:sz w:val="28"/>
          <w:szCs w:val="28"/>
        </w:rPr>
        <w:t>万家CFETS 0-3年期山东省国有企业信用债精选指数发起式证券投资基金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D2669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1D2669"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  <w:bookmarkStart w:id="0" w:name="_GoBack"/>
      <w:bookmarkEnd w:id="0"/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D2669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1D2669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5C4BEC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4A" w:rsidRDefault="0007084A" w:rsidP="009A149B">
      <w:r>
        <w:separator/>
      </w:r>
    </w:p>
  </w:endnote>
  <w:endnote w:type="continuationSeparator" w:id="0">
    <w:p w:rsidR="0007084A" w:rsidRDefault="0007084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858F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858F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73EEC" w:rsidRPr="00873EE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4A" w:rsidRDefault="0007084A" w:rsidP="009A149B">
      <w:r>
        <w:separator/>
      </w:r>
    </w:p>
  </w:footnote>
  <w:footnote w:type="continuationSeparator" w:id="0">
    <w:p w:rsidR="0007084A" w:rsidRDefault="0007084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744D"/>
    <w:rsid w:val="000475F0"/>
    <w:rsid w:val="000539F6"/>
    <w:rsid w:val="00056EE0"/>
    <w:rsid w:val="00057323"/>
    <w:rsid w:val="00064BCC"/>
    <w:rsid w:val="0007084A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B6446"/>
    <w:rsid w:val="001D04AB"/>
    <w:rsid w:val="001D2521"/>
    <w:rsid w:val="001D2669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55C0D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CB9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4BEC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1FBE"/>
    <w:rsid w:val="0062589F"/>
    <w:rsid w:val="00626EA8"/>
    <w:rsid w:val="00635CC2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07216"/>
    <w:rsid w:val="007100C3"/>
    <w:rsid w:val="00714CEA"/>
    <w:rsid w:val="007159A1"/>
    <w:rsid w:val="00715E42"/>
    <w:rsid w:val="0071642F"/>
    <w:rsid w:val="00721D85"/>
    <w:rsid w:val="00722DD7"/>
    <w:rsid w:val="00725827"/>
    <w:rsid w:val="00725F68"/>
    <w:rsid w:val="00730343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3EEC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26742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32614"/>
    <w:rsid w:val="00E33250"/>
    <w:rsid w:val="00E3526B"/>
    <w:rsid w:val="00E5059C"/>
    <w:rsid w:val="00E54C06"/>
    <w:rsid w:val="00E5664A"/>
    <w:rsid w:val="00E7407A"/>
    <w:rsid w:val="00E77E9A"/>
    <w:rsid w:val="00E81A0A"/>
    <w:rsid w:val="00E858F9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E685-9FF2-4BC5-8741-A6810F8F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2025-10-16T16:02:00Z</dcterms:created>
  <dcterms:modified xsi:type="dcterms:W3CDTF">2025-10-16T16:02:00Z</dcterms:modified>
</cp:coreProperties>
</file>