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CCE" w:rsidRDefault="00E47CCE">
      <w:pPr>
        <w:adjustRightInd w:val="0"/>
        <w:snapToGrid w:val="0"/>
        <w:spacing w:line="288" w:lineRule="auto"/>
        <w:jc w:val="center"/>
        <w:rPr>
          <w:b/>
          <w:sz w:val="24"/>
          <w:szCs w:val="24"/>
        </w:rPr>
      </w:pPr>
    </w:p>
    <w:p w:rsidR="00E47CCE" w:rsidRDefault="00AF5AAE">
      <w:pPr>
        <w:adjustRightInd w:val="0"/>
        <w:snapToGrid w:val="0"/>
        <w:spacing w:line="288" w:lineRule="auto"/>
        <w:jc w:val="center"/>
        <w:rPr>
          <w:b/>
          <w:sz w:val="24"/>
          <w:szCs w:val="24"/>
        </w:rPr>
      </w:pPr>
      <w:r>
        <w:rPr>
          <w:rFonts w:hint="eastAsia"/>
          <w:b/>
          <w:sz w:val="24"/>
          <w:szCs w:val="24"/>
        </w:rPr>
        <w:t>南华瑞元定期开放债券型发起式</w:t>
      </w:r>
      <w:r>
        <w:rPr>
          <w:b/>
          <w:sz w:val="24"/>
          <w:szCs w:val="24"/>
        </w:rPr>
        <w:t>证券投资基金开放</w:t>
      </w:r>
      <w:r>
        <w:rPr>
          <w:rFonts w:hint="eastAsia"/>
          <w:b/>
          <w:sz w:val="24"/>
          <w:szCs w:val="24"/>
        </w:rPr>
        <w:t>申购、</w:t>
      </w:r>
      <w:r>
        <w:rPr>
          <w:b/>
          <w:sz w:val="24"/>
          <w:szCs w:val="24"/>
        </w:rPr>
        <w:t>赎回业务的</w:t>
      </w:r>
      <w:r>
        <w:rPr>
          <w:rFonts w:hint="eastAsia"/>
          <w:b/>
          <w:sz w:val="24"/>
          <w:szCs w:val="24"/>
        </w:rPr>
        <w:t>公告</w:t>
      </w:r>
    </w:p>
    <w:p w:rsidR="00E47CCE" w:rsidRDefault="00E47CCE">
      <w:pPr>
        <w:adjustRightInd w:val="0"/>
        <w:snapToGrid w:val="0"/>
        <w:spacing w:line="288" w:lineRule="auto"/>
        <w:jc w:val="center"/>
        <w:rPr>
          <w:sz w:val="24"/>
          <w:szCs w:val="24"/>
        </w:rPr>
      </w:pPr>
    </w:p>
    <w:p w:rsidR="00E47CCE" w:rsidRDefault="00AF5AAE">
      <w:pPr>
        <w:adjustRightInd w:val="0"/>
        <w:snapToGrid w:val="0"/>
        <w:spacing w:line="288" w:lineRule="auto"/>
        <w:jc w:val="center"/>
        <w:rPr>
          <w:sz w:val="24"/>
          <w:szCs w:val="24"/>
        </w:rPr>
      </w:pPr>
      <w:r>
        <w:rPr>
          <w:rFonts w:hint="eastAsia"/>
          <w:sz w:val="24"/>
          <w:szCs w:val="24"/>
        </w:rPr>
        <w:t>公告</w:t>
      </w:r>
      <w:r>
        <w:rPr>
          <w:sz w:val="24"/>
          <w:szCs w:val="24"/>
        </w:rPr>
        <w:t>送出日期：</w:t>
      </w:r>
      <w:r>
        <w:rPr>
          <w:rFonts w:hint="eastAsia"/>
          <w:sz w:val="24"/>
          <w:szCs w:val="24"/>
        </w:rPr>
        <w:t>20</w:t>
      </w:r>
      <w:r>
        <w:rPr>
          <w:sz w:val="24"/>
          <w:szCs w:val="24"/>
        </w:rPr>
        <w:t>2</w:t>
      </w:r>
      <w:r>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7</w:t>
      </w:r>
      <w:r>
        <w:rPr>
          <w:rFonts w:hint="eastAsia"/>
          <w:sz w:val="24"/>
          <w:szCs w:val="24"/>
        </w:rPr>
        <w:t>日</w:t>
      </w:r>
    </w:p>
    <w:p w:rsidR="00E47CCE" w:rsidRDefault="00E47CCE">
      <w:pPr>
        <w:adjustRightInd w:val="0"/>
        <w:snapToGrid w:val="0"/>
        <w:spacing w:line="288" w:lineRule="auto"/>
        <w:jc w:val="center"/>
        <w:rPr>
          <w:sz w:val="24"/>
          <w:szCs w:val="24"/>
        </w:rPr>
      </w:pPr>
    </w:p>
    <w:p w:rsidR="00E47CCE" w:rsidRDefault="00E47CCE">
      <w:pPr>
        <w:adjustRightInd w:val="0"/>
        <w:snapToGrid w:val="0"/>
        <w:spacing w:line="288" w:lineRule="auto"/>
        <w:rPr>
          <w:sz w:val="24"/>
          <w:szCs w:val="24"/>
        </w:rPr>
      </w:pPr>
    </w:p>
    <w:p w:rsidR="00E47CCE" w:rsidRDefault="00AF5AAE" w:rsidP="00AF5AAE">
      <w:pPr>
        <w:adjustRightInd w:val="0"/>
        <w:snapToGrid w:val="0"/>
        <w:spacing w:afterLines="50" w:line="288" w:lineRule="auto"/>
        <w:rPr>
          <w:sz w:val="24"/>
          <w:szCs w:val="24"/>
        </w:rPr>
      </w:pPr>
      <w:r>
        <w:rPr>
          <w:rFonts w:hint="eastAsia"/>
          <w:sz w:val="24"/>
          <w:szCs w:val="24"/>
        </w:rPr>
        <w:t>1.</w:t>
      </w:r>
      <w:r>
        <w:rPr>
          <w:sz w:val="24"/>
          <w:szCs w:val="24"/>
        </w:rPr>
        <w:t>公告基本信息</w:t>
      </w:r>
    </w:p>
    <w:tbl>
      <w:tblPr>
        <w:tblStyle w:val="a8"/>
        <w:tblW w:w="0" w:type="auto"/>
        <w:tblLook w:val="04A0"/>
      </w:tblPr>
      <w:tblGrid>
        <w:gridCol w:w="3256"/>
        <w:gridCol w:w="5040"/>
      </w:tblGrid>
      <w:tr w:rsidR="00E47CCE">
        <w:tc>
          <w:tcPr>
            <w:tcW w:w="3256" w:type="dxa"/>
          </w:tcPr>
          <w:p w:rsidR="00E47CCE" w:rsidRDefault="00AF5AAE">
            <w:pPr>
              <w:adjustRightInd w:val="0"/>
              <w:snapToGrid w:val="0"/>
              <w:spacing w:line="288" w:lineRule="auto"/>
              <w:rPr>
                <w:sz w:val="24"/>
                <w:szCs w:val="24"/>
              </w:rPr>
            </w:pPr>
            <w:r>
              <w:rPr>
                <w:rFonts w:hint="eastAsia"/>
                <w:sz w:val="24"/>
                <w:szCs w:val="24"/>
              </w:rPr>
              <w:t>基金名称</w:t>
            </w:r>
          </w:p>
        </w:tc>
        <w:tc>
          <w:tcPr>
            <w:tcW w:w="5040" w:type="dxa"/>
          </w:tcPr>
          <w:p w:rsidR="00E47CCE" w:rsidRDefault="00AF5AAE">
            <w:pPr>
              <w:adjustRightInd w:val="0"/>
              <w:snapToGrid w:val="0"/>
              <w:spacing w:line="288" w:lineRule="auto"/>
              <w:rPr>
                <w:sz w:val="24"/>
                <w:szCs w:val="24"/>
              </w:rPr>
            </w:pPr>
            <w:r>
              <w:rPr>
                <w:rFonts w:hint="eastAsia"/>
                <w:sz w:val="24"/>
                <w:szCs w:val="24"/>
              </w:rPr>
              <w:t>南华瑞元定期开放债券型发起式</w:t>
            </w:r>
            <w:r>
              <w:rPr>
                <w:sz w:val="24"/>
                <w:szCs w:val="24"/>
              </w:rPr>
              <w:t>证券投资基金</w:t>
            </w:r>
          </w:p>
        </w:tc>
      </w:tr>
      <w:tr w:rsidR="00E47CCE">
        <w:tc>
          <w:tcPr>
            <w:tcW w:w="3256" w:type="dxa"/>
          </w:tcPr>
          <w:p w:rsidR="00E47CCE" w:rsidRDefault="00AF5AAE">
            <w:pPr>
              <w:adjustRightInd w:val="0"/>
              <w:snapToGrid w:val="0"/>
              <w:spacing w:line="288" w:lineRule="auto"/>
              <w:rPr>
                <w:sz w:val="24"/>
                <w:szCs w:val="24"/>
              </w:rPr>
            </w:pPr>
            <w:r>
              <w:rPr>
                <w:rFonts w:hint="eastAsia"/>
                <w:sz w:val="24"/>
                <w:szCs w:val="24"/>
              </w:rPr>
              <w:t>基金简称</w:t>
            </w:r>
          </w:p>
        </w:tc>
        <w:tc>
          <w:tcPr>
            <w:tcW w:w="5040" w:type="dxa"/>
          </w:tcPr>
          <w:p w:rsidR="00E47CCE" w:rsidRDefault="00AF5AAE">
            <w:pPr>
              <w:adjustRightInd w:val="0"/>
              <w:snapToGrid w:val="0"/>
              <w:spacing w:line="288" w:lineRule="auto"/>
              <w:rPr>
                <w:sz w:val="24"/>
                <w:szCs w:val="24"/>
              </w:rPr>
            </w:pPr>
            <w:r>
              <w:rPr>
                <w:rFonts w:hint="eastAsia"/>
                <w:sz w:val="24"/>
                <w:szCs w:val="24"/>
              </w:rPr>
              <w:t>南华瑞元定期开放债券</w:t>
            </w:r>
          </w:p>
        </w:tc>
      </w:tr>
      <w:tr w:rsidR="00E47CCE">
        <w:tc>
          <w:tcPr>
            <w:tcW w:w="3256" w:type="dxa"/>
          </w:tcPr>
          <w:p w:rsidR="00E47CCE" w:rsidRDefault="00AF5AAE">
            <w:pPr>
              <w:adjustRightInd w:val="0"/>
              <w:snapToGrid w:val="0"/>
              <w:spacing w:line="288" w:lineRule="auto"/>
              <w:rPr>
                <w:sz w:val="24"/>
                <w:szCs w:val="24"/>
              </w:rPr>
            </w:pPr>
            <w:r>
              <w:rPr>
                <w:rFonts w:hint="eastAsia"/>
                <w:sz w:val="24"/>
                <w:szCs w:val="24"/>
              </w:rPr>
              <w:t>基金主代码</w:t>
            </w:r>
          </w:p>
        </w:tc>
        <w:tc>
          <w:tcPr>
            <w:tcW w:w="5040" w:type="dxa"/>
          </w:tcPr>
          <w:p w:rsidR="00E47CCE" w:rsidRDefault="00AF5AAE">
            <w:pPr>
              <w:adjustRightInd w:val="0"/>
              <w:snapToGrid w:val="0"/>
              <w:spacing w:line="288" w:lineRule="auto"/>
              <w:rPr>
                <w:sz w:val="24"/>
                <w:szCs w:val="24"/>
              </w:rPr>
            </w:pPr>
            <w:r>
              <w:rPr>
                <w:rFonts w:hint="eastAsia"/>
                <w:sz w:val="24"/>
                <w:szCs w:val="24"/>
              </w:rPr>
              <w:t>00</w:t>
            </w:r>
            <w:r>
              <w:rPr>
                <w:sz w:val="24"/>
                <w:szCs w:val="24"/>
              </w:rPr>
              <w:t>6667</w:t>
            </w:r>
          </w:p>
        </w:tc>
      </w:tr>
      <w:tr w:rsidR="00E47CCE">
        <w:tc>
          <w:tcPr>
            <w:tcW w:w="3256" w:type="dxa"/>
          </w:tcPr>
          <w:p w:rsidR="00E47CCE" w:rsidRDefault="00AF5AAE">
            <w:pPr>
              <w:adjustRightInd w:val="0"/>
              <w:snapToGrid w:val="0"/>
              <w:spacing w:line="288" w:lineRule="auto"/>
              <w:rPr>
                <w:sz w:val="24"/>
                <w:szCs w:val="24"/>
              </w:rPr>
            </w:pPr>
            <w:r>
              <w:rPr>
                <w:rFonts w:hint="eastAsia"/>
                <w:sz w:val="24"/>
                <w:szCs w:val="24"/>
              </w:rPr>
              <w:t>基金运作方式</w:t>
            </w:r>
          </w:p>
        </w:tc>
        <w:tc>
          <w:tcPr>
            <w:tcW w:w="5040" w:type="dxa"/>
          </w:tcPr>
          <w:p w:rsidR="00E47CCE" w:rsidRDefault="00AF5AAE">
            <w:pPr>
              <w:adjustRightInd w:val="0"/>
              <w:snapToGrid w:val="0"/>
              <w:spacing w:line="288" w:lineRule="auto"/>
              <w:rPr>
                <w:sz w:val="24"/>
                <w:szCs w:val="24"/>
              </w:rPr>
            </w:pPr>
            <w:r>
              <w:rPr>
                <w:rFonts w:hint="eastAsia"/>
                <w:sz w:val="24"/>
                <w:szCs w:val="24"/>
              </w:rPr>
              <w:t>契约型</w:t>
            </w:r>
            <w:r>
              <w:rPr>
                <w:sz w:val="24"/>
                <w:szCs w:val="24"/>
              </w:rPr>
              <w:t>、定期开放式</w:t>
            </w:r>
          </w:p>
        </w:tc>
      </w:tr>
      <w:tr w:rsidR="00E47CCE">
        <w:tc>
          <w:tcPr>
            <w:tcW w:w="3256" w:type="dxa"/>
          </w:tcPr>
          <w:p w:rsidR="00E47CCE" w:rsidRDefault="00AF5AAE">
            <w:pPr>
              <w:adjustRightInd w:val="0"/>
              <w:snapToGrid w:val="0"/>
              <w:spacing w:line="288" w:lineRule="auto"/>
              <w:rPr>
                <w:sz w:val="24"/>
                <w:szCs w:val="24"/>
              </w:rPr>
            </w:pPr>
            <w:r>
              <w:rPr>
                <w:rFonts w:hint="eastAsia"/>
                <w:sz w:val="24"/>
                <w:szCs w:val="24"/>
              </w:rPr>
              <w:t>基金合同生效日</w:t>
            </w:r>
          </w:p>
        </w:tc>
        <w:tc>
          <w:tcPr>
            <w:tcW w:w="5040" w:type="dxa"/>
          </w:tcPr>
          <w:p w:rsidR="00E47CCE" w:rsidRDefault="00AF5AAE">
            <w:pPr>
              <w:adjustRightInd w:val="0"/>
              <w:snapToGrid w:val="0"/>
              <w:spacing w:line="288" w:lineRule="auto"/>
              <w:rPr>
                <w:sz w:val="24"/>
                <w:szCs w:val="24"/>
              </w:rPr>
            </w:pPr>
            <w:r>
              <w:rPr>
                <w:rFonts w:hint="eastAsia"/>
                <w:sz w:val="24"/>
                <w:szCs w:val="24"/>
              </w:rPr>
              <w:t>201</w:t>
            </w:r>
            <w:r>
              <w:rPr>
                <w:sz w:val="24"/>
                <w:szCs w:val="24"/>
              </w:rPr>
              <w:t>9</w:t>
            </w:r>
            <w:r>
              <w:rPr>
                <w:rFonts w:hint="eastAsia"/>
                <w:sz w:val="24"/>
                <w:szCs w:val="24"/>
              </w:rPr>
              <w:t>年</w:t>
            </w:r>
            <w:r>
              <w:rPr>
                <w:sz w:val="24"/>
                <w:szCs w:val="24"/>
              </w:rPr>
              <w:t>4</w:t>
            </w:r>
            <w:r>
              <w:rPr>
                <w:rFonts w:hint="eastAsia"/>
                <w:sz w:val="24"/>
                <w:szCs w:val="24"/>
              </w:rPr>
              <w:t>月</w:t>
            </w:r>
            <w:r>
              <w:rPr>
                <w:rFonts w:hint="eastAsia"/>
                <w:sz w:val="24"/>
                <w:szCs w:val="24"/>
              </w:rPr>
              <w:t>1</w:t>
            </w:r>
            <w:r>
              <w:rPr>
                <w:sz w:val="24"/>
                <w:szCs w:val="24"/>
              </w:rPr>
              <w:t>1</w:t>
            </w:r>
            <w:r>
              <w:rPr>
                <w:rFonts w:hint="eastAsia"/>
                <w:sz w:val="24"/>
                <w:szCs w:val="24"/>
              </w:rPr>
              <w:t>日</w:t>
            </w:r>
          </w:p>
        </w:tc>
      </w:tr>
      <w:tr w:rsidR="00E47CCE">
        <w:tc>
          <w:tcPr>
            <w:tcW w:w="3256" w:type="dxa"/>
          </w:tcPr>
          <w:p w:rsidR="00E47CCE" w:rsidRDefault="00AF5AAE">
            <w:pPr>
              <w:adjustRightInd w:val="0"/>
              <w:snapToGrid w:val="0"/>
              <w:spacing w:line="288" w:lineRule="auto"/>
              <w:rPr>
                <w:sz w:val="24"/>
                <w:szCs w:val="24"/>
              </w:rPr>
            </w:pPr>
            <w:r>
              <w:rPr>
                <w:rFonts w:hint="eastAsia"/>
                <w:sz w:val="24"/>
                <w:szCs w:val="24"/>
              </w:rPr>
              <w:t>基金管理人名称</w:t>
            </w:r>
          </w:p>
        </w:tc>
        <w:tc>
          <w:tcPr>
            <w:tcW w:w="5040" w:type="dxa"/>
          </w:tcPr>
          <w:p w:rsidR="00E47CCE" w:rsidRDefault="00AF5AAE">
            <w:pPr>
              <w:adjustRightInd w:val="0"/>
              <w:snapToGrid w:val="0"/>
              <w:spacing w:line="288" w:lineRule="auto"/>
              <w:rPr>
                <w:sz w:val="24"/>
                <w:szCs w:val="24"/>
              </w:rPr>
            </w:pPr>
            <w:r>
              <w:rPr>
                <w:rFonts w:hint="eastAsia"/>
                <w:sz w:val="24"/>
                <w:szCs w:val="24"/>
              </w:rPr>
              <w:t>南华基金</w:t>
            </w:r>
            <w:r>
              <w:rPr>
                <w:sz w:val="24"/>
                <w:szCs w:val="24"/>
              </w:rPr>
              <w:t>管理有限公司</w:t>
            </w:r>
          </w:p>
        </w:tc>
      </w:tr>
      <w:tr w:rsidR="00E47CCE">
        <w:tc>
          <w:tcPr>
            <w:tcW w:w="3256" w:type="dxa"/>
          </w:tcPr>
          <w:p w:rsidR="00E47CCE" w:rsidRDefault="00AF5AAE">
            <w:pPr>
              <w:adjustRightInd w:val="0"/>
              <w:snapToGrid w:val="0"/>
              <w:spacing w:line="288" w:lineRule="auto"/>
              <w:rPr>
                <w:sz w:val="24"/>
                <w:szCs w:val="24"/>
              </w:rPr>
            </w:pPr>
            <w:r>
              <w:rPr>
                <w:rFonts w:hint="eastAsia"/>
                <w:sz w:val="24"/>
                <w:szCs w:val="24"/>
              </w:rPr>
              <w:t>基金托管人名称</w:t>
            </w:r>
          </w:p>
        </w:tc>
        <w:tc>
          <w:tcPr>
            <w:tcW w:w="5040" w:type="dxa"/>
          </w:tcPr>
          <w:p w:rsidR="00E47CCE" w:rsidRDefault="00AF5AAE">
            <w:pPr>
              <w:adjustRightInd w:val="0"/>
              <w:snapToGrid w:val="0"/>
              <w:spacing w:line="288" w:lineRule="auto"/>
              <w:rPr>
                <w:sz w:val="24"/>
                <w:szCs w:val="24"/>
              </w:rPr>
            </w:pPr>
            <w:r>
              <w:rPr>
                <w:rFonts w:hint="eastAsia"/>
                <w:sz w:val="24"/>
                <w:szCs w:val="24"/>
              </w:rPr>
              <w:t>浙商银行股份有限公司</w:t>
            </w:r>
          </w:p>
        </w:tc>
      </w:tr>
      <w:tr w:rsidR="00E47CCE">
        <w:trPr>
          <w:trHeight w:val="156"/>
        </w:trPr>
        <w:tc>
          <w:tcPr>
            <w:tcW w:w="3256" w:type="dxa"/>
          </w:tcPr>
          <w:p w:rsidR="00E47CCE" w:rsidRDefault="00AF5AAE">
            <w:pPr>
              <w:adjustRightInd w:val="0"/>
              <w:snapToGrid w:val="0"/>
              <w:spacing w:line="288" w:lineRule="auto"/>
              <w:rPr>
                <w:sz w:val="24"/>
                <w:szCs w:val="24"/>
              </w:rPr>
            </w:pPr>
            <w:r>
              <w:rPr>
                <w:rFonts w:hint="eastAsia"/>
                <w:sz w:val="24"/>
                <w:szCs w:val="24"/>
              </w:rPr>
              <w:t>基金注册登记机构名称</w:t>
            </w:r>
          </w:p>
        </w:tc>
        <w:tc>
          <w:tcPr>
            <w:tcW w:w="5040" w:type="dxa"/>
          </w:tcPr>
          <w:p w:rsidR="00E47CCE" w:rsidRDefault="00AF5AAE">
            <w:pPr>
              <w:adjustRightInd w:val="0"/>
              <w:snapToGrid w:val="0"/>
              <w:spacing w:line="288" w:lineRule="auto"/>
              <w:rPr>
                <w:sz w:val="24"/>
                <w:szCs w:val="24"/>
              </w:rPr>
            </w:pPr>
            <w:r>
              <w:rPr>
                <w:rFonts w:hint="eastAsia"/>
                <w:sz w:val="24"/>
                <w:szCs w:val="24"/>
              </w:rPr>
              <w:t>南华基金管理有限公司</w:t>
            </w:r>
          </w:p>
        </w:tc>
      </w:tr>
      <w:tr w:rsidR="00E47CCE">
        <w:trPr>
          <w:trHeight w:val="171"/>
        </w:trPr>
        <w:tc>
          <w:tcPr>
            <w:tcW w:w="3256" w:type="dxa"/>
          </w:tcPr>
          <w:p w:rsidR="00E47CCE" w:rsidRDefault="00AF5AAE">
            <w:pPr>
              <w:adjustRightInd w:val="0"/>
              <w:snapToGrid w:val="0"/>
              <w:spacing w:line="288" w:lineRule="auto"/>
              <w:rPr>
                <w:sz w:val="24"/>
                <w:szCs w:val="24"/>
              </w:rPr>
            </w:pPr>
            <w:r>
              <w:rPr>
                <w:rFonts w:hint="eastAsia"/>
                <w:sz w:val="24"/>
                <w:szCs w:val="24"/>
              </w:rPr>
              <w:t>公告依据</w:t>
            </w:r>
          </w:p>
        </w:tc>
        <w:tc>
          <w:tcPr>
            <w:tcW w:w="5040" w:type="dxa"/>
          </w:tcPr>
          <w:p w:rsidR="00E47CCE" w:rsidRDefault="00AF5AAE">
            <w:pPr>
              <w:adjustRightInd w:val="0"/>
              <w:snapToGrid w:val="0"/>
              <w:spacing w:line="288" w:lineRule="auto"/>
              <w:rPr>
                <w:sz w:val="24"/>
                <w:szCs w:val="24"/>
              </w:rPr>
            </w:pPr>
            <w:r>
              <w:rPr>
                <w:rFonts w:hint="eastAsia"/>
                <w:sz w:val="24"/>
                <w:szCs w:val="24"/>
              </w:rPr>
              <w:t>《中华人民共和国证券投资基金法》、《公开</w:t>
            </w:r>
            <w:r>
              <w:rPr>
                <w:sz w:val="24"/>
                <w:szCs w:val="24"/>
              </w:rPr>
              <w:t>募集</w:t>
            </w:r>
            <w:r>
              <w:rPr>
                <w:rFonts w:hint="eastAsia"/>
                <w:sz w:val="24"/>
                <w:szCs w:val="24"/>
              </w:rPr>
              <w:t>证券投资基金信息披露管理办法》等法律法规以及《南华瑞元定期开放债券型发起式</w:t>
            </w:r>
            <w:r>
              <w:rPr>
                <w:sz w:val="24"/>
                <w:szCs w:val="24"/>
              </w:rPr>
              <w:t>证券投资基金</w:t>
            </w:r>
            <w:r>
              <w:rPr>
                <w:rFonts w:hint="eastAsia"/>
                <w:sz w:val="24"/>
                <w:szCs w:val="24"/>
              </w:rPr>
              <w:t>基金合同》、《南华瑞元定期开放债券型发起式</w:t>
            </w:r>
            <w:r>
              <w:rPr>
                <w:sz w:val="24"/>
                <w:szCs w:val="24"/>
              </w:rPr>
              <w:t>证券投资基金</w:t>
            </w:r>
            <w:r>
              <w:rPr>
                <w:rFonts w:hint="eastAsia"/>
                <w:sz w:val="24"/>
                <w:szCs w:val="24"/>
              </w:rPr>
              <w:t>招募说明书》等</w:t>
            </w:r>
          </w:p>
        </w:tc>
      </w:tr>
      <w:tr w:rsidR="00E47CCE">
        <w:trPr>
          <w:trHeight w:val="100"/>
        </w:trPr>
        <w:tc>
          <w:tcPr>
            <w:tcW w:w="3256" w:type="dxa"/>
          </w:tcPr>
          <w:p w:rsidR="00E47CCE" w:rsidRDefault="00AF5AAE">
            <w:pPr>
              <w:adjustRightInd w:val="0"/>
              <w:snapToGrid w:val="0"/>
              <w:spacing w:line="288" w:lineRule="auto"/>
              <w:rPr>
                <w:sz w:val="24"/>
                <w:szCs w:val="24"/>
              </w:rPr>
            </w:pPr>
            <w:r>
              <w:rPr>
                <w:rFonts w:hint="eastAsia"/>
                <w:sz w:val="24"/>
                <w:szCs w:val="24"/>
              </w:rPr>
              <w:t>申购起始日</w:t>
            </w:r>
          </w:p>
        </w:tc>
        <w:tc>
          <w:tcPr>
            <w:tcW w:w="5040" w:type="dxa"/>
          </w:tcPr>
          <w:p w:rsidR="00E47CCE" w:rsidRDefault="00AF5AAE">
            <w:pPr>
              <w:adjustRightInd w:val="0"/>
              <w:snapToGrid w:val="0"/>
              <w:spacing w:line="288" w:lineRule="auto"/>
              <w:rPr>
                <w:sz w:val="24"/>
                <w:szCs w:val="24"/>
              </w:rPr>
            </w:pPr>
            <w:r>
              <w:rPr>
                <w:rFonts w:hint="eastAsia"/>
                <w:sz w:val="24"/>
                <w:szCs w:val="24"/>
              </w:rPr>
              <w:t>20</w:t>
            </w:r>
            <w:r>
              <w:rPr>
                <w:sz w:val="24"/>
                <w:szCs w:val="24"/>
              </w:rPr>
              <w:t>2</w:t>
            </w:r>
            <w:r>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20</w:t>
            </w:r>
            <w:r>
              <w:rPr>
                <w:rFonts w:hint="eastAsia"/>
                <w:sz w:val="24"/>
                <w:szCs w:val="24"/>
              </w:rPr>
              <w:t>日</w:t>
            </w:r>
          </w:p>
        </w:tc>
      </w:tr>
      <w:tr w:rsidR="00E47CCE">
        <w:trPr>
          <w:trHeight w:val="200"/>
        </w:trPr>
        <w:tc>
          <w:tcPr>
            <w:tcW w:w="3256" w:type="dxa"/>
          </w:tcPr>
          <w:p w:rsidR="00E47CCE" w:rsidRDefault="00AF5AAE">
            <w:pPr>
              <w:adjustRightInd w:val="0"/>
              <w:snapToGrid w:val="0"/>
              <w:spacing w:line="288" w:lineRule="auto"/>
              <w:rPr>
                <w:sz w:val="24"/>
                <w:szCs w:val="24"/>
              </w:rPr>
            </w:pPr>
            <w:r>
              <w:rPr>
                <w:rFonts w:hint="eastAsia"/>
                <w:sz w:val="24"/>
                <w:szCs w:val="24"/>
              </w:rPr>
              <w:t>赎回起始日</w:t>
            </w:r>
          </w:p>
        </w:tc>
        <w:tc>
          <w:tcPr>
            <w:tcW w:w="5040" w:type="dxa"/>
          </w:tcPr>
          <w:p w:rsidR="00E47CCE" w:rsidRDefault="00AF5AAE">
            <w:pPr>
              <w:adjustRightInd w:val="0"/>
              <w:snapToGrid w:val="0"/>
              <w:spacing w:line="288" w:lineRule="auto"/>
              <w:rPr>
                <w:sz w:val="24"/>
                <w:szCs w:val="24"/>
              </w:rPr>
            </w:pPr>
            <w:r>
              <w:rPr>
                <w:rFonts w:hint="eastAsia"/>
                <w:sz w:val="24"/>
                <w:szCs w:val="24"/>
              </w:rPr>
              <w:t>20</w:t>
            </w:r>
            <w:r>
              <w:rPr>
                <w:sz w:val="24"/>
                <w:szCs w:val="24"/>
              </w:rPr>
              <w:t>2</w:t>
            </w:r>
            <w:r>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2</w:t>
            </w:r>
            <w:r>
              <w:rPr>
                <w:rFonts w:hint="eastAsia"/>
                <w:sz w:val="24"/>
                <w:szCs w:val="24"/>
              </w:rPr>
              <w:t>0</w:t>
            </w:r>
            <w:r>
              <w:rPr>
                <w:rFonts w:hint="eastAsia"/>
                <w:sz w:val="24"/>
                <w:szCs w:val="24"/>
              </w:rPr>
              <w:t>日</w:t>
            </w:r>
          </w:p>
        </w:tc>
      </w:tr>
    </w:tbl>
    <w:p w:rsidR="00E47CCE" w:rsidRDefault="00E47CCE">
      <w:pPr>
        <w:adjustRightInd w:val="0"/>
        <w:snapToGrid w:val="0"/>
        <w:spacing w:line="288" w:lineRule="auto"/>
        <w:rPr>
          <w:sz w:val="24"/>
          <w:szCs w:val="24"/>
        </w:rPr>
      </w:pPr>
      <w:bookmarkStart w:id="0" w:name="_GoBack"/>
      <w:bookmarkEnd w:id="0"/>
    </w:p>
    <w:p w:rsidR="00E47CCE" w:rsidRDefault="00AF5AAE" w:rsidP="00AF5AAE">
      <w:pPr>
        <w:adjustRightInd w:val="0"/>
        <w:snapToGrid w:val="0"/>
        <w:spacing w:afterLines="50" w:line="288" w:lineRule="auto"/>
        <w:rPr>
          <w:sz w:val="24"/>
          <w:szCs w:val="24"/>
        </w:rPr>
      </w:pPr>
      <w:r>
        <w:rPr>
          <w:rFonts w:hint="eastAsia"/>
          <w:sz w:val="24"/>
          <w:szCs w:val="24"/>
        </w:rPr>
        <w:t>2.</w:t>
      </w:r>
      <w:r>
        <w:rPr>
          <w:rFonts w:hint="eastAsia"/>
          <w:sz w:val="24"/>
          <w:szCs w:val="24"/>
        </w:rPr>
        <w:t>日常</w:t>
      </w:r>
      <w:r>
        <w:rPr>
          <w:sz w:val="24"/>
          <w:szCs w:val="24"/>
        </w:rPr>
        <w:t>申购和赎回业务办理时间</w:t>
      </w:r>
    </w:p>
    <w:p w:rsidR="00E47CCE" w:rsidRDefault="00AF5AAE" w:rsidP="00AF5AAE">
      <w:pPr>
        <w:adjustRightInd w:val="0"/>
        <w:snapToGrid w:val="0"/>
        <w:spacing w:beforeLines="50" w:line="288" w:lineRule="auto"/>
        <w:ind w:firstLineChars="200" w:firstLine="480"/>
        <w:rPr>
          <w:sz w:val="24"/>
          <w:szCs w:val="24"/>
        </w:rPr>
        <w:pPrChange w:id="1" w:author="ZHONGM" w:date="2025-10-17T00:00:00Z">
          <w:pPr>
            <w:adjustRightInd w:val="0"/>
            <w:snapToGrid w:val="0"/>
            <w:spacing w:beforeLines="50" w:line="288" w:lineRule="auto"/>
            <w:ind w:firstLineChars="200" w:firstLine="480"/>
          </w:pPr>
        </w:pPrChange>
      </w:pPr>
      <w:r>
        <w:rPr>
          <w:rFonts w:hint="eastAsia"/>
          <w:sz w:val="24"/>
          <w:szCs w:val="24"/>
        </w:rPr>
        <w:t>南华瑞元定期开放债券型发起式证券投资基金（以下</w:t>
      </w:r>
      <w:r>
        <w:rPr>
          <w:sz w:val="24"/>
          <w:szCs w:val="24"/>
        </w:rPr>
        <w:t>简称</w:t>
      </w:r>
      <w:r>
        <w:rPr>
          <w:rFonts w:hint="eastAsia"/>
          <w:sz w:val="24"/>
          <w:szCs w:val="24"/>
        </w:rPr>
        <w:t>“本基金”）采取</w:t>
      </w:r>
      <w:r>
        <w:rPr>
          <w:sz w:val="24"/>
          <w:szCs w:val="24"/>
        </w:rPr>
        <w:t>在封闭期内封闭</w:t>
      </w:r>
      <w:r>
        <w:rPr>
          <w:rFonts w:hint="eastAsia"/>
          <w:sz w:val="24"/>
          <w:szCs w:val="24"/>
        </w:rPr>
        <w:t>运作</w:t>
      </w:r>
      <w:r>
        <w:rPr>
          <w:sz w:val="24"/>
          <w:szCs w:val="24"/>
        </w:rPr>
        <w:t>、封闭期</w:t>
      </w:r>
      <w:r>
        <w:rPr>
          <w:rFonts w:hint="eastAsia"/>
          <w:sz w:val="24"/>
          <w:szCs w:val="24"/>
        </w:rPr>
        <w:t>与</w:t>
      </w:r>
      <w:r>
        <w:rPr>
          <w:sz w:val="24"/>
          <w:szCs w:val="24"/>
        </w:rPr>
        <w:t>封闭期之间定期开放</w:t>
      </w:r>
      <w:r>
        <w:rPr>
          <w:rFonts w:hint="eastAsia"/>
          <w:sz w:val="24"/>
          <w:szCs w:val="24"/>
        </w:rPr>
        <w:t>的</w:t>
      </w:r>
      <w:r>
        <w:rPr>
          <w:sz w:val="24"/>
          <w:szCs w:val="24"/>
        </w:rPr>
        <w:t>运作方式。本基金</w:t>
      </w:r>
      <w:r>
        <w:rPr>
          <w:rFonts w:hint="eastAsia"/>
          <w:sz w:val="24"/>
          <w:szCs w:val="24"/>
        </w:rPr>
        <w:t>本次</w:t>
      </w:r>
      <w:r>
        <w:rPr>
          <w:sz w:val="24"/>
          <w:szCs w:val="24"/>
        </w:rPr>
        <w:t>的开放期为</w:t>
      </w:r>
      <w:r>
        <w:rPr>
          <w:sz w:val="24"/>
          <w:szCs w:val="24"/>
        </w:rPr>
        <w:t>202</w:t>
      </w:r>
      <w:r>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2</w:t>
      </w:r>
      <w:r>
        <w:rPr>
          <w:rFonts w:hint="eastAsia"/>
          <w:sz w:val="24"/>
          <w:szCs w:val="24"/>
        </w:rPr>
        <w:t>0</w:t>
      </w:r>
      <w:r>
        <w:rPr>
          <w:rFonts w:hint="eastAsia"/>
          <w:sz w:val="24"/>
          <w:szCs w:val="24"/>
        </w:rPr>
        <w:t>日至</w:t>
      </w:r>
      <w:r>
        <w:rPr>
          <w:sz w:val="24"/>
          <w:szCs w:val="24"/>
        </w:rPr>
        <w:t>202</w:t>
      </w:r>
      <w:r>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24</w:t>
      </w:r>
      <w:r>
        <w:rPr>
          <w:rFonts w:hint="eastAsia"/>
          <w:sz w:val="24"/>
          <w:szCs w:val="24"/>
        </w:rPr>
        <w:t>日。</w:t>
      </w:r>
    </w:p>
    <w:p w:rsidR="00E47CCE" w:rsidRDefault="00AF5AAE" w:rsidP="00AF5AAE">
      <w:pPr>
        <w:adjustRightInd w:val="0"/>
        <w:snapToGrid w:val="0"/>
        <w:spacing w:beforeLines="50" w:line="288" w:lineRule="auto"/>
        <w:ind w:firstLineChars="200" w:firstLine="480"/>
        <w:rPr>
          <w:sz w:val="24"/>
          <w:szCs w:val="24"/>
        </w:rPr>
        <w:pPrChange w:id="2" w:author="ZHONGM" w:date="2025-10-17T00:00:00Z">
          <w:pPr>
            <w:adjustRightInd w:val="0"/>
            <w:snapToGrid w:val="0"/>
            <w:spacing w:beforeLines="50" w:line="288" w:lineRule="auto"/>
            <w:ind w:firstLineChars="200" w:firstLine="480"/>
          </w:pPr>
        </w:pPrChange>
      </w:pPr>
      <w:r>
        <w:rPr>
          <w:sz w:val="24"/>
          <w:szCs w:val="24"/>
        </w:rPr>
        <w:t>本</w:t>
      </w:r>
      <w:r>
        <w:rPr>
          <w:rFonts w:hint="eastAsia"/>
          <w:sz w:val="24"/>
          <w:szCs w:val="24"/>
        </w:rPr>
        <w:t>基金</w:t>
      </w:r>
      <w:r>
        <w:rPr>
          <w:sz w:val="24"/>
          <w:szCs w:val="24"/>
        </w:rPr>
        <w:t>在开放期内接受投资者的申购和赎回申请</w:t>
      </w:r>
      <w:r>
        <w:rPr>
          <w:rFonts w:hint="eastAsia"/>
          <w:sz w:val="24"/>
          <w:szCs w:val="24"/>
        </w:rPr>
        <w:t>，</w:t>
      </w:r>
      <w:r>
        <w:rPr>
          <w:sz w:val="24"/>
          <w:szCs w:val="24"/>
        </w:rPr>
        <w:t>具体办理时间为上海证券交易所、深圳证券交易所的正常交易日的交易时间，但基金管理人根据法律法规、中国证监会的要求或基金合同的规定公告暂停申购、赎回时除外。</w:t>
      </w:r>
    </w:p>
    <w:p w:rsidR="00E47CCE" w:rsidRDefault="00AF5AAE" w:rsidP="00AF5AAE">
      <w:pPr>
        <w:adjustRightInd w:val="0"/>
        <w:snapToGrid w:val="0"/>
        <w:spacing w:beforeLines="50" w:line="288" w:lineRule="auto"/>
        <w:ind w:firstLineChars="200" w:firstLine="480"/>
        <w:rPr>
          <w:sz w:val="24"/>
          <w:szCs w:val="24"/>
        </w:rPr>
        <w:pPrChange w:id="3" w:author="ZHONGM" w:date="2025-10-17T00:00:00Z">
          <w:pPr>
            <w:adjustRightInd w:val="0"/>
            <w:snapToGrid w:val="0"/>
            <w:spacing w:beforeLines="50" w:line="288" w:lineRule="auto"/>
            <w:ind w:firstLineChars="200" w:firstLine="480"/>
          </w:pPr>
        </w:pPrChange>
      </w:pPr>
      <w:r>
        <w:rPr>
          <w:sz w:val="24"/>
          <w:szCs w:val="24"/>
        </w:rPr>
        <w:t>若出现新的证券交易市场、证券交易所交易时间变更或其他特殊情况，基金管理人将视情况对前述开放日及开放时间进行相应的调整，但应在实施日前依照《</w:t>
      </w:r>
      <w:r>
        <w:rPr>
          <w:rFonts w:hint="eastAsia"/>
          <w:sz w:val="24"/>
          <w:szCs w:val="24"/>
        </w:rPr>
        <w:t>公开</w:t>
      </w:r>
      <w:r>
        <w:rPr>
          <w:sz w:val="24"/>
          <w:szCs w:val="24"/>
        </w:rPr>
        <w:t>募集</w:t>
      </w:r>
      <w:r>
        <w:rPr>
          <w:rFonts w:hint="eastAsia"/>
          <w:sz w:val="24"/>
          <w:szCs w:val="24"/>
        </w:rPr>
        <w:t>证券</w:t>
      </w:r>
      <w:r>
        <w:rPr>
          <w:sz w:val="24"/>
          <w:szCs w:val="24"/>
        </w:rPr>
        <w:t>投资基金信息披露</w:t>
      </w:r>
      <w:r>
        <w:rPr>
          <w:rFonts w:hint="eastAsia"/>
          <w:sz w:val="24"/>
          <w:szCs w:val="24"/>
        </w:rPr>
        <w:t>管理</w:t>
      </w:r>
      <w:r>
        <w:rPr>
          <w:sz w:val="24"/>
          <w:szCs w:val="24"/>
        </w:rPr>
        <w:t>办法》</w:t>
      </w:r>
      <w:r>
        <w:rPr>
          <w:rFonts w:hint="eastAsia"/>
          <w:sz w:val="24"/>
          <w:szCs w:val="24"/>
        </w:rPr>
        <w:t>（以下</w:t>
      </w:r>
      <w:r>
        <w:rPr>
          <w:sz w:val="24"/>
          <w:szCs w:val="24"/>
        </w:rPr>
        <w:t>简称</w:t>
      </w:r>
      <w:r>
        <w:rPr>
          <w:rFonts w:hint="eastAsia"/>
          <w:sz w:val="24"/>
          <w:szCs w:val="24"/>
        </w:rPr>
        <w:t>“《信息</w:t>
      </w:r>
      <w:r>
        <w:rPr>
          <w:sz w:val="24"/>
          <w:szCs w:val="24"/>
        </w:rPr>
        <w:t>披露办法</w:t>
      </w:r>
      <w:r>
        <w:rPr>
          <w:rFonts w:hint="eastAsia"/>
          <w:sz w:val="24"/>
          <w:szCs w:val="24"/>
        </w:rPr>
        <w:t>》”）</w:t>
      </w:r>
      <w:r>
        <w:rPr>
          <w:sz w:val="24"/>
          <w:szCs w:val="24"/>
        </w:rPr>
        <w:t>的有关规定在指定媒体上公告。</w:t>
      </w:r>
    </w:p>
    <w:p w:rsidR="00E47CCE" w:rsidRDefault="00AF5AAE">
      <w:pPr>
        <w:adjustRightInd w:val="0"/>
        <w:snapToGrid w:val="0"/>
        <w:spacing w:line="288" w:lineRule="auto"/>
        <w:rPr>
          <w:sz w:val="24"/>
          <w:szCs w:val="24"/>
        </w:rPr>
      </w:pPr>
      <w:r>
        <w:rPr>
          <w:rFonts w:hint="eastAsia"/>
          <w:sz w:val="24"/>
          <w:szCs w:val="24"/>
        </w:rPr>
        <w:t xml:space="preserve"> </w:t>
      </w:r>
    </w:p>
    <w:p w:rsidR="00E47CCE" w:rsidRDefault="00AF5AAE" w:rsidP="00AF5AAE">
      <w:pPr>
        <w:adjustRightInd w:val="0"/>
        <w:snapToGrid w:val="0"/>
        <w:spacing w:afterLines="50" w:line="288" w:lineRule="auto"/>
        <w:rPr>
          <w:sz w:val="24"/>
          <w:szCs w:val="24"/>
        </w:rPr>
      </w:pPr>
      <w:r>
        <w:rPr>
          <w:sz w:val="24"/>
          <w:szCs w:val="24"/>
        </w:rPr>
        <w:lastRenderedPageBreak/>
        <w:t>3</w:t>
      </w:r>
      <w:r>
        <w:rPr>
          <w:rFonts w:hint="eastAsia"/>
          <w:sz w:val="24"/>
          <w:szCs w:val="24"/>
        </w:rPr>
        <w:t>.</w:t>
      </w:r>
      <w:r>
        <w:rPr>
          <w:rFonts w:hint="eastAsia"/>
          <w:sz w:val="24"/>
          <w:szCs w:val="24"/>
        </w:rPr>
        <w:t>日常</w:t>
      </w:r>
      <w:r>
        <w:rPr>
          <w:sz w:val="24"/>
          <w:szCs w:val="24"/>
        </w:rPr>
        <w:t>申购业务</w:t>
      </w:r>
    </w:p>
    <w:p w:rsidR="00E47CCE" w:rsidRDefault="00AF5AAE" w:rsidP="00AF5AAE">
      <w:pPr>
        <w:adjustRightInd w:val="0"/>
        <w:snapToGrid w:val="0"/>
        <w:spacing w:beforeLines="50" w:line="288" w:lineRule="auto"/>
        <w:rPr>
          <w:sz w:val="24"/>
          <w:szCs w:val="24"/>
        </w:rPr>
        <w:pPrChange w:id="4" w:author="ZHONGM" w:date="2025-10-17T00:00:00Z">
          <w:pPr>
            <w:adjustRightInd w:val="0"/>
            <w:snapToGrid w:val="0"/>
            <w:spacing w:beforeLines="50" w:line="288" w:lineRule="auto"/>
          </w:pPr>
        </w:pPrChange>
      </w:pPr>
      <w:r>
        <w:rPr>
          <w:rFonts w:hint="eastAsia"/>
          <w:sz w:val="24"/>
          <w:szCs w:val="24"/>
        </w:rPr>
        <w:t>3</w:t>
      </w:r>
      <w:r>
        <w:rPr>
          <w:sz w:val="24"/>
          <w:szCs w:val="24"/>
        </w:rPr>
        <w:t>.1</w:t>
      </w:r>
      <w:r>
        <w:rPr>
          <w:sz w:val="24"/>
          <w:szCs w:val="24"/>
        </w:rPr>
        <w:t>申购金额限制</w:t>
      </w:r>
    </w:p>
    <w:p w:rsidR="00E47CCE" w:rsidRDefault="00AF5AAE" w:rsidP="00AF5AAE">
      <w:pPr>
        <w:adjustRightInd w:val="0"/>
        <w:snapToGrid w:val="0"/>
        <w:spacing w:beforeLines="50" w:line="288" w:lineRule="auto"/>
        <w:ind w:firstLineChars="200" w:firstLine="480"/>
        <w:rPr>
          <w:sz w:val="24"/>
          <w:szCs w:val="24"/>
        </w:rPr>
        <w:pPrChange w:id="5" w:author="ZHONGM" w:date="2025-10-17T00:00:00Z">
          <w:pPr>
            <w:adjustRightInd w:val="0"/>
            <w:snapToGrid w:val="0"/>
            <w:spacing w:beforeLines="50" w:line="288" w:lineRule="auto"/>
            <w:ind w:firstLineChars="200" w:firstLine="480"/>
          </w:pPr>
        </w:pPrChange>
      </w:pPr>
      <w:r>
        <w:rPr>
          <w:sz w:val="24"/>
          <w:szCs w:val="24"/>
        </w:rPr>
        <w:t>申购时，投资者通过本基金管理人直销中心申购，首次最低申购金额为</w:t>
      </w:r>
      <w:r>
        <w:rPr>
          <w:rFonts w:hint="eastAsia"/>
          <w:sz w:val="24"/>
          <w:szCs w:val="24"/>
        </w:rPr>
        <w:t>10</w:t>
      </w:r>
      <w:r>
        <w:rPr>
          <w:sz w:val="24"/>
          <w:szCs w:val="24"/>
        </w:rPr>
        <w:t>元人民币（含</w:t>
      </w:r>
      <w:r>
        <w:rPr>
          <w:sz w:val="24"/>
          <w:szCs w:val="24"/>
        </w:rPr>
        <w:t>申购费），已在直销中心有认</w:t>
      </w:r>
      <w:r>
        <w:rPr>
          <w:sz w:val="24"/>
          <w:szCs w:val="24"/>
        </w:rPr>
        <w:t>/</w:t>
      </w:r>
      <w:r>
        <w:rPr>
          <w:sz w:val="24"/>
          <w:szCs w:val="24"/>
        </w:rPr>
        <w:t>申购本</w:t>
      </w:r>
      <w:r>
        <w:rPr>
          <w:rFonts w:hint="eastAsia"/>
          <w:sz w:val="24"/>
          <w:szCs w:val="24"/>
        </w:rPr>
        <w:t>基金管理人</w:t>
      </w:r>
      <w:r>
        <w:rPr>
          <w:sz w:val="24"/>
          <w:szCs w:val="24"/>
        </w:rPr>
        <w:t>旗下基金记录的投资者单笔申购最低金额为</w:t>
      </w:r>
      <w:r>
        <w:rPr>
          <w:sz w:val="24"/>
          <w:szCs w:val="24"/>
        </w:rPr>
        <w:t>10</w:t>
      </w:r>
      <w:r>
        <w:rPr>
          <w:sz w:val="24"/>
          <w:szCs w:val="24"/>
        </w:rPr>
        <w:t>元人民币（含申购费）。</w:t>
      </w:r>
      <w:r>
        <w:rPr>
          <w:sz w:val="24"/>
          <w:szCs w:val="24"/>
        </w:rPr>
        <w:t xml:space="preserve"> </w:t>
      </w:r>
    </w:p>
    <w:p w:rsidR="00E47CCE" w:rsidRDefault="00AF5AAE" w:rsidP="00AF5AAE">
      <w:pPr>
        <w:adjustRightInd w:val="0"/>
        <w:snapToGrid w:val="0"/>
        <w:spacing w:beforeLines="50" w:line="288" w:lineRule="auto"/>
        <w:ind w:firstLineChars="200" w:firstLine="480"/>
        <w:rPr>
          <w:sz w:val="24"/>
          <w:szCs w:val="24"/>
        </w:rPr>
        <w:pPrChange w:id="6" w:author="ZHONGM" w:date="2025-10-17T00:00:00Z">
          <w:pPr>
            <w:adjustRightInd w:val="0"/>
            <w:snapToGrid w:val="0"/>
            <w:spacing w:beforeLines="50" w:line="288" w:lineRule="auto"/>
            <w:ind w:firstLineChars="200" w:firstLine="480"/>
          </w:pPr>
        </w:pPrChange>
      </w:pPr>
      <w:r>
        <w:rPr>
          <w:sz w:val="24"/>
          <w:szCs w:val="24"/>
        </w:rPr>
        <w:t>投资人将当期分配的基金收益再投资时，不受最低申购金额的限制。</w:t>
      </w:r>
    </w:p>
    <w:p w:rsidR="00E47CCE" w:rsidRDefault="00AF5AAE" w:rsidP="00AF5AAE">
      <w:pPr>
        <w:adjustRightInd w:val="0"/>
        <w:snapToGrid w:val="0"/>
        <w:spacing w:beforeLines="50" w:line="288" w:lineRule="auto"/>
        <w:rPr>
          <w:sz w:val="24"/>
          <w:szCs w:val="24"/>
        </w:rPr>
        <w:pPrChange w:id="7" w:author="ZHONGM" w:date="2025-10-17T00:00:00Z">
          <w:pPr>
            <w:adjustRightInd w:val="0"/>
            <w:snapToGrid w:val="0"/>
            <w:spacing w:beforeLines="50" w:line="288" w:lineRule="auto"/>
          </w:pPr>
        </w:pPrChange>
      </w:pPr>
      <w:r>
        <w:rPr>
          <w:rFonts w:hint="eastAsia"/>
          <w:sz w:val="24"/>
          <w:szCs w:val="24"/>
        </w:rPr>
        <w:t>3</w:t>
      </w:r>
      <w:r>
        <w:rPr>
          <w:sz w:val="24"/>
          <w:szCs w:val="24"/>
        </w:rPr>
        <w:t>.2</w:t>
      </w:r>
      <w:r>
        <w:rPr>
          <w:sz w:val="24"/>
          <w:szCs w:val="24"/>
        </w:rPr>
        <w:t>申购费率</w:t>
      </w:r>
    </w:p>
    <w:p w:rsidR="00E47CCE" w:rsidRDefault="00AF5AAE">
      <w:pPr>
        <w:adjustRightInd w:val="0"/>
        <w:snapToGrid w:val="0"/>
        <w:spacing w:line="288" w:lineRule="auto"/>
        <w:rPr>
          <w:sz w:val="24"/>
          <w:szCs w:val="24"/>
        </w:rPr>
      </w:pPr>
      <w:r>
        <w:rPr>
          <w:rFonts w:hint="eastAsia"/>
          <w:sz w:val="24"/>
          <w:szCs w:val="24"/>
        </w:rPr>
        <w:t>3.2.1</w:t>
      </w:r>
      <w:r>
        <w:rPr>
          <w:rStyle w:val="a9"/>
          <w:rFonts w:hint="eastAsia"/>
        </w:rPr>
        <w:t xml:space="preserve"> </w:t>
      </w:r>
      <w:r>
        <w:rPr>
          <w:rStyle w:val="a9"/>
          <w:rFonts w:hint="eastAsia"/>
        </w:rPr>
        <w:t>前端收费</w:t>
      </w:r>
    </w:p>
    <w:tbl>
      <w:tblPr>
        <w:tblStyle w:val="a8"/>
        <w:tblW w:w="0" w:type="auto"/>
        <w:tblLook w:val="04A0"/>
      </w:tblPr>
      <w:tblGrid>
        <w:gridCol w:w="2263"/>
        <w:gridCol w:w="3267"/>
        <w:gridCol w:w="2766"/>
      </w:tblGrid>
      <w:tr w:rsidR="00E47CCE">
        <w:tc>
          <w:tcPr>
            <w:tcW w:w="2263" w:type="dxa"/>
          </w:tcPr>
          <w:p w:rsidR="00E47CCE" w:rsidRDefault="00AF5AAE">
            <w:pPr>
              <w:adjustRightInd w:val="0"/>
              <w:snapToGrid w:val="0"/>
              <w:spacing w:line="288" w:lineRule="auto"/>
              <w:rPr>
                <w:sz w:val="24"/>
                <w:szCs w:val="24"/>
              </w:rPr>
            </w:pPr>
            <w:r>
              <w:rPr>
                <w:rFonts w:hint="eastAsia"/>
                <w:sz w:val="24"/>
                <w:szCs w:val="24"/>
              </w:rPr>
              <w:t>费用种类</w:t>
            </w:r>
          </w:p>
        </w:tc>
        <w:tc>
          <w:tcPr>
            <w:tcW w:w="3267" w:type="dxa"/>
          </w:tcPr>
          <w:p w:rsidR="00E47CCE" w:rsidRDefault="00AF5AAE">
            <w:pPr>
              <w:adjustRightInd w:val="0"/>
              <w:snapToGrid w:val="0"/>
              <w:spacing w:line="288" w:lineRule="auto"/>
              <w:rPr>
                <w:sz w:val="24"/>
                <w:szCs w:val="24"/>
              </w:rPr>
            </w:pPr>
            <w:r>
              <w:rPr>
                <w:rFonts w:hint="eastAsia"/>
                <w:sz w:val="24"/>
                <w:szCs w:val="24"/>
              </w:rPr>
              <w:t>情形</w:t>
            </w:r>
          </w:p>
        </w:tc>
        <w:tc>
          <w:tcPr>
            <w:tcW w:w="2766" w:type="dxa"/>
          </w:tcPr>
          <w:p w:rsidR="00E47CCE" w:rsidRDefault="00AF5AAE">
            <w:pPr>
              <w:adjustRightInd w:val="0"/>
              <w:snapToGrid w:val="0"/>
              <w:spacing w:line="288" w:lineRule="auto"/>
              <w:rPr>
                <w:sz w:val="24"/>
                <w:szCs w:val="24"/>
              </w:rPr>
            </w:pPr>
            <w:r>
              <w:rPr>
                <w:rFonts w:hint="eastAsia"/>
                <w:sz w:val="24"/>
                <w:szCs w:val="24"/>
              </w:rPr>
              <w:t>费率</w:t>
            </w:r>
          </w:p>
        </w:tc>
      </w:tr>
      <w:tr w:rsidR="00E47CCE">
        <w:trPr>
          <w:trHeight w:val="156"/>
        </w:trPr>
        <w:tc>
          <w:tcPr>
            <w:tcW w:w="2263" w:type="dxa"/>
            <w:vMerge w:val="restart"/>
          </w:tcPr>
          <w:p w:rsidR="00E47CCE" w:rsidRDefault="00AF5AAE">
            <w:pPr>
              <w:adjustRightInd w:val="0"/>
              <w:snapToGrid w:val="0"/>
              <w:spacing w:line="288" w:lineRule="auto"/>
              <w:rPr>
                <w:sz w:val="24"/>
                <w:szCs w:val="24"/>
              </w:rPr>
            </w:pPr>
            <w:r>
              <w:rPr>
                <w:rFonts w:hint="eastAsia"/>
                <w:sz w:val="24"/>
                <w:szCs w:val="24"/>
              </w:rPr>
              <w:t>申购费率</w:t>
            </w:r>
          </w:p>
        </w:tc>
        <w:tc>
          <w:tcPr>
            <w:tcW w:w="3267" w:type="dxa"/>
          </w:tcPr>
          <w:p w:rsidR="00E47CCE" w:rsidRDefault="00AF5AAE">
            <w:pPr>
              <w:adjustRightInd w:val="0"/>
              <w:snapToGrid w:val="0"/>
              <w:spacing w:line="288" w:lineRule="auto"/>
              <w:rPr>
                <w:sz w:val="24"/>
                <w:szCs w:val="24"/>
              </w:rPr>
            </w:pPr>
            <w:r>
              <w:rPr>
                <w:rFonts w:hint="eastAsia"/>
                <w:sz w:val="24"/>
                <w:szCs w:val="24"/>
              </w:rPr>
              <w:t>申购金额</w:t>
            </w:r>
            <w:r>
              <w:rPr>
                <w:sz w:val="24"/>
                <w:szCs w:val="24"/>
              </w:rPr>
              <w:t>（</w:t>
            </w:r>
            <w:r>
              <w:rPr>
                <w:rFonts w:hint="eastAsia"/>
                <w:sz w:val="24"/>
                <w:szCs w:val="24"/>
              </w:rPr>
              <w:t>M</w:t>
            </w:r>
            <w:r>
              <w:rPr>
                <w:sz w:val="24"/>
                <w:szCs w:val="24"/>
              </w:rPr>
              <w:t>）</w:t>
            </w:r>
            <w:r>
              <w:rPr>
                <w:rFonts w:hint="eastAsia"/>
                <w:sz w:val="24"/>
                <w:szCs w:val="24"/>
              </w:rPr>
              <w:t>＜</w:t>
            </w:r>
            <w:r>
              <w:rPr>
                <w:rFonts w:hint="eastAsia"/>
                <w:sz w:val="24"/>
                <w:szCs w:val="24"/>
              </w:rPr>
              <w:t>100</w:t>
            </w:r>
            <w:r>
              <w:rPr>
                <w:rFonts w:hint="eastAsia"/>
                <w:sz w:val="24"/>
                <w:szCs w:val="24"/>
              </w:rPr>
              <w:t>万</w:t>
            </w:r>
          </w:p>
        </w:tc>
        <w:tc>
          <w:tcPr>
            <w:tcW w:w="2766" w:type="dxa"/>
          </w:tcPr>
          <w:p w:rsidR="00E47CCE" w:rsidRDefault="00AF5AAE">
            <w:pPr>
              <w:adjustRightInd w:val="0"/>
              <w:snapToGrid w:val="0"/>
              <w:spacing w:line="288" w:lineRule="auto"/>
              <w:rPr>
                <w:sz w:val="24"/>
                <w:szCs w:val="24"/>
              </w:rPr>
            </w:pPr>
            <w:r>
              <w:rPr>
                <w:rFonts w:hint="eastAsia"/>
                <w:sz w:val="24"/>
                <w:szCs w:val="24"/>
              </w:rPr>
              <w:t>0.80</w:t>
            </w:r>
            <w:r>
              <w:rPr>
                <w:sz w:val="24"/>
                <w:szCs w:val="24"/>
              </w:rPr>
              <w:t>%</w:t>
            </w:r>
          </w:p>
        </w:tc>
      </w:tr>
      <w:tr w:rsidR="00E47CCE">
        <w:trPr>
          <w:trHeight w:val="127"/>
        </w:trPr>
        <w:tc>
          <w:tcPr>
            <w:tcW w:w="2263" w:type="dxa"/>
            <w:vMerge/>
          </w:tcPr>
          <w:p w:rsidR="00E47CCE" w:rsidRDefault="00E47CCE">
            <w:pPr>
              <w:adjustRightInd w:val="0"/>
              <w:snapToGrid w:val="0"/>
              <w:spacing w:line="288" w:lineRule="auto"/>
              <w:rPr>
                <w:sz w:val="24"/>
                <w:szCs w:val="24"/>
              </w:rPr>
            </w:pPr>
          </w:p>
        </w:tc>
        <w:tc>
          <w:tcPr>
            <w:tcW w:w="3267" w:type="dxa"/>
          </w:tcPr>
          <w:p w:rsidR="00E47CCE" w:rsidRDefault="00AF5AAE">
            <w:pPr>
              <w:adjustRightInd w:val="0"/>
              <w:snapToGrid w:val="0"/>
              <w:spacing w:line="288" w:lineRule="auto"/>
              <w:rPr>
                <w:sz w:val="24"/>
                <w:szCs w:val="24"/>
              </w:rPr>
            </w:pPr>
            <w:r>
              <w:rPr>
                <w:sz w:val="24"/>
                <w:szCs w:val="24"/>
              </w:rPr>
              <w:t>100</w:t>
            </w:r>
            <w:r>
              <w:rPr>
                <w:rFonts w:hint="eastAsia"/>
                <w:sz w:val="24"/>
                <w:szCs w:val="24"/>
              </w:rPr>
              <w:t>万≤</w:t>
            </w:r>
            <w:r>
              <w:rPr>
                <w:sz w:val="24"/>
                <w:szCs w:val="24"/>
              </w:rPr>
              <w:t>M</w:t>
            </w:r>
            <w:r>
              <w:rPr>
                <w:rFonts w:hint="eastAsia"/>
                <w:sz w:val="24"/>
                <w:szCs w:val="24"/>
              </w:rPr>
              <w:t>＜</w:t>
            </w:r>
            <w:r>
              <w:rPr>
                <w:sz w:val="24"/>
                <w:szCs w:val="24"/>
              </w:rPr>
              <w:t>300</w:t>
            </w:r>
            <w:r>
              <w:rPr>
                <w:rFonts w:hint="eastAsia"/>
                <w:sz w:val="24"/>
                <w:szCs w:val="24"/>
              </w:rPr>
              <w:t>万</w:t>
            </w:r>
          </w:p>
        </w:tc>
        <w:tc>
          <w:tcPr>
            <w:tcW w:w="2766" w:type="dxa"/>
          </w:tcPr>
          <w:p w:rsidR="00E47CCE" w:rsidRDefault="00AF5AAE">
            <w:pPr>
              <w:adjustRightInd w:val="0"/>
              <w:snapToGrid w:val="0"/>
              <w:spacing w:line="288" w:lineRule="auto"/>
              <w:rPr>
                <w:sz w:val="24"/>
                <w:szCs w:val="24"/>
              </w:rPr>
            </w:pPr>
            <w:r>
              <w:rPr>
                <w:sz w:val="24"/>
                <w:szCs w:val="24"/>
              </w:rPr>
              <w:t>0.50%</w:t>
            </w:r>
          </w:p>
        </w:tc>
      </w:tr>
      <w:tr w:rsidR="00E47CCE">
        <w:trPr>
          <w:trHeight w:val="141"/>
        </w:trPr>
        <w:tc>
          <w:tcPr>
            <w:tcW w:w="2263" w:type="dxa"/>
            <w:vMerge/>
          </w:tcPr>
          <w:p w:rsidR="00E47CCE" w:rsidRDefault="00E47CCE">
            <w:pPr>
              <w:adjustRightInd w:val="0"/>
              <w:snapToGrid w:val="0"/>
              <w:spacing w:line="288" w:lineRule="auto"/>
              <w:rPr>
                <w:sz w:val="24"/>
                <w:szCs w:val="24"/>
              </w:rPr>
            </w:pPr>
          </w:p>
        </w:tc>
        <w:tc>
          <w:tcPr>
            <w:tcW w:w="3267" w:type="dxa"/>
          </w:tcPr>
          <w:p w:rsidR="00E47CCE" w:rsidRDefault="00AF5AAE">
            <w:pPr>
              <w:adjustRightInd w:val="0"/>
              <w:snapToGrid w:val="0"/>
              <w:spacing w:line="288" w:lineRule="auto"/>
              <w:rPr>
                <w:sz w:val="24"/>
                <w:szCs w:val="24"/>
              </w:rPr>
            </w:pPr>
            <w:r>
              <w:rPr>
                <w:sz w:val="24"/>
                <w:szCs w:val="24"/>
              </w:rPr>
              <w:t>300</w:t>
            </w:r>
            <w:r>
              <w:rPr>
                <w:rFonts w:hint="eastAsia"/>
                <w:sz w:val="24"/>
                <w:szCs w:val="24"/>
              </w:rPr>
              <w:t>万≤</w:t>
            </w:r>
            <w:r>
              <w:rPr>
                <w:sz w:val="24"/>
                <w:szCs w:val="24"/>
              </w:rPr>
              <w:t>M</w:t>
            </w:r>
            <w:r>
              <w:rPr>
                <w:rFonts w:hint="eastAsia"/>
                <w:sz w:val="24"/>
                <w:szCs w:val="24"/>
              </w:rPr>
              <w:t>＜</w:t>
            </w:r>
            <w:r>
              <w:rPr>
                <w:sz w:val="24"/>
                <w:szCs w:val="24"/>
              </w:rPr>
              <w:t>500</w:t>
            </w:r>
            <w:r>
              <w:rPr>
                <w:rFonts w:hint="eastAsia"/>
                <w:sz w:val="24"/>
                <w:szCs w:val="24"/>
              </w:rPr>
              <w:t>万</w:t>
            </w:r>
          </w:p>
        </w:tc>
        <w:tc>
          <w:tcPr>
            <w:tcW w:w="2766" w:type="dxa"/>
          </w:tcPr>
          <w:p w:rsidR="00E47CCE" w:rsidRDefault="00AF5AAE">
            <w:pPr>
              <w:adjustRightInd w:val="0"/>
              <w:snapToGrid w:val="0"/>
              <w:spacing w:line="288" w:lineRule="auto"/>
              <w:rPr>
                <w:sz w:val="24"/>
                <w:szCs w:val="24"/>
              </w:rPr>
            </w:pPr>
            <w:r>
              <w:rPr>
                <w:sz w:val="24"/>
                <w:szCs w:val="24"/>
              </w:rPr>
              <w:t>0.30%</w:t>
            </w:r>
          </w:p>
        </w:tc>
      </w:tr>
      <w:tr w:rsidR="00E47CCE">
        <w:trPr>
          <w:trHeight w:val="157"/>
        </w:trPr>
        <w:tc>
          <w:tcPr>
            <w:tcW w:w="2263" w:type="dxa"/>
            <w:vMerge/>
          </w:tcPr>
          <w:p w:rsidR="00E47CCE" w:rsidRDefault="00E47CCE">
            <w:pPr>
              <w:adjustRightInd w:val="0"/>
              <w:snapToGrid w:val="0"/>
              <w:spacing w:line="288" w:lineRule="auto"/>
              <w:rPr>
                <w:sz w:val="24"/>
                <w:szCs w:val="24"/>
              </w:rPr>
            </w:pPr>
          </w:p>
        </w:tc>
        <w:tc>
          <w:tcPr>
            <w:tcW w:w="3267" w:type="dxa"/>
          </w:tcPr>
          <w:p w:rsidR="00E47CCE" w:rsidRDefault="00AF5AAE">
            <w:pPr>
              <w:adjustRightInd w:val="0"/>
              <w:snapToGrid w:val="0"/>
              <w:spacing w:line="288" w:lineRule="auto"/>
              <w:rPr>
                <w:sz w:val="24"/>
                <w:szCs w:val="24"/>
              </w:rPr>
            </w:pPr>
            <w:r>
              <w:rPr>
                <w:sz w:val="24"/>
                <w:szCs w:val="24"/>
              </w:rPr>
              <w:t>M</w:t>
            </w:r>
            <w:r>
              <w:rPr>
                <w:rFonts w:hint="eastAsia"/>
                <w:sz w:val="24"/>
                <w:szCs w:val="24"/>
              </w:rPr>
              <w:t>≥</w:t>
            </w:r>
            <w:r>
              <w:rPr>
                <w:sz w:val="24"/>
                <w:szCs w:val="24"/>
              </w:rPr>
              <w:t>500</w:t>
            </w:r>
            <w:r>
              <w:rPr>
                <w:rFonts w:hint="eastAsia"/>
                <w:sz w:val="24"/>
                <w:szCs w:val="24"/>
              </w:rPr>
              <w:t>万</w:t>
            </w:r>
          </w:p>
        </w:tc>
        <w:tc>
          <w:tcPr>
            <w:tcW w:w="2766" w:type="dxa"/>
          </w:tcPr>
          <w:p w:rsidR="00E47CCE" w:rsidRDefault="00AF5AAE">
            <w:pPr>
              <w:adjustRightInd w:val="0"/>
              <w:snapToGrid w:val="0"/>
              <w:spacing w:line="288" w:lineRule="auto"/>
              <w:rPr>
                <w:sz w:val="24"/>
                <w:szCs w:val="24"/>
              </w:rPr>
            </w:pPr>
            <w:r>
              <w:rPr>
                <w:rFonts w:hint="eastAsia"/>
                <w:sz w:val="24"/>
                <w:szCs w:val="24"/>
              </w:rPr>
              <w:t>按笔收取，</w:t>
            </w:r>
            <w:r>
              <w:rPr>
                <w:sz w:val="24"/>
                <w:szCs w:val="24"/>
              </w:rPr>
              <w:t>1,000</w:t>
            </w:r>
            <w:r>
              <w:rPr>
                <w:rFonts w:hint="eastAsia"/>
                <w:sz w:val="24"/>
                <w:szCs w:val="24"/>
              </w:rPr>
              <w:t>元</w:t>
            </w:r>
            <w:r>
              <w:rPr>
                <w:sz w:val="24"/>
                <w:szCs w:val="24"/>
              </w:rPr>
              <w:t>/</w:t>
            </w:r>
            <w:r>
              <w:rPr>
                <w:rFonts w:hint="eastAsia"/>
                <w:sz w:val="24"/>
                <w:szCs w:val="24"/>
              </w:rPr>
              <w:t>笔</w:t>
            </w:r>
          </w:p>
        </w:tc>
      </w:tr>
    </w:tbl>
    <w:p w:rsidR="00E47CCE" w:rsidRDefault="00AF5AAE" w:rsidP="00AF5AAE">
      <w:pPr>
        <w:adjustRightInd w:val="0"/>
        <w:snapToGrid w:val="0"/>
        <w:spacing w:beforeLines="50" w:line="288" w:lineRule="auto"/>
        <w:rPr>
          <w:sz w:val="24"/>
          <w:szCs w:val="24"/>
        </w:rPr>
      </w:pPr>
      <w:r>
        <w:rPr>
          <w:rFonts w:hint="eastAsia"/>
          <w:sz w:val="24"/>
          <w:szCs w:val="24"/>
        </w:rPr>
        <w:t>3</w:t>
      </w:r>
      <w:r>
        <w:rPr>
          <w:sz w:val="24"/>
          <w:szCs w:val="24"/>
        </w:rPr>
        <w:t>.3</w:t>
      </w:r>
      <w:r>
        <w:rPr>
          <w:rFonts w:hint="eastAsia"/>
          <w:sz w:val="24"/>
          <w:szCs w:val="24"/>
        </w:rPr>
        <w:t>其他与申购相关的事项</w:t>
      </w:r>
    </w:p>
    <w:p w:rsidR="00E47CCE" w:rsidRDefault="00AF5AAE" w:rsidP="00AF5AAE">
      <w:pPr>
        <w:adjustRightInd w:val="0"/>
        <w:snapToGrid w:val="0"/>
        <w:spacing w:beforeLines="50" w:line="288" w:lineRule="auto"/>
        <w:ind w:firstLineChars="200" w:firstLine="480"/>
        <w:rPr>
          <w:sz w:val="24"/>
          <w:szCs w:val="24"/>
        </w:rPr>
        <w:pPrChange w:id="8"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1</w:t>
      </w:r>
      <w:r>
        <w:rPr>
          <w:rFonts w:hint="eastAsia"/>
          <w:sz w:val="24"/>
          <w:szCs w:val="24"/>
        </w:rPr>
        <w:t>）</w:t>
      </w:r>
      <w:r>
        <w:rPr>
          <w:sz w:val="24"/>
          <w:szCs w:val="24"/>
        </w:rPr>
        <w:t>本基金对申购设置级差费率，投资者在一天之内如有多笔申购，适用费率按单笔分别计算。</w:t>
      </w:r>
    </w:p>
    <w:p w:rsidR="00E47CCE" w:rsidRDefault="00AF5AAE" w:rsidP="00AF5AAE">
      <w:pPr>
        <w:adjustRightInd w:val="0"/>
        <w:snapToGrid w:val="0"/>
        <w:spacing w:beforeLines="50" w:line="288" w:lineRule="auto"/>
        <w:ind w:firstLineChars="200" w:firstLine="480"/>
        <w:rPr>
          <w:sz w:val="24"/>
          <w:szCs w:val="24"/>
        </w:rPr>
        <w:pPrChange w:id="9"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2</w:t>
      </w:r>
      <w:r>
        <w:rPr>
          <w:rFonts w:hint="eastAsia"/>
          <w:sz w:val="24"/>
          <w:szCs w:val="24"/>
        </w:rPr>
        <w:t>）本基金份额的申购费用由申购人承担，主要用于本基金的市场推广、销售、注册登记等各项费用，不列入基金财产。</w:t>
      </w:r>
    </w:p>
    <w:p w:rsidR="00E47CCE" w:rsidRDefault="00AF5AAE" w:rsidP="00AF5AAE">
      <w:pPr>
        <w:adjustRightInd w:val="0"/>
        <w:snapToGrid w:val="0"/>
        <w:spacing w:beforeLines="50" w:line="288" w:lineRule="auto"/>
        <w:ind w:firstLineChars="200" w:firstLine="480"/>
        <w:rPr>
          <w:sz w:val="24"/>
          <w:szCs w:val="24"/>
        </w:rPr>
        <w:pPrChange w:id="10"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3</w:t>
      </w:r>
      <w:r>
        <w:rPr>
          <w:rFonts w:hint="eastAsia"/>
          <w:sz w:val="24"/>
          <w:szCs w:val="24"/>
        </w:rPr>
        <w:t>）基金管理人可以根据市场情况，调整对申购金额的数量限制。基金管理人必须于调整前依照《信息披露办法》的有关规定在中国证监会指定的媒体上刊登公告并报中国证监会备案。</w:t>
      </w:r>
    </w:p>
    <w:p w:rsidR="00E47CCE" w:rsidRDefault="00E47CCE">
      <w:pPr>
        <w:adjustRightInd w:val="0"/>
        <w:snapToGrid w:val="0"/>
        <w:spacing w:line="288" w:lineRule="auto"/>
        <w:ind w:firstLineChars="100" w:firstLine="240"/>
        <w:rPr>
          <w:sz w:val="24"/>
          <w:szCs w:val="24"/>
        </w:rPr>
      </w:pPr>
    </w:p>
    <w:p w:rsidR="00E47CCE" w:rsidRDefault="00AF5AAE" w:rsidP="00AF5AAE">
      <w:pPr>
        <w:adjustRightInd w:val="0"/>
        <w:snapToGrid w:val="0"/>
        <w:spacing w:afterLines="50" w:line="288" w:lineRule="auto"/>
        <w:rPr>
          <w:sz w:val="24"/>
          <w:szCs w:val="24"/>
        </w:rPr>
      </w:pPr>
      <w:r>
        <w:rPr>
          <w:sz w:val="24"/>
          <w:szCs w:val="24"/>
        </w:rPr>
        <w:t>4</w:t>
      </w:r>
      <w:r>
        <w:rPr>
          <w:rFonts w:hint="eastAsia"/>
          <w:sz w:val="24"/>
          <w:szCs w:val="24"/>
        </w:rPr>
        <w:t>.</w:t>
      </w:r>
      <w:r>
        <w:rPr>
          <w:rFonts w:hint="eastAsia"/>
          <w:sz w:val="24"/>
          <w:szCs w:val="24"/>
        </w:rPr>
        <w:t>日常赎回业务</w:t>
      </w:r>
    </w:p>
    <w:p w:rsidR="00E47CCE" w:rsidRDefault="00AF5AAE" w:rsidP="00AF5AAE">
      <w:pPr>
        <w:adjustRightInd w:val="0"/>
        <w:snapToGrid w:val="0"/>
        <w:spacing w:beforeLines="50" w:line="288" w:lineRule="auto"/>
        <w:rPr>
          <w:sz w:val="24"/>
          <w:szCs w:val="24"/>
        </w:rPr>
        <w:pPrChange w:id="11" w:author="ZHONGM" w:date="2025-10-17T00:00:00Z">
          <w:pPr>
            <w:adjustRightInd w:val="0"/>
            <w:snapToGrid w:val="0"/>
            <w:spacing w:beforeLines="50" w:line="288" w:lineRule="auto"/>
          </w:pPr>
        </w:pPrChange>
      </w:pPr>
      <w:r>
        <w:rPr>
          <w:rFonts w:hint="eastAsia"/>
          <w:sz w:val="24"/>
          <w:szCs w:val="24"/>
        </w:rPr>
        <w:t>4.1</w:t>
      </w:r>
      <w:r>
        <w:rPr>
          <w:rFonts w:hint="eastAsia"/>
          <w:sz w:val="24"/>
          <w:szCs w:val="24"/>
        </w:rPr>
        <w:t>赎回份额限制</w:t>
      </w:r>
    </w:p>
    <w:p w:rsidR="00E47CCE" w:rsidRDefault="00AF5AAE" w:rsidP="00AF5AAE">
      <w:pPr>
        <w:adjustRightInd w:val="0"/>
        <w:snapToGrid w:val="0"/>
        <w:spacing w:beforeLines="50" w:line="288" w:lineRule="auto"/>
        <w:ind w:firstLineChars="200" w:firstLine="480"/>
        <w:rPr>
          <w:sz w:val="24"/>
          <w:szCs w:val="24"/>
        </w:rPr>
        <w:pPrChange w:id="12" w:author="ZHONGM" w:date="2025-10-17T00:00:00Z">
          <w:pPr>
            <w:adjustRightInd w:val="0"/>
            <w:snapToGrid w:val="0"/>
            <w:spacing w:beforeLines="50" w:line="288" w:lineRule="auto"/>
            <w:ind w:firstLineChars="200" w:firstLine="480"/>
          </w:pPr>
        </w:pPrChange>
      </w:pPr>
      <w:r>
        <w:rPr>
          <w:rFonts w:hint="eastAsia"/>
          <w:sz w:val="24"/>
          <w:szCs w:val="24"/>
        </w:rPr>
        <w:t>投资者</w:t>
      </w:r>
      <w:r>
        <w:rPr>
          <w:sz w:val="24"/>
          <w:szCs w:val="24"/>
        </w:rPr>
        <w:t>每次赎回基金份额不得低于</w:t>
      </w:r>
      <w:r>
        <w:rPr>
          <w:sz w:val="24"/>
          <w:szCs w:val="24"/>
        </w:rPr>
        <w:t>10</w:t>
      </w:r>
      <w:r>
        <w:rPr>
          <w:sz w:val="24"/>
          <w:szCs w:val="24"/>
        </w:rPr>
        <w:t>份，基金份额持有人赎回时或赎回后在销售机构网点保留的基金份额余额不足</w:t>
      </w:r>
      <w:r>
        <w:rPr>
          <w:sz w:val="24"/>
          <w:szCs w:val="24"/>
        </w:rPr>
        <w:t>10</w:t>
      </w:r>
      <w:r>
        <w:rPr>
          <w:sz w:val="24"/>
          <w:szCs w:val="24"/>
        </w:rPr>
        <w:t>份的，在赎回时需一次全部赎回。</w:t>
      </w:r>
    </w:p>
    <w:p w:rsidR="00E47CCE" w:rsidRDefault="00AF5AAE" w:rsidP="00AF5AAE">
      <w:pPr>
        <w:adjustRightInd w:val="0"/>
        <w:snapToGrid w:val="0"/>
        <w:spacing w:beforeLines="50" w:line="288" w:lineRule="auto"/>
        <w:ind w:firstLineChars="200" w:firstLine="480"/>
        <w:rPr>
          <w:sz w:val="24"/>
          <w:szCs w:val="24"/>
        </w:rPr>
        <w:pPrChange w:id="13" w:author="ZHONGM" w:date="2025-10-17T00:00:00Z">
          <w:pPr>
            <w:adjustRightInd w:val="0"/>
            <w:snapToGrid w:val="0"/>
            <w:spacing w:beforeLines="50" w:line="288" w:lineRule="auto"/>
            <w:ind w:firstLineChars="200" w:firstLine="480"/>
          </w:pPr>
        </w:pPrChange>
      </w:pPr>
      <w:r>
        <w:rPr>
          <w:rFonts w:hint="eastAsia"/>
          <w:sz w:val="24"/>
          <w:szCs w:val="24"/>
        </w:rPr>
        <w:t>基金管理人可在法律法规允许的情况下，调整上述规定赎回份额的数量限制。基金管理人必须在调整前依照《信息披露办法》的有关规定在指定媒介上公告并报中国证监会备案。</w:t>
      </w:r>
    </w:p>
    <w:p w:rsidR="00E47CCE" w:rsidRDefault="00AF5AAE" w:rsidP="00AF5AAE">
      <w:pPr>
        <w:adjustRightInd w:val="0"/>
        <w:snapToGrid w:val="0"/>
        <w:spacing w:beforeLines="50" w:line="288" w:lineRule="auto"/>
        <w:rPr>
          <w:sz w:val="24"/>
          <w:szCs w:val="24"/>
        </w:rPr>
        <w:pPrChange w:id="14" w:author="ZHONGM" w:date="2025-10-17T00:00:00Z">
          <w:pPr>
            <w:adjustRightInd w:val="0"/>
            <w:snapToGrid w:val="0"/>
            <w:spacing w:beforeLines="50" w:line="288" w:lineRule="auto"/>
          </w:pPr>
        </w:pPrChange>
      </w:pPr>
      <w:r>
        <w:rPr>
          <w:rFonts w:hint="eastAsia"/>
          <w:sz w:val="24"/>
          <w:szCs w:val="24"/>
        </w:rPr>
        <w:t>4.2</w:t>
      </w:r>
      <w:r>
        <w:rPr>
          <w:sz w:val="24"/>
          <w:szCs w:val="24"/>
        </w:rPr>
        <w:t>赎回费率</w:t>
      </w:r>
    </w:p>
    <w:p w:rsidR="00E47CCE" w:rsidRDefault="00AF5AAE">
      <w:pPr>
        <w:adjustRightInd w:val="0"/>
        <w:snapToGrid w:val="0"/>
        <w:spacing w:line="288" w:lineRule="auto"/>
        <w:ind w:firstLineChars="200" w:firstLine="480"/>
        <w:rPr>
          <w:sz w:val="24"/>
          <w:szCs w:val="24"/>
        </w:rPr>
      </w:pPr>
      <w:r>
        <w:rPr>
          <w:sz w:val="24"/>
          <w:szCs w:val="24"/>
        </w:rPr>
        <w:t>本基金的</w:t>
      </w:r>
      <w:r>
        <w:rPr>
          <w:rFonts w:hint="eastAsia"/>
          <w:sz w:val="24"/>
          <w:szCs w:val="24"/>
        </w:rPr>
        <w:t>赎回</w:t>
      </w:r>
      <w:r>
        <w:rPr>
          <w:sz w:val="24"/>
          <w:szCs w:val="24"/>
        </w:rPr>
        <w:t>费率如下表所示：</w:t>
      </w:r>
    </w:p>
    <w:tbl>
      <w:tblPr>
        <w:tblStyle w:val="a8"/>
        <w:tblW w:w="0" w:type="auto"/>
        <w:tblLook w:val="04A0"/>
      </w:tblPr>
      <w:tblGrid>
        <w:gridCol w:w="1696"/>
        <w:gridCol w:w="4820"/>
        <w:gridCol w:w="1780"/>
      </w:tblGrid>
      <w:tr w:rsidR="00E47CCE">
        <w:tc>
          <w:tcPr>
            <w:tcW w:w="1696" w:type="dxa"/>
          </w:tcPr>
          <w:p w:rsidR="00E47CCE" w:rsidRDefault="00AF5AAE">
            <w:pPr>
              <w:adjustRightInd w:val="0"/>
              <w:snapToGrid w:val="0"/>
              <w:spacing w:line="288" w:lineRule="auto"/>
              <w:rPr>
                <w:sz w:val="24"/>
                <w:szCs w:val="24"/>
              </w:rPr>
            </w:pPr>
            <w:r>
              <w:rPr>
                <w:rFonts w:hint="eastAsia"/>
                <w:sz w:val="24"/>
                <w:szCs w:val="24"/>
              </w:rPr>
              <w:t>费用种类</w:t>
            </w:r>
          </w:p>
        </w:tc>
        <w:tc>
          <w:tcPr>
            <w:tcW w:w="4820" w:type="dxa"/>
          </w:tcPr>
          <w:p w:rsidR="00E47CCE" w:rsidRDefault="00AF5AAE">
            <w:pPr>
              <w:adjustRightInd w:val="0"/>
              <w:snapToGrid w:val="0"/>
              <w:spacing w:line="288" w:lineRule="auto"/>
              <w:rPr>
                <w:sz w:val="24"/>
                <w:szCs w:val="24"/>
              </w:rPr>
            </w:pPr>
            <w:r>
              <w:rPr>
                <w:rFonts w:hint="eastAsia"/>
                <w:sz w:val="24"/>
                <w:szCs w:val="24"/>
              </w:rPr>
              <w:t>情形</w:t>
            </w:r>
          </w:p>
        </w:tc>
        <w:tc>
          <w:tcPr>
            <w:tcW w:w="1780" w:type="dxa"/>
          </w:tcPr>
          <w:p w:rsidR="00E47CCE" w:rsidRDefault="00AF5AAE">
            <w:pPr>
              <w:adjustRightInd w:val="0"/>
              <w:snapToGrid w:val="0"/>
              <w:spacing w:line="288" w:lineRule="auto"/>
              <w:rPr>
                <w:sz w:val="24"/>
                <w:szCs w:val="24"/>
              </w:rPr>
            </w:pPr>
            <w:r>
              <w:rPr>
                <w:rFonts w:hint="eastAsia"/>
                <w:sz w:val="24"/>
                <w:szCs w:val="24"/>
              </w:rPr>
              <w:t>费率</w:t>
            </w:r>
          </w:p>
        </w:tc>
      </w:tr>
      <w:tr w:rsidR="00E47CCE">
        <w:trPr>
          <w:trHeight w:val="99"/>
        </w:trPr>
        <w:tc>
          <w:tcPr>
            <w:tcW w:w="1696" w:type="dxa"/>
            <w:vMerge w:val="restart"/>
          </w:tcPr>
          <w:p w:rsidR="00E47CCE" w:rsidRDefault="00AF5AAE">
            <w:pPr>
              <w:adjustRightInd w:val="0"/>
              <w:snapToGrid w:val="0"/>
              <w:spacing w:line="288" w:lineRule="auto"/>
              <w:rPr>
                <w:sz w:val="24"/>
                <w:szCs w:val="24"/>
              </w:rPr>
            </w:pPr>
            <w:r>
              <w:rPr>
                <w:rFonts w:hint="eastAsia"/>
                <w:sz w:val="24"/>
                <w:szCs w:val="24"/>
              </w:rPr>
              <w:lastRenderedPageBreak/>
              <w:t>赎回费率</w:t>
            </w:r>
          </w:p>
        </w:tc>
        <w:tc>
          <w:tcPr>
            <w:tcW w:w="4820" w:type="dxa"/>
          </w:tcPr>
          <w:p w:rsidR="00E47CCE" w:rsidRDefault="00AF5AAE">
            <w:pPr>
              <w:adjustRightInd w:val="0"/>
              <w:snapToGrid w:val="0"/>
              <w:spacing w:line="288" w:lineRule="auto"/>
              <w:rPr>
                <w:sz w:val="24"/>
                <w:szCs w:val="24"/>
              </w:rPr>
            </w:pPr>
            <w:r>
              <w:rPr>
                <w:rFonts w:hint="eastAsia"/>
                <w:sz w:val="24"/>
                <w:szCs w:val="24"/>
              </w:rPr>
              <w:t>在同一个开放期内申购后又赎回的份额且持续持有期小于</w:t>
            </w:r>
            <w:r>
              <w:rPr>
                <w:sz w:val="24"/>
                <w:szCs w:val="24"/>
              </w:rPr>
              <w:t>7</w:t>
            </w:r>
            <w:r>
              <w:rPr>
                <w:rFonts w:hint="eastAsia"/>
                <w:sz w:val="24"/>
                <w:szCs w:val="24"/>
              </w:rPr>
              <w:t>天</w:t>
            </w:r>
          </w:p>
        </w:tc>
        <w:tc>
          <w:tcPr>
            <w:tcW w:w="1780" w:type="dxa"/>
          </w:tcPr>
          <w:p w:rsidR="00E47CCE" w:rsidRDefault="00AF5AAE">
            <w:pPr>
              <w:adjustRightInd w:val="0"/>
              <w:snapToGrid w:val="0"/>
              <w:spacing w:line="288" w:lineRule="auto"/>
              <w:rPr>
                <w:sz w:val="24"/>
                <w:szCs w:val="24"/>
              </w:rPr>
            </w:pPr>
            <w:r>
              <w:rPr>
                <w:sz w:val="24"/>
                <w:szCs w:val="24"/>
              </w:rPr>
              <w:t>1.50%</w:t>
            </w:r>
          </w:p>
        </w:tc>
      </w:tr>
      <w:tr w:rsidR="00E47CCE">
        <w:trPr>
          <w:trHeight w:val="157"/>
        </w:trPr>
        <w:tc>
          <w:tcPr>
            <w:tcW w:w="1696" w:type="dxa"/>
            <w:vMerge/>
          </w:tcPr>
          <w:p w:rsidR="00E47CCE" w:rsidRDefault="00E47CCE">
            <w:pPr>
              <w:adjustRightInd w:val="0"/>
              <w:snapToGrid w:val="0"/>
              <w:spacing w:line="288" w:lineRule="auto"/>
              <w:rPr>
                <w:sz w:val="24"/>
                <w:szCs w:val="24"/>
              </w:rPr>
            </w:pPr>
          </w:p>
        </w:tc>
        <w:tc>
          <w:tcPr>
            <w:tcW w:w="4820" w:type="dxa"/>
          </w:tcPr>
          <w:p w:rsidR="00E47CCE" w:rsidRDefault="00AF5AAE">
            <w:pPr>
              <w:adjustRightInd w:val="0"/>
              <w:snapToGrid w:val="0"/>
              <w:spacing w:line="288" w:lineRule="auto"/>
              <w:rPr>
                <w:sz w:val="24"/>
                <w:szCs w:val="24"/>
              </w:rPr>
            </w:pPr>
            <w:r>
              <w:rPr>
                <w:rFonts w:hint="eastAsia"/>
                <w:sz w:val="24"/>
                <w:szCs w:val="24"/>
              </w:rPr>
              <w:t>在同一个开放期内申购后又赎回的份额且持续持有期不小于</w:t>
            </w:r>
            <w:r>
              <w:rPr>
                <w:sz w:val="24"/>
                <w:szCs w:val="24"/>
              </w:rPr>
              <w:t>7</w:t>
            </w:r>
            <w:r>
              <w:rPr>
                <w:rFonts w:hint="eastAsia"/>
                <w:sz w:val="24"/>
                <w:szCs w:val="24"/>
              </w:rPr>
              <w:t>天</w:t>
            </w:r>
          </w:p>
        </w:tc>
        <w:tc>
          <w:tcPr>
            <w:tcW w:w="1780" w:type="dxa"/>
          </w:tcPr>
          <w:p w:rsidR="00E47CCE" w:rsidRDefault="00AF5AAE">
            <w:pPr>
              <w:adjustRightInd w:val="0"/>
              <w:snapToGrid w:val="0"/>
              <w:spacing w:line="288" w:lineRule="auto"/>
              <w:rPr>
                <w:sz w:val="24"/>
                <w:szCs w:val="24"/>
              </w:rPr>
            </w:pPr>
            <w:r>
              <w:rPr>
                <w:sz w:val="24"/>
                <w:szCs w:val="24"/>
              </w:rPr>
              <w:t>1.00%</w:t>
            </w:r>
          </w:p>
        </w:tc>
      </w:tr>
      <w:tr w:rsidR="00E47CCE">
        <w:trPr>
          <w:trHeight w:val="141"/>
        </w:trPr>
        <w:tc>
          <w:tcPr>
            <w:tcW w:w="1696" w:type="dxa"/>
            <w:vMerge/>
          </w:tcPr>
          <w:p w:rsidR="00E47CCE" w:rsidRDefault="00E47CCE">
            <w:pPr>
              <w:adjustRightInd w:val="0"/>
              <w:snapToGrid w:val="0"/>
              <w:spacing w:line="288" w:lineRule="auto"/>
              <w:rPr>
                <w:sz w:val="24"/>
                <w:szCs w:val="24"/>
              </w:rPr>
            </w:pPr>
          </w:p>
        </w:tc>
        <w:tc>
          <w:tcPr>
            <w:tcW w:w="4820" w:type="dxa"/>
          </w:tcPr>
          <w:p w:rsidR="00E47CCE" w:rsidRDefault="00AF5AAE">
            <w:pPr>
              <w:adjustRightInd w:val="0"/>
              <w:snapToGrid w:val="0"/>
              <w:spacing w:line="288" w:lineRule="auto"/>
              <w:rPr>
                <w:sz w:val="24"/>
                <w:szCs w:val="24"/>
              </w:rPr>
            </w:pPr>
            <w:r>
              <w:rPr>
                <w:rFonts w:hint="eastAsia"/>
                <w:sz w:val="24"/>
                <w:szCs w:val="24"/>
              </w:rPr>
              <w:t>认购或在某一开放期申购并在下一个及之后的开放期赎回的份额</w:t>
            </w:r>
          </w:p>
        </w:tc>
        <w:tc>
          <w:tcPr>
            <w:tcW w:w="1780" w:type="dxa"/>
          </w:tcPr>
          <w:p w:rsidR="00E47CCE" w:rsidRDefault="00AF5AAE">
            <w:pPr>
              <w:adjustRightInd w:val="0"/>
              <w:snapToGrid w:val="0"/>
              <w:spacing w:line="288" w:lineRule="auto"/>
              <w:rPr>
                <w:sz w:val="24"/>
                <w:szCs w:val="24"/>
              </w:rPr>
            </w:pPr>
            <w:r>
              <w:rPr>
                <w:sz w:val="24"/>
                <w:szCs w:val="24"/>
              </w:rPr>
              <w:t>0%</w:t>
            </w:r>
          </w:p>
        </w:tc>
      </w:tr>
    </w:tbl>
    <w:p w:rsidR="00E47CCE" w:rsidRDefault="00AF5AAE" w:rsidP="00AF5AAE">
      <w:pPr>
        <w:adjustRightInd w:val="0"/>
        <w:snapToGrid w:val="0"/>
        <w:spacing w:beforeLines="50" w:line="288" w:lineRule="auto"/>
        <w:ind w:firstLineChars="200" w:firstLine="480"/>
        <w:rPr>
          <w:sz w:val="24"/>
          <w:szCs w:val="24"/>
        </w:rPr>
      </w:pPr>
      <w:r>
        <w:rPr>
          <w:rFonts w:hint="eastAsia"/>
          <w:sz w:val="24"/>
          <w:szCs w:val="24"/>
        </w:rPr>
        <w:t>4.3</w:t>
      </w:r>
      <w:r>
        <w:rPr>
          <w:rFonts w:hint="eastAsia"/>
          <w:sz w:val="24"/>
          <w:szCs w:val="24"/>
        </w:rPr>
        <w:t>其他与赎回相关的事项</w:t>
      </w:r>
    </w:p>
    <w:p w:rsidR="00E47CCE" w:rsidRDefault="00AF5AAE" w:rsidP="00AF5AAE">
      <w:pPr>
        <w:adjustRightInd w:val="0"/>
        <w:snapToGrid w:val="0"/>
        <w:spacing w:beforeLines="50" w:line="288" w:lineRule="auto"/>
        <w:ind w:firstLineChars="200" w:firstLine="480"/>
        <w:rPr>
          <w:sz w:val="24"/>
          <w:szCs w:val="24"/>
        </w:rPr>
        <w:pPrChange w:id="15"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1</w:t>
      </w:r>
      <w:r>
        <w:rPr>
          <w:rFonts w:hint="eastAsia"/>
          <w:sz w:val="24"/>
          <w:szCs w:val="24"/>
        </w:rPr>
        <w:t>）</w:t>
      </w:r>
      <w:r>
        <w:rPr>
          <w:sz w:val="24"/>
          <w:szCs w:val="24"/>
        </w:rPr>
        <w:t>赎回费用由赎回基金份额的基金份额持有人承担，在基金份额持有人赎回基金份额时收取。本基金收取的赎回费将全额计入基金财产。</w:t>
      </w:r>
    </w:p>
    <w:p w:rsidR="00E47CCE" w:rsidRDefault="00AF5AAE" w:rsidP="00AF5AAE">
      <w:pPr>
        <w:adjustRightInd w:val="0"/>
        <w:snapToGrid w:val="0"/>
        <w:spacing w:beforeLines="50" w:line="288" w:lineRule="auto"/>
        <w:ind w:firstLineChars="200" w:firstLine="480"/>
        <w:rPr>
          <w:sz w:val="24"/>
          <w:szCs w:val="24"/>
        </w:rPr>
        <w:pPrChange w:id="16"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2</w:t>
      </w:r>
      <w:r>
        <w:rPr>
          <w:rFonts w:hint="eastAsia"/>
          <w:sz w:val="24"/>
          <w:szCs w:val="24"/>
        </w:rPr>
        <w:t>）基金管理人可以根据基金合同的相关约定调整费率或收费方式。基金</w:t>
      </w:r>
      <w:r>
        <w:rPr>
          <w:sz w:val="24"/>
          <w:szCs w:val="24"/>
        </w:rPr>
        <w:t>管理人</w:t>
      </w:r>
      <w:r>
        <w:rPr>
          <w:rFonts w:hint="eastAsia"/>
          <w:sz w:val="24"/>
          <w:szCs w:val="24"/>
        </w:rPr>
        <w:t>必须于新的费率或收费方式实施日前依照《信息披露办法》的有关规定在中国证监会指定的媒体上刊登公告。</w:t>
      </w:r>
    </w:p>
    <w:p w:rsidR="00E47CCE" w:rsidRDefault="00E47CCE">
      <w:pPr>
        <w:adjustRightInd w:val="0"/>
        <w:snapToGrid w:val="0"/>
        <w:spacing w:line="288" w:lineRule="auto"/>
        <w:rPr>
          <w:sz w:val="24"/>
          <w:szCs w:val="24"/>
        </w:rPr>
      </w:pPr>
    </w:p>
    <w:p w:rsidR="00E47CCE" w:rsidRDefault="00AF5AAE" w:rsidP="00AF5AAE">
      <w:pPr>
        <w:adjustRightInd w:val="0"/>
        <w:snapToGrid w:val="0"/>
        <w:spacing w:afterLines="50" w:line="288" w:lineRule="auto"/>
        <w:rPr>
          <w:sz w:val="24"/>
          <w:szCs w:val="24"/>
        </w:rPr>
      </w:pPr>
      <w:r>
        <w:rPr>
          <w:rFonts w:hint="eastAsia"/>
          <w:sz w:val="24"/>
          <w:szCs w:val="24"/>
        </w:rPr>
        <w:t>5.</w:t>
      </w:r>
      <w:r>
        <w:rPr>
          <w:sz w:val="24"/>
          <w:szCs w:val="24"/>
        </w:rPr>
        <w:t>基金销售机构</w:t>
      </w:r>
    </w:p>
    <w:p w:rsidR="00E47CCE" w:rsidRDefault="00AF5AAE" w:rsidP="00AF5AAE">
      <w:pPr>
        <w:adjustRightInd w:val="0"/>
        <w:snapToGrid w:val="0"/>
        <w:spacing w:beforeLines="50" w:line="288" w:lineRule="auto"/>
        <w:rPr>
          <w:sz w:val="24"/>
          <w:szCs w:val="24"/>
        </w:rPr>
        <w:pPrChange w:id="17" w:author="ZHONGM" w:date="2025-10-17T00:00:00Z">
          <w:pPr>
            <w:adjustRightInd w:val="0"/>
            <w:snapToGrid w:val="0"/>
            <w:spacing w:beforeLines="50" w:line="288" w:lineRule="auto"/>
          </w:pPr>
        </w:pPrChange>
      </w:pPr>
      <w:r>
        <w:rPr>
          <w:rFonts w:hint="eastAsia"/>
          <w:sz w:val="24"/>
          <w:szCs w:val="24"/>
        </w:rPr>
        <w:t>5.1</w:t>
      </w:r>
      <w:r>
        <w:rPr>
          <w:rFonts w:hint="eastAsia"/>
          <w:sz w:val="24"/>
          <w:szCs w:val="24"/>
        </w:rPr>
        <w:t>场外销售机构</w:t>
      </w:r>
    </w:p>
    <w:p w:rsidR="00E47CCE" w:rsidRDefault="00AF5AAE">
      <w:pPr>
        <w:adjustRightInd w:val="0"/>
        <w:snapToGrid w:val="0"/>
        <w:spacing w:line="288" w:lineRule="auto"/>
        <w:rPr>
          <w:sz w:val="24"/>
          <w:szCs w:val="24"/>
        </w:rPr>
      </w:pPr>
      <w:r>
        <w:rPr>
          <w:rFonts w:hint="eastAsia"/>
          <w:sz w:val="24"/>
          <w:szCs w:val="24"/>
        </w:rPr>
        <w:t>5.1.1</w:t>
      </w:r>
      <w:r>
        <w:rPr>
          <w:sz w:val="24"/>
          <w:szCs w:val="24"/>
        </w:rPr>
        <w:t>直销机构</w:t>
      </w:r>
    </w:p>
    <w:p w:rsidR="00E47CCE" w:rsidRDefault="00AF5AAE">
      <w:pPr>
        <w:adjustRightInd w:val="0"/>
        <w:snapToGrid w:val="0"/>
        <w:spacing w:line="288" w:lineRule="auto"/>
        <w:rPr>
          <w:sz w:val="24"/>
          <w:szCs w:val="24"/>
        </w:rPr>
      </w:pPr>
      <w:r>
        <w:rPr>
          <w:rFonts w:hint="eastAsia"/>
          <w:sz w:val="24"/>
          <w:szCs w:val="24"/>
        </w:rPr>
        <w:t>南华基金管理</w:t>
      </w:r>
      <w:r>
        <w:rPr>
          <w:sz w:val="24"/>
          <w:szCs w:val="24"/>
        </w:rPr>
        <w:t>有限公司</w:t>
      </w:r>
    </w:p>
    <w:p w:rsidR="00E47CCE" w:rsidRDefault="00AF5AAE">
      <w:pPr>
        <w:adjustRightInd w:val="0"/>
        <w:snapToGrid w:val="0"/>
        <w:spacing w:line="288" w:lineRule="auto"/>
        <w:rPr>
          <w:sz w:val="24"/>
          <w:szCs w:val="24"/>
        </w:rPr>
      </w:pPr>
      <w:r>
        <w:rPr>
          <w:rFonts w:hint="eastAsia"/>
          <w:sz w:val="24"/>
          <w:szCs w:val="24"/>
        </w:rPr>
        <w:t>办公地址</w:t>
      </w:r>
      <w:r>
        <w:rPr>
          <w:sz w:val="24"/>
          <w:szCs w:val="24"/>
        </w:rPr>
        <w:t>：</w:t>
      </w:r>
      <w:r>
        <w:rPr>
          <w:rFonts w:hint="eastAsia"/>
          <w:sz w:val="24"/>
          <w:szCs w:val="24"/>
        </w:rPr>
        <w:t>浙江省</w:t>
      </w:r>
      <w:r>
        <w:rPr>
          <w:sz w:val="24"/>
          <w:szCs w:val="24"/>
        </w:rPr>
        <w:t>杭州市上城区横店大厦</w:t>
      </w:r>
      <w:r>
        <w:rPr>
          <w:rFonts w:hint="eastAsia"/>
          <w:sz w:val="24"/>
          <w:szCs w:val="24"/>
        </w:rPr>
        <w:t>801</w:t>
      </w:r>
      <w:r>
        <w:rPr>
          <w:rFonts w:hint="eastAsia"/>
          <w:sz w:val="24"/>
          <w:szCs w:val="24"/>
        </w:rPr>
        <w:t>室</w:t>
      </w:r>
    </w:p>
    <w:p w:rsidR="00E47CCE" w:rsidRDefault="00AF5AAE">
      <w:pPr>
        <w:adjustRightInd w:val="0"/>
        <w:snapToGrid w:val="0"/>
        <w:spacing w:line="288" w:lineRule="auto"/>
        <w:rPr>
          <w:sz w:val="24"/>
          <w:szCs w:val="24"/>
        </w:rPr>
      </w:pPr>
      <w:r>
        <w:rPr>
          <w:rFonts w:hint="eastAsia"/>
          <w:sz w:val="24"/>
          <w:szCs w:val="24"/>
        </w:rPr>
        <w:t>电话</w:t>
      </w:r>
      <w:r>
        <w:rPr>
          <w:sz w:val="24"/>
          <w:szCs w:val="24"/>
        </w:rPr>
        <w:t>：</w:t>
      </w:r>
      <w:r>
        <w:rPr>
          <w:rFonts w:hint="eastAsia"/>
          <w:sz w:val="24"/>
          <w:szCs w:val="24"/>
        </w:rPr>
        <w:t>0</w:t>
      </w:r>
      <w:r>
        <w:rPr>
          <w:sz w:val="24"/>
          <w:szCs w:val="24"/>
        </w:rPr>
        <w:t>571-26896595</w:t>
      </w:r>
    </w:p>
    <w:p w:rsidR="00E47CCE" w:rsidRDefault="00AF5AAE">
      <w:pPr>
        <w:adjustRightInd w:val="0"/>
        <w:snapToGrid w:val="0"/>
        <w:spacing w:line="288" w:lineRule="auto"/>
        <w:rPr>
          <w:sz w:val="24"/>
          <w:szCs w:val="24"/>
        </w:rPr>
      </w:pPr>
      <w:r>
        <w:rPr>
          <w:rFonts w:hint="eastAsia"/>
          <w:sz w:val="24"/>
          <w:szCs w:val="24"/>
        </w:rPr>
        <w:t>传真</w:t>
      </w:r>
      <w:r>
        <w:rPr>
          <w:sz w:val="24"/>
          <w:szCs w:val="24"/>
        </w:rPr>
        <w:t>：</w:t>
      </w:r>
      <w:r>
        <w:rPr>
          <w:sz w:val="24"/>
          <w:szCs w:val="24"/>
        </w:rPr>
        <w:t>0571-56108133</w:t>
      </w:r>
    </w:p>
    <w:p w:rsidR="00E47CCE" w:rsidRDefault="00AF5AAE">
      <w:pPr>
        <w:adjustRightInd w:val="0"/>
        <w:snapToGrid w:val="0"/>
        <w:spacing w:line="288" w:lineRule="auto"/>
        <w:rPr>
          <w:sz w:val="24"/>
          <w:szCs w:val="24"/>
        </w:rPr>
      </w:pPr>
      <w:r>
        <w:rPr>
          <w:rFonts w:hint="eastAsia"/>
          <w:sz w:val="24"/>
          <w:szCs w:val="24"/>
        </w:rPr>
        <w:t>联系人</w:t>
      </w:r>
      <w:r>
        <w:rPr>
          <w:sz w:val="24"/>
          <w:szCs w:val="24"/>
        </w:rPr>
        <w:t>：张</w:t>
      </w:r>
      <w:r>
        <w:rPr>
          <w:rFonts w:hint="eastAsia"/>
          <w:sz w:val="24"/>
          <w:szCs w:val="24"/>
        </w:rPr>
        <w:t>艳</w:t>
      </w:r>
      <w:r>
        <w:rPr>
          <w:sz w:val="24"/>
          <w:szCs w:val="24"/>
        </w:rPr>
        <w:t>梅</w:t>
      </w:r>
    </w:p>
    <w:p w:rsidR="00E47CCE" w:rsidRDefault="00AF5AAE">
      <w:pPr>
        <w:adjustRightInd w:val="0"/>
        <w:snapToGrid w:val="0"/>
        <w:spacing w:line="288" w:lineRule="auto"/>
        <w:rPr>
          <w:sz w:val="24"/>
          <w:szCs w:val="24"/>
        </w:rPr>
      </w:pPr>
      <w:r>
        <w:rPr>
          <w:rFonts w:hint="eastAsia"/>
          <w:sz w:val="24"/>
          <w:szCs w:val="24"/>
        </w:rPr>
        <w:t>5.1.2</w:t>
      </w:r>
      <w:r>
        <w:rPr>
          <w:rFonts w:hint="eastAsia"/>
          <w:sz w:val="24"/>
          <w:szCs w:val="24"/>
        </w:rPr>
        <w:t>场外非直销机构</w:t>
      </w:r>
    </w:p>
    <w:p w:rsidR="00E47CCE" w:rsidRDefault="00AF5AAE">
      <w:pPr>
        <w:adjustRightInd w:val="0"/>
        <w:snapToGrid w:val="0"/>
        <w:spacing w:line="288" w:lineRule="auto"/>
        <w:rPr>
          <w:sz w:val="24"/>
          <w:szCs w:val="24"/>
        </w:rPr>
      </w:pPr>
      <w:r>
        <w:rPr>
          <w:sz w:val="24"/>
          <w:szCs w:val="24"/>
        </w:rPr>
        <w:t>南华期货股份有限公司</w:t>
      </w:r>
    </w:p>
    <w:p w:rsidR="00E47CCE" w:rsidRDefault="00AF5AAE">
      <w:pPr>
        <w:adjustRightInd w:val="0"/>
        <w:snapToGrid w:val="0"/>
        <w:spacing w:line="288" w:lineRule="auto"/>
        <w:rPr>
          <w:sz w:val="24"/>
          <w:szCs w:val="24"/>
        </w:rPr>
      </w:pPr>
      <w:r>
        <w:rPr>
          <w:rFonts w:hint="eastAsia"/>
          <w:sz w:val="24"/>
          <w:szCs w:val="24"/>
        </w:rPr>
        <w:t>注册地址：浙江省杭州市上城区横店大厦</w:t>
      </w:r>
      <w:r>
        <w:rPr>
          <w:rFonts w:hint="eastAsia"/>
          <w:sz w:val="24"/>
          <w:szCs w:val="24"/>
        </w:rPr>
        <w:t>301</w:t>
      </w:r>
      <w:r>
        <w:rPr>
          <w:rFonts w:hint="eastAsia"/>
          <w:sz w:val="24"/>
          <w:szCs w:val="24"/>
        </w:rPr>
        <w:t>室、</w:t>
      </w:r>
      <w:r>
        <w:rPr>
          <w:rFonts w:hint="eastAsia"/>
          <w:sz w:val="24"/>
          <w:szCs w:val="24"/>
        </w:rPr>
        <w:t>401</w:t>
      </w:r>
      <w:r>
        <w:rPr>
          <w:rFonts w:hint="eastAsia"/>
          <w:sz w:val="24"/>
          <w:szCs w:val="24"/>
        </w:rPr>
        <w:t>室、</w:t>
      </w:r>
      <w:r>
        <w:rPr>
          <w:rFonts w:hint="eastAsia"/>
          <w:sz w:val="24"/>
          <w:szCs w:val="24"/>
        </w:rPr>
        <w:t>501</w:t>
      </w:r>
      <w:r>
        <w:rPr>
          <w:rFonts w:hint="eastAsia"/>
          <w:sz w:val="24"/>
          <w:szCs w:val="24"/>
        </w:rPr>
        <w:t>室、</w:t>
      </w:r>
      <w:r>
        <w:rPr>
          <w:rFonts w:hint="eastAsia"/>
          <w:sz w:val="24"/>
          <w:szCs w:val="24"/>
        </w:rPr>
        <w:t>701</w:t>
      </w:r>
      <w:r>
        <w:rPr>
          <w:rFonts w:hint="eastAsia"/>
          <w:sz w:val="24"/>
          <w:szCs w:val="24"/>
        </w:rPr>
        <w:t>室、</w:t>
      </w:r>
      <w:r>
        <w:rPr>
          <w:rFonts w:hint="eastAsia"/>
          <w:sz w:val="24"/>
          <w:szCs w:val="24"/>
        </w:rPr>
        <w:t>901</w:t>
      </w:r>
      <w:r>
        <w:rPr>
          <w:rFonts w:hint="eastAsia"/>
          <w:sz w:val="24"/>
          <w:szCs w:val="24"/>
        </w:rPr>
        <w:t>室、</w:t>
      </w:r>
      <w:r>
        <w:rPr>
          <w:rFonts w:hint="eastAsia"/>
          <w:sz w:val="24"/>
          <w:szCs w:val="24"/>
        </w:rPr>
        <w:t>1001</w:t>
      </w:r>
      <w:r>
        <w:rPr>
          <w:rFonts w:hint="eastAsia"/>
          <w:sz w:val="24"/>
          <w:szCs w:val="24"/>
        </w:rPr>
        <w:t>室、</w:t>
      </w:r>
      <w:r>
        <w:rPr>
          <w:rFonts w:hint="eastAsia"/>
          <w:sz w:val="24"/>
          <w:szCs w:val="24"/>
        </w:rPr>
        <w:t>1101</w:t>
      </w:r>
      <w:r>
        <w:rPr>
          <w:rFonts w:hint="eastAsia"/>
          <w:sz w:val="24"/>
          <w:szCs w:val="24"/>
        </w:rPr>
        <w:t>室、</w:t>
      </w:r>
      <w:r>
        <w:rPr>
          <w:rFonts w:hint="eastAsia"/>
          <w:sz w:val="24"/>
          <w:szCs w:val="24"/>
        </w:rPr>
        <w:t>1201</w:t>
      </w:r>
      <w:r>
        <w:rPr>
          <w:rFonts w:hint="eastAsia"/>
          <w:sz w:val="24"/>
          <w:szCs w:val="24"/>
        </w:rPr>
        <w:t>室</w:t>
      </w:r>
    </w:p>
    <w:p w:rsidR="00E47CCE" w:rsidRDefault="00AF5AAE">
      <w:pPr>
        <w:adjustRightInd w:val="0"/>
        <w:snapToGrid w:val="0"/>
        <w:spacing w:line="288" w:lineRule="auto"/>
        <w:rPr>
          <w:sz w:val="24"/>
          <w:szCs w:val="24"/>
        </w:rPr>
      </w:pPr>
      <w:r>
        <w:rPr>
          <w:rFonts w:hint="eastAsia"/>
          <w:sz w:val="24"/>
          <w:szCs w:val="24"/>
        </w:rPr>
        <w:t>办公地址：浙江省杭州市上城区横店大厦</w:t>
      </w:r>
      <w:r>
        <w:rPr>
          <w:rFonts w:hint="eastAsia"/>
          <w:sz w:val="24"/>
          <w:szCs w:val="24"/>
        </w:rPr>
        <w:t>301</w:t>
      </w:r>
      <w:r>
        <w:rPr>
          <w:rFonts w:hint="eastAsia"/>
          <w:sz w:val="24"/>
          <w:szCs w:val="24"/>
        </w:rPr>
        <w:t>室、</w:t>
      </w:r>
      <w:r>
        <w:rPr>
          <w:rFonts w:hint="eastAsia"/>
          <w:sz w:val="24"/>
          <w:szCs w:val="24"/>
        </w:rPr>
        <w:t>401</w:t>
      </w:r>
      <w:r>
        <w:rPr>
          <w:rFonts w:hint="eastAsia"/>
          <w:sz w:val="24"/>
          <w:szCs w:val="24"/>
        </w:rPr>
        <w:t>室、</w:t>
      </w:r>
      <w:r>
        <w:rPr>
          <w:rFonts w:hint="eastAsia"/>
          <w:sz w:val="24"/>
          <w:szCs w:val="24"/>
        </w:rPr>
        <w:t>501</w:t>
      </w:r>
      <w:r>
        <w:rPr>
          <w:rFonts w:hint="eastAsia"/>
          <w:sz w:val="24"/>
          <w:szCs w:val="24"/>
        </w:rPr>
        <w:t>室、</w:t>
      </w:r>
      <w:r>
        <w:rPr>
          <w:rFonts w:hint="eastAsia"/>
          <w:sz w:val="24"/>
          <w:szCs w:val="24"/>
        </w:rPr>
        <w:t>701</w:t>
      </w:r>
      <w:r>
        <w:rPr>
          <w:rFonts w:hint="eastAsia"/>
          <w:sz w:val="24"/>
          <w:szCs w:val="24"/>
        </w:rPr>
        <w:t>室、</w:t>
      </w:r>
      <w:r>
        <w:rPr>
          <w:rFonts w:hint="eastAsia"/>
          <w:sz w:val="24"/>
          <w:szCs w:val="24"/>
        </w:rPr>
        <w:t>901</w:t>
      </w:r>
      <w:r>
        <w:rPr>
          <w:rFonts w:hint="eastAsia"/>
          <w:sz w:val="24"/>
          <w:szCs w:val="24"/>
        </w:rPr>
        <w:t>室、</w:t>
      </w:r>
      <w:r>
        <w:rPr>
          <w:rFonts w:hint="eastAsia"/>
          <w:sz w:val="24"/>
          <w:szCs w:val="24"/>
        </w:rPr>
        <w:t>1001</w:t>
      </w:r>
      <w:r>
        <w:rPr>
          <w:rFonts w:hint="eastAsia"/>
          <w:sz w:val="24"/>
          <w:szCs w:val="24"/>
        </w:rPr>
        <w:t>室、</w:t>
      </w:r>
      <w:r>
        <w:rPr>
          <w:rFonts w:hint="eastAsia"/>
          <w:sz w:val="24"/>
          <w:szCs w:val="24"/>
        </w:rPr>
        <w:t>1101</w:t>
      </w:r>
      <w:r>
        <w:rPr>
          <w:rFonts w:hint="eastAsia"/>
          <w:sz w:val="24"/>
          <w:szCs w:val="24"/>
        </w:rPr>
        <w:t>室、</w:t>
      </w:r>
      <w:r>
        <w:rPr>
          <w:rFonts w:hint="eastAsia"/>
          <w:sz w:val="24"/>
          <w:szCs w:val="24"/>
        </w:rPr>
        <w:t>1201</w:t>
      </w:r>
      <w:r>
        <w:rPr>
          <w:rFonts w:hint="eastAsia"/>
          <w:sz w:val="24"/>
          <w:szCs w:val="24"/>
        </w:rPr>
        <w:t>室</w:t>
      </w:r>
    </w:p>
    <w:p w:rsidR="00E47CCE" w:rsidRDefault="00AF5AAE">
      <w:pPr>
        <w:adjustRightInd w:val="0"/>
        <w:snapToGrid w:val="0"/>
        <w:spacing w:line="288" w:lineRule="auto"/>
        <w:rPr>
          <w:sz w:val="24"/>
          <w:szCs w:val="24"/>
        </w:rPr>
      </w:pPr>
      <w:r>
        <w:rPr>
          <w:rFonts w:hint="eastAsia"/>
          <w:sz w:val="24"/>
          <w:szCs w:val="24"/>
        </w:rPr>
        <w:t>法定代表人：罗旭峰</w:t>
      </w:r>
    </w:p>
    <w:p w:rsidR="00E47CCE" w:rsidRDefault="00AF5AAE">
      <w:pPr>
        <w:adjustRightInd w:val="0"/>
        <w:snapToGrid w:val="0"/>
        <w:spacing w:line="288" w:lineRule="auto"/>
        <w:rPr>
          <w:sz w:val="24"/>
          <w:szCs w:val="24"/>
        </w:rPr>
      </w:pPr>
      <w:r>
        <w:rPr>
          <w:rFonts w:hint="eastAsia"/>
          <w:sz w:val="24"/>
          <w:szCs w:val="24"/>
        </w:rPr>
        <w:t>联系人：顾帅</w:t>
      </w:r>
    </w:p>
    <w:p w:rsidR="00E47CCE" w:rsidRDefault="00AF5AAE">
      <w:pPr>
        <w:adjustRightInd w:val="0"/>
        <w:snapToGrid w:val="0"/>
        <w:spacing w:line="288" w:lineRule="auto"/>
        <w:rPr>
          <w:sz w:val="24"/>
          <w:szCs w:val="24"/>
        </w:rPr>
      </w:pPr>
      <w:r>
        <w:rPr>
          <w:rFonts w:hint="eastAsia"/>
          <w:sz w:val="24"/>
          <w:szCs w:val="24"/>
        </w:rPr>
        <w:t>电话：</w:t>
      </w:r>
      <w:r>
        <w:rPr>
          <w:sz w:val="24"/>
          <w:szCs w:val="24"/>
        </w:rPr>
        <w:t>0571-89727560</w:t>
      </w:r>
    </w:p>
    <w:p w:rsidR="00E47CCE" w:rsidRDefault="00AF5AAE">
      <w:pPr>
        <w:adjustRightInd w:val="0"/>
        <w:snapToGrid w:val="0"/>
        <w:spacing w:line="288" w:lineRule="auto"/>
        <w:rPr>
          <w:sz w:val="24"/>
          <w:szCs w:val="24"/>
        </w:rPr>
      </w:pPr>
      <w:r>
        <w:rPr>
          <w:rFonts w:hint="eastAsia"/>
          <w:sz w:val="24"/>
          <w:szCs w:val="24"/>
        </w:rPr>
        <w:t>客户服务电话：</w:t>
      </w:r>
      <w:r>
        <w:rPr>
          <w:sz w:val="24"/>
          <w:szCs w:val="24"/>
        </w:rPr>
        <w:t>400-8888-910</w:t>
      </w:r>
    </w:p>
    <w:p w:rsidR="00E47CCE" w:rsidRDefault="00AF5AAE">
      <w:pPr>
        <w:adjustRightInd w:val="0"/>
        <w:snapToGrid w:val="0"/>
        <w:spacing w:line="288" w:lineRule="auto"/>
        <w:rPr>
          <w:sz w:val="24"/>
          <w:szCs w:val="24"/>
        </w:rPr>
      </w:pPr>
      <w:r>
        <w:rPr>
          <w:rFonts w:hint="eastAsia"/>
          <w:sz w:val="24"/>
          <w:szCs w:val="24"/>
        </w:rPr>
        <w:t>网址：</w:t>
      </w:r>
      <w:r>
        <w:rPr>
          <w:sz w:val="24"/>
          <w:szCs w:val="24"/>
        </w:rPr>
        <w:t xml:space="preserve"> </w:t>
      </w:r>
      <w:hyperlink r:id="rId4" w:history="1">
        <w:r>
          <w:rPr>
            <w:sz w:val="24"/>
            <w:szCs w:val="24"/>
          </w:rPr>
          <w:t>www.nanhua.net</w:t>
        </w:r>
      </w:hyperlink>
    </w:p>
    <w:p w:rsidR="00E47CCE" w:rsidRDefault="00E47CCE">
      <w:pPr>
        <w:adjustRightInd w:val="0"/>
        <w:snapToGrid w:val="0"/>
        <w:spacing w:line="288" w:lineRule="auto"/>
        <w:rPr>
          <w:sz w:val="24"/>
          <w:szCs w:val="24"/>
        </w:rPr>
      </w:pPr>
    </w:p>
    <w:p w:rsidR="00E47CCE" w:rsidRDefault="00AF5AAE" w:rsidP="00AF5AAE">
      <w:pPr>
        <w:adjustRightInd w:val="0"/>
        <w:snapToGrid w:val="0"/>
        <w:spacing w:afterLines="50" w:line="288" w:lineRule="auto"/>
        <w:rPr>
          <w:sz w:val="24"/>
          <w:szCs w:val="24"/>
        </w:rPr>
      </w:pPr>
      <w:r>
        <w:rPr>
          <w:sz w:val="24"/>
          <w:szCs w:val="24"/>
        </w:rPr>
        <w:t>6</w:t>
      </w:r>
      <w:r>
        <w:rPr>
          <w:rFonts w:hint="eastAsia"/>
          <w:sz w:val="24"/>
          <w:szCs w:val="24"/>
        </w:rPr>
        <w:t>.</w:t>
      </w:r>
      <w:r>
        <w:rPr>
          <w:sz w:val="24"/>
          <w:szCs w:val="24"/>
        </w:rPr>
        <w:t>基金份额净值公告</w:t>
      </w:r>
      <w:r>
        <w:rPr>
          <w:rFonts w:hint="eastAsia"/>
          <w:sz w:val="24"/>
          <w:szCs w:val="24"/>
        </w:rPr>
        <w:t>/</w:t>
      </w:r>
      <w:r>
        <w:rPr>
          <w:rFonts w:hint="eastAsia"/>
          <w:sz w:val="24"/>
          <w:szCs w:val="24"/>
        </w:rPr>
        <w:t>基金收益公告的</w:t>
      </w:r>
      <w:r>
        <w:rPr>
          <w:sz w:val="24"/>
          <w:szCs w:val="24"/>
        </w:rPr>
        <w:t>披露安排</w:t>
      </w:r>
    </w:p>
    <w:p w:rsidR="00E47CCE" w:rsidRDefault="00AF5AAE" w:rsidP="00AF5AAE">
      <w:pPr>
        <w:adjustRightInd w:val="0"/>
        <w:snapToGrid w:val="0"/>
        <w:spacing w:beforeLines="50" w:line="288" w:lineRule="auto"/>
        <w:ind w:firstLineChars="200" w:firstLine="480"/>
        <w:rPr>
          <w:sz w:val="24"/>
          <w:szCs w:val="24"/>
        </w:rPr>
        <w:pPrChange w:id="18" w:author="ZHONGM" w:date="2025-10-17T00:00:00Z">
          <w:pPr>
            <w:adjustRightInd w:val="0"/>
            <w:snapToGrid w:val="0"/>
            <w:spacing w:beforeLines="50" w:line="288" w:lineRule="auto"/>
            <w:ind w:firstLineChars="200" w:firstLine="480"/>
          </w:pPr>
        </w:pPrChange>
      </w:pPr>
      <w:r>
        <w:rPr>
          <w:rFonts w:hint="eastAsia"/>
          <w:sz w:val="24"/>
          <w:szCs w:val="24"/>
        </w:rPr>
        <w:t>《基金合同》生效后，在本基金的封闭期内，基金管理人应当至少每周在规</w:t>
      </w:r>
      <w:r>
        <w:rPr>
          <w:rFonts w:hint="eastAsia"/>
          <w:sz w:val="24"/>
          <w:szCs w:val="24"/>
        </w:rPr>
        <w:lastRenderedPageBreak/>
        <w:t>定网站披露一次基金份额净值和基金份额累计净值。</w:t>
      </w:r>
    </w:p>
    <w:p w:rsidR="00E47CCE" w:rsidRDefault="00AF5AAE" w:rsidP="00AF5AAE">
      <w:pPr>
        <w:adjustRightInd w:val="0"/>
        <w:snapToGrid w:val="0"/>
        <w:spacing w:beforeLines="50" w:line="288" w:lineRule="auto"/>
        <w:ind w:firstLineChars="200" w:firstLine="480"/>
        <w:rPr>
          <w:sz w:val="24"/>
          <w:szCs w:val="24"/>
        </w:rPr>
        <w:pPrChange w:id="19" w:author="ZHONGM" w:date="2025-10-17T00:00:00Z">
          <w:pPr>
            <w:adjustRightInd w:val="0"/>
            <w:snapToGrid w:val="0"/>
            <w:spacing w:beforeLines="50" w:line="288" w:lineRule="auto"/>
            <w:ind w:firstLineChars="200" w:firstLine="480"/>
          </w:pPr>
        </w:pPrChange>
      </w:pPr>
      <w:r>
        <w:rPr>
          <w:rFonts w:hint="eastAsia"/>
          <w:sz w:val="24"/>
          <w:szCs w:val="24"/>
        </w:rPr>
        <w:t>在本基金的开放期内，基金管理人应当在不晚于每个开放日的次日，通过规定网站、基金销售机构网站或者营业网点披露开放日的基金份额净值和基金份额累计净值。</w:t>
      </w:r>
    </w:p>
    <w:p w:rsidR="00E47CCE" w:rsidRDefault="00AF5AAE" w:rsidP="00AF5AAE">
      <w:pPr>
        <w:adjustRightInd w:val="0"/>
        <w:snapToGrid w:val="0"/>
        <w:spacing w:beforeLines="50" w:line="288" w:lineRule="auto"/>
        <w:ind w:firstLineChars="200" w:firstLine="480"/>
        <w:rPr>
          <w:sz w:val="24"/>
          <w:szCs w:val="24"/>
        </w:rPr>
        <w:pPrChange w:id="20" w:author="ZHONGM" w:date="2025-10-17T00:00:00Z">
          <w:pPr>
            <w:adjustRightInd w:val="0"/>
            <w:snapToGrid w:val="0"/>
            <w:spacing w:beforeLines="50" w:line="288" w:lineRule="auto"/>
            <w:ind w:firstLineChars="200" w:firstLine="480"/>
          </w:pPr>
        </w:pPrChange>
      </w:pPr>
      <w:r>
        <w:rPr>
          <w:rFonts w:hint="eastAsia"/>
          <w:sz w:val="24"/>
          <w:szCs w:val="24"/>
        </w:rPr>
        <w:t>基金管理人应当在不晚于半年度和年度最后一日的次日，在规定网站披露半年度和年度最后一日的基金份额净值和基金份额累计净值。</w:t>
      </w:r>
    </w:p>
    <w:p w:rsidR="00E47CCE" w:rsidRDefault="00E47CCE">
      <w:pPr>
        <w:adjustRightInd w:val="0"/>
        <w:snapToGrid w:val="0"/>
        <w:spacing w:line="288" w:lineRule="auto"/>
        <w:rPr>
          <w:sz w:val="24"/>
          <w:szCs w:val="24"/>
        </w:rPr>
      </w:pPr>
    </w:p>
    <w:p w:rsidR="00E47CCE" w:rsidRDefault="00AF5AAE" w:rsidP="00AF5AAE">
      <w:pPr>
        <w:adjustRightInd w:val="0"/>
        <w:snapToGrid w:val="0"/>
        <w:spacing w:afterLines="50" w:line="288" w:lineRule="auto"/>
        <w:rPr>
          <w:sz w:val="24"/>
          <w:szCs w:val="24"/>
        </w:rPr>
        <w:pPrChange w:id="21" w:author="ZHONGM" w:date="2025-10-17T00:00:00Z">
          <w:pPr>
            <w:adjustRightInd w:val="0"/>
            <w:snapToGrid w:val="0"/>
            <w:spacing w:afterLines="50" w:line="288" w:lineRule="auto"/>
          </w:pPr>
        </w:pPrChange>
      </w:pPr>
      <w:r>
        <w:rPr>
          <w:rFonts w:hint="eastAsia"/>
          <w:sz w:val="24"/>
          <w:szCs w:val="24"/>
        </w:rPr>
        <w:t>7.</w:t>
      </w:r>
      <w:r>
        <w:rPr>
          <w:sz w:val="24"/>
          <w:szCs w:val="24"/>
        </w:rPr>
        <w:t>其他需要提示的事项</w:t>
      </w:r>
    </w:p>
    <w:p w:rsidR="00E47CCE" w:rsidRDefault="00AF5AAE" w:rsidP="00AF5AAE">
      <w:pPr>
        <w:adjustRightInd w:val="0"/>
        <w:snapToGrid w:val="0"/>
        <w:spacing w:beforeLines="50" w:line="288" w:lineRule="auto"/>
        <w:ind w:firstLineChars="200" w:firstLine="480"/>
        <w:rPr>
          <w:sz w:val="24"/>
          <w:szCs w:val="24"/>
        </w:rPr>
        <w:pPrChange w:id="22"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1</w:t>
      </w:r>
      <w:r>
        <w:rPr>
          <w:rFonts w:hint="eastAsia"/>
          <w:sz w:val="24"/>
          <w:szCs w:val="24"/>
        </w:rPr>
        <w:t>）</w:t>
      </w:r>
      <w:r>
        <w:rPr>
          <w:sz w:val="24"/>
          <w:szCs w:val="24"/>
        </w:rPr>
        <w:t>本基金</w:t>
      </w:r>
      <w:r>
        <w:rPr>
          <w:rFonts w:hint="eastAsia"/>
          <w:sz w:val="24"/>
          <w:szCs w:val="24"/>
        </w:rPr>
        <w:t>单一投资者</w:t>
      </w:r>
      <w:r>
        <w:rPr>
          <w:sz w:val="24"/>
          <w:szCs w:val="24"/>
        </w:rPr>
        <w:t>持有的基金份额或者构成</w:t>
      </w:r>
      <w:r>
        <w:rPr>
          <w:rFonts w:hint="eastAsia"/>
          <w:sz w:val="24"/>
          <w:szCs w:val="24"/>
        </w:rPr>
        <w:t>一致</w:t>
      </w:r>
      <w:r>
        <w:rPr>
          <w:sz w:val="24"/>
          <w:szCs w:val="24"/>
        </w:rPr>
        <w:t>行动人的多个投资者持有的基金份额可</w:t>
      </w:r>
      <w:r>
        <w:rPr>
          <w:rFonts w:hint="eastAsia"/>
          <w:sz w:val="24"/>
          <w:szCs w:val="24"/>
        </w:rPr>
        <w:t>达到</w:t>
      </w:r>
      <w:r>
        <w:rPr>
          <w:sz w:val="24"/>
          <w:szCs w:val="24"/>
        </w:rPr>
        <w:t>或者超过</w:t>
      </w:r>
      <w:r>
        <w:rPr>
          <w:rFonts w:hint="eastAsia"/>
          <w:sz w:val="24"/>
          <w:szCs w:val="24"/>
        </w:rPr>
        <w:t>50</w:t>
      </w:r>
      <w:r>
        <w:rPr>
          <w:sz w:val="24"/>
          <w:szCs w:val="24"/>
        </w:rPr>
        <w:t>%</w:t>
      </w:r>
      <w:r>
        <w:rPr>
          <w:rFonts w:hint="eastAsia"/>
          <w:sz w:val="24"/>
          <w:szCs w:val="24"/>
        </w:rPr>
        <w:t>。</w:t>
      </w:r>
      <w:r>
        <w:rPr>
          <w:sz w:val="24"/>
          <w:szCs w:val="24"/>
        </w:rPr>
        <w:t>本基金不向个人投资者公开销售。</w:t>
      </w:r>
    </w:p>
    <w:p w:rsidR="00E47CCE" w:rsidRDefault="00AF5AAE" w:rsidP="00AF5AAE">
      <w:pPr>
        <w:adjustRightInd w:val="0"/>
        <w:snapToGrid w:val="0"/>
        <w:spacing w:beforeLines="50" w:line="288" w:lineRule="auto"/>
        <w:ind w:firstLineChars="200" w:firstLine="480"/>
        <w:rPr>
          <w:sz w:val="24"/>
          <w:szCs w:val="24"/>
        </w:rPr>
        <w:pPrChange w:id="23"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2</w:t>
      </w:r>
      <w:r>
        <w:rPr>
          <w:rFonts w:hint="eastAsia"/>
          <w:sz w:val="24"/>
          <w:szCs w:val="24"/>
        </w:rPr>
        <w:t>）本基金的封闭期为自基金合同生效之日起（包括基金合同生效之日）或自每一开放期结束之日次日起（包括该日）至该封闭期首日的</w:t>
      </w:r>
      <w:r>
        <w:rPr>
          <w:rFonts w:hint="eastAsia"/>
          <w:sz w:val="24"/>
          <w:szCs w:val="24"/>
        </w:rPr>
        <w:t>3</w:t>
      </w:r>
      <w:r>
        <w:rPr>
          <w:rFonts w:hint="eastAsia"/>
          <w:sz w:val="24"/>
          <w:szCs w:val="24"/>
        </w:rPr>
        <w:t>个月对日的前一日止，如该对日为非工作日或没有对应的日历日期，则封闭期至该对日的下一个工作日的前一日止。本基金</w:t>
      </w:r>
      <w:r>
        <w:rPr>
          <w:rFonts w:hint="eastAsia"/>
          <w:sz w:val="24"/>
          <w:szCs w:val="24"/>
        </w:rPr>
        <w:t>的首个封闭期为自基金合同生效之日起（包括基金合同生效之日）至基金合同生效日的</w:t>
      </w:r>
      <w:r>
        <w:rPr>
          <w:rFonts w:hint="eastAsia"/>
          <w:sz w:val="24"/>
          <w:szCs w:val="24"/>
        </w:rPr>
        <w:t>3</w:t>
      </w:r>
      <w:r>
        <w:rPr>
          <w:rFonts w:hint="eastAsia"/>
          <w:sz w:val="24"/>
          <w:szCs w:val="24"/>
        </w:rPr>
        <w:t>个月对日的前一日止。首个封闭期结束之后第一个工作日起（包括该日）进入首个开放期，第二个封闭期为首个开放期结束之日次日起（包括该日）至该封闭期首日的</w:t>
      </w:r>
      <w:r>
        <w:rPr>
          <w:rFonts w:hint="eastAsia"/>
          <w:sz w:val="24"/>
          <w:szCs w:val="24"/>
        </w:rPr>
        <w:t>3</w:t>
      </w:r>
      <w:r>
        <w:rPr>
          <w:rFonts w:hint="eastAsia"/>
          <w:sz w:val="24"/>
          <w:szCs w:val="24"/>
        </w:rPr>
        <w:t>个月对日的前一日止，以此类推。本基金封闭期内不办理申购与赎回业务。</w:t>
      </w:r>
    </w:p>
    <w:p w:rsidR="00E47CCE" w:rsidRDefault="00AF5AAE" w:rsidP="00AF5AAE">
      <w:pPr>
        <w:adjustRightInd w:val="0"/>
        <w:snapToGrid w:val="0"/>
        <w:spacing w:beforeLines="50" w:line="288" w:lineRule="auto"/>
        <w:ind w:firstLineChars="200" w:firstLine="480"/>
        <w:rPr>
          <w:sz w:val="24"/>
          <w:szCs w:val="24"/>
        </w:rPr>
        <w:pPrChange w:id="24" w:author="ZHONGM" w:date="2025-10-17T00:00:00Z">
          <w:pPr>
            <w:adjustRightInd w:val="0"/>
            <w:snapToGrid w:val="0"/>
            <w:spacing w:beforeLines="50" w:line="288" w:lineRule="auto"/>
            <w:ind w:firstLineChars="200" w:firstLine="480"/>
          </w:pPr>
        </w:pPrChange>
      </w:pPr>
      <w:r>
        <w:rPr>
          <w:rFonts w:hint="eastAsia"/>
          <w:sz w:val="24"/>
          <w:szCs w:val="24"/>
        </w:rPr>
        <w:t>本基金自每个封闭期结束之后第一个工作日起进入开放期，期间可以办理申购与赎回业务。本基金每个开放期不少于</w:t>
      </w:r>
      <w:r>
        <w:rPr>
          <w:rFonts w:hint="eastAsia"/>
          <w:sz w:val="24"/>
          <w:szCs w:val="24"/>
        </w:rPr>
        <w:t>5</w:t>
      </w:r>
      <w:r>
        <w:rPr>
          <w:rFonts w:hint="eastAsia"/>
          <w:sz w:val="24"/>
          <w:szCs w:val="24"/>
        </w:rPr>
        <w:t>个工作日且最长不超过</w:t>
      </w:r>
      <w:r>
        <w:rPr>
          <w:rFonts w:hint="eastAsia"/>
          <w:sz w:val="24"/>
          <w:szCs w:val="24"/>
        </w:rPr>
        <w:t>20</w:t>
      </w:r>
      <w:r>
        <w:rPr>
          <w:rFonts w:hint="eastAsia"/>
          <w:sz w:val="24"/>
          <w:szCs w:val="24"/>
        </w:rPr>
        <w:t>个工作日，开放期的具体时间以基金管理人届时公告为准，且基金管理人最迟应于开放期前</w:t>
      </w:r>
      <w:r>
        <w:rPr>
          <w:rFonts w:hint="eastAsia"/>
          <w:sz w:val="24"/>
          <w:szCs w:val="24"/>
        </w:rPr>
        <w:t>2</w:t>
      </w:r>
      <w:r>
        <w:rPr>
          <w:rFonts w:hint="eastAsia"/>
          <w:sz w:val="24"/>
          <w:szCs w:val="24"/>
        </w:rPr>
        <w:t>日进行公</w:t>
      </w:r>
      <w:r>
        <w:rPr>
          <w:rFonts w:hint="eastAsia"/>
          <w:sz w:val="24"/>
          <w:szCs w:val="24"/>
        </w:rPr>
        <w:t>告。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E47CCE" w:rsidRDefault="00AF5AAE" w:rsidP="00AF5AAE">
      <w:pPr>
        <w:adjustRightInd w:val="0"/>
        <w:snapToGrid w:val="0"/>
        <w:spacing w:beforeLines="50" w:line="288" w:lineRule="auto"/>
        <w:ind w:firstLineChars="200" w:firstLine="480"/>
        <w:rPr>
          <w:sz w:val="24"/>
          <w:szCs w:val="24"/>
        </w:rPr>
        <w:pPrChange w:id="25" w:author="ZHONGM" w:date="2025-10-17T00:00:00Z">
          <w:pPr>
            <w:adjustRightInd w:val="0"/>
            <w:snapToGrid w:val="0"/>
            <w:spacing w:beforeLines="50" w:line="288" w:lineRule="auto"/>
            <w:ind w:firstLineChars="200" w:firstLine="480"/>
          </w:pPr>
        </w:pPrChange>
      </w:pPr>
      <w:r>
        <w:rPr>
          <w:rFonts w:hint="eastAsia"/>
          <w:sz w:val="24"/>
          <w:szCs w:val="24"/>
        </w:rPr>
        <w:t>（</w:t>
      </w:r>
      <w:r>
        <w:rPr>
          <w:rFonts w:hint="eastAsia"/>
          <w:sz w:val="24"/>
          <w:szCs w:val="24"/>
        </w:rPr>
        <w:t>3</w:t>
      </w:r>
      <w:r>
        <w:rPr>
          <w:rFonts w:hint="eastAsia"/>
          <w:sz w:val="24"/>
          <w:szCs w:val="24"/>
        </w:rPr>
        <w:t>）</w:t>
      </w:r>
      <w:r>
        <w:rPr>
          <w:sz w:val="24"/>
          <w:szCs w:val="24"/>
        </w:rPr>
        <w:t>本公告仅对本基金开放申购、赎回有关事项予以说明。投资者</w:t>
      </w:r>
      <w:r>
        <w:rPr>
          <w:rFonts w:hint="eastAsia"/>
          <w:sz w:val="24"/>
          <w:szCs w:val="24"/>
        </w:rPr>
        <w:t>欲</w:t>
      </w:r>
      <w:r>
        <w:rPr>
          <w:sz w:val="24"/>
          <w:szCs w:val="24"/>
        </w:rPr>
        <w:t>了解本基金的详细情况，请阅读</w:t>
      </w:r>
      <w:r>
        <w:rPr>
          <w:rFonts w:hint="eastAsia"/>
          <w:sz w:val="24"/>
          <w:szCs w:val="24"/>
        </w:rPr>
        <w:t>《南华瑞元定期开放债券型发起式</w:t>
      </w:r>
      <w:r>
        <w:rPr>
          <w:sz w:val="24"/>
          <w:szCs w:val="24"/>
        </w:rPr>
        <w:t>证券投资基金</w:t>
      </w:r>
      <w:r>
        <w:rPr>
          <w:rFonts w:hint="eastAsia"/>
          <w:sz w:val="24"/>
          <w:szCs w:val="24"/>
        </w:rPr>
        <w:t>基金合同》、《南华瑞元定期开放债券型发起式</w:t>
      </w:r>
      <w:r>
        <w:rPr>
          <w:sz w:val="24"/>
          <w:szCs w:val="24"/>
        </w:rPr>
        <w:t>证券投资基金</w:t>
      </w:r>
      <w:r>
        <w:rPr>
          <w:rFonts w:hint="eastAsia"/>
          <w:sz w:val="24"/>
          <w:szCs w:val="24"/>
        </w:rPr>
        <w:t>招募说明书》</w:t>
      </w:r>
      <w:r>
        <w:rPr>
          <w:sz w:val="24"/>
          <w:szCs w:val="24"/>
        </w:rPr>
        <w:t>等相关资料。</w:t>
      </w:r>
      <w:r>
        <w:rPr>
          <w:rFonts w:hint="eastAsia"/>
          <w:sz w:val="24"/>
          <w:szCs w:val="24"/>
        </w:rPr>
        <w:t>投资者可登录本公司网站</w:t>
      </w:r>
      <w:r>
        <w:rPr>
          <w:rFonts w:hint="eastAsia"/>
          <w:sz w:val="24"/>
          <w:szCs w:val="24"/>
        </w:rPr>
        <w:t>www.nanhuafunds.com</w:t>
      </w:r>
      <w:r>
        <w:rPr>
          <w:rFonts w:hint="eastAsia"/>
          <w:sz w:val="24"/>
          <w:szCs w:val="24"/>
        </w:rPr>
        <w:t>或拨打客户服务电话</w:t>
      </w:r>
      <w:r>
        <w:rPr>
          <w:rFonts w:hint="eastAsia"/>
          <w:sz w:val="24"/>
          <w:szCs w:val="24"/>
        </w:rPr>
        <w:t>400-810-55</w:t>
      </w:r>
      <w:r>
        <w:rPr>
          <w:rFonts w:hint="eastAsia"/>
          <w:sz w:val="24"/>
          <w:szCs w:val="24"/>
        </w:rPr>
        <w:t>99</w:t>
      </w:r>
      <w:r>
        <w:rPr>
          <w:rFonts w:hint="eastAsia"/>
          <w:sz w:val="24"/>
          <w:szCs w:val="24"/>
        </w:rPr>
        <w:t>了解基金相关</w:t>
      </w:r>
      <w:r>
        <w:rPr>
          <w:sz w:val="24"/>
          <w:szCs w:val="24"/>
        </w:rPr>
        <w:t>事宜</w:t>
      </w:r>
      <w:r>
        <w:rPr>
          <w:rFonts w:hint="eastAsia"/>
          <w:sz w:val="24"/>
          <w:szCs w:val="24"/>
        </w:rPr>
        <w:t>。</w:t>
      </w:r>
    </w:p>
    <w:p w:rsidR="00E47CCE" w:rsidRDefault="00AF5AAE" w:rsidP="00AF5AAE">
      <w:pPr>
        <w:adjustRightInd w:val="0"/>
        <w:snapToGrid w:val="0"/>
        <w:spacing w:beforeLines="50" w:line="288" w:lineRule="auto"/>
        <w:ind w:firstLineChars="200" w:firstLine="480"/>
        <w:rPr>
          <w:sz w:val="24"/>
          <w:szCs w:val="24"/>
        </w:rPr>
        <w:pPrChange w:id="26" w:author="ZHONGM" w:date="2025-10-17T00:00:00Z">
          <w:pPr>
            <w:adjustRightInd w:val="0"/>
            <w:snapToGrid w:val="0"/>
            <w:spacing w:beforeLines="50" w:line="288" w:lineRule="auto"/>
            <w:ind w:firstLineChars="200" w:firstLine="480"/>
          </w:pPr>
        </w:pPrChange>
      </w:pPr>
      <w:r>
        <w:rPr>
          <w:sz w:val="24"/>
          <w:szCs w:val="24"/>
        </w:rPr>
        <w:t>风险提示</w:t>
      </w:r>
      <w:r>
        <w:rPr>
          <w:rFonts w:hint="eastAsia"/>
          <w:sz w:val="24"/>
          <w:szCs w:val="24"/>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w:t>
      </w:r>
      <w:r>
        <w:rPr>
          <w:rFonts w:hint="eastAsia"/>
          <w:sz w:val="24"/>
          <w:szCs w:val="24"/>
        </w:rPr>
        <w:t>变化引致的投资风险，由投资人自行负担。敬请投资人在购买基金前认真考虑、谨慎决策。</w:t>
      </w:r>
    </w:p>
    <w:p w:rsidR="00E47CCE" w:rsidRDefault="00E47CCE">
      <w:pPr>
        <w:adjustRightInd w:val="0"/>
        <w:snapToGrid w:val="0"/>
        <w:spacing w:line="288" w:lineRule="auto"/>
        <w:rPr>
          <w:sz w:val="24"/>
          <w:szCs w:val="24"/>
        </w:rPr>
      </w:pPr>
    </w:p>
    <w:p w:rsidR="00E47CCE" w:rsidRDefault="00AF5AAE">
      <w:pPr>
        <w:adjustRightInd w:val="0"/>
        <w:snapToGrid w:val="0"/>
        <w:spacing w:line="288" w:lineRule="auto"/>
        <w:jc w:val="right"/>
        <w:rPr>
          <w:sz w:val="24"/>
          <w:szCs w:val="24"/>
        </w:rPr>
      </w:pPr>
      <w:r>
        <w:rPr>
          <w:rFonts w:hint="eastAsia"/>
          <w:sz w:val="24"/>
          <w:szCs w:val="24"/>
        </w:rPr>
        <w:t>南华基金管理有限公司</w:t>
      </w:r>
    </w:p>
    <w:p w:rsidR="00E47CCE" w:rsidRDefault="00AF5AAE">
      <w:pPr>
        <w:adjustRightInd w:val="0"/>
        <w:snapToGrid w:val="0"/>
        <w:spacing w:line="288" w:lineRule="auto"/>
        <w:jc w:val="right"/>
        <w:rPr>
          <w:sz w:val="24"/>
          <w:szCs w:val="24"/>
        </w:rPr>
      </w:pPr>
      <w:r>
        <w:rPr>
          <w:rFonts w:hint="eastAsia"/>
          <w:sz w:val="24"/>
          <w:szCs w:val="24"/>
        </w:rPr>
        <w:t>20</w:t>
      </w:r>
      <w:r>
        <w:rPr>
          <w:sz w:val="24"/>
          <w:szCs w:val="24"/>
        </w:rPr>
        <w:t>2</w:t>
      </w:r>
      <w:r>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7</w:t>
      </w:r>
      <w:r>
        <w:rPr>
          <w:rFonts w:hint="eastAsia"/>
          <w:sz w:val="24"/>
          <w:szCs w:val="24"/>
        </w:rPr>
        <w:t>日</w:t>
      </w:r>
    </w:p>
    <w:sectPr w:rsidR="00E47CCE" w:rsidSect="00E47C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DU5ZDg1YTQyNDc0ZTRjZDBjYjJiM2E1ZjYxOWVhNjgifQ=="/>
  </w:docVars>
  <w:rsids>
    <w:rsidRoot w:val="00BA2192"/>
    <w:rsid w:val="00021DF0"/>
    <w:rsid w:val="00026B53"/>
    <w:rsid w:val="000377F2"/>
    <w:rsid w:val="00040758"/>
    <w:rsid w:val="000417CF"/>
    <w:rsid w:val="000641C0"/>
    <w:rsid w:val="000677D6"/>
    <w:rsid w:val="0007002A"/>
    <w:rsid w:val="00071CEE"/>
    <w:rsid w:val="00092DD6"/>
    <w:rsid w:val="000A0CF9"/>
    <w:rsid w:val="000B08F6"/>
    <w:rsid w:val="000B169A"/>
    <w:rsid w:val="000D0DD9"/>
    <w:rsid w:val="001141BA"/>
    <w:rsid w:val="001267F5"/>
    <w:rsid w:val="001344C5"/>
    <w:rsid w:val="00135DF3"/>
    <w:rsid w:val="0018687A"/>
    <w:rsid w:val="001A5456"/>
    <w:rsid w:val="001C15B8"/>
    <w:rsid w:val="001C7EA7"/>
    <w:rsid w:val="001D019B"/>
    <w:rsid w:val="001D14AC"/>
    <w:rsid w:val="001D4F3D"/>
    <w:rsid w:val="001E1FC2"/>
    <w:rsid w:val="001E6455"/>
    <w:rsid w:val="001F7FF0"/>
    <w:rsid w:val="00200A7B"/>
    <w:rsid w:val="0021354F"/>
    <w:rsid w:val="0021376A"/>
    <w:rsid w:val="00216A0A"/>
    <w:rsid w:val="00225528"/>
    <w:rsid w:val="00225B70"/>
    <w:rsid w:val="0023009B"/>
    <w:rsid w:val="002350F5"/>
    <w:rsid w:val="002473B5"/>
    <w:rsid w:val="00250EDD"/>
    <w:rsid w:val="002B04B3"/>
    <w:rsid w:val="002B1B2A"/>
    <w:rsid w:val="002D42B4"/>
    <w:rsid w:val="002E12B5"/>
    <w:rsid w:val="002F6504"/>
    <w:rsid w:val="00313A3B"/>
    <w:rsid w:val="00330E24"/>
    <w:rsid w:val="0033721F"/>
    <w:rsid w:val="0036652E"/>
    <w:rsid w:val="00366B86"/>
    <w:rsid w:val="00374F1B"/>
    <w:rsid w:val="003B00C0"/>
    <w:rsid w:val="003D0B47"/>
    <w:rsid w:val="003E5836"/>
    <w:rsid w:val="003F517B"/>
    <w:rsid w:val="00435419"/>
    <w:rsid w:val="00445D45"/>
    <w:rsid w:val="00466B97"/>
    <w:rsid w:val="00474F3F"/>
    <w:rsid w:val="00494167"/>
    <w:rsid w:val="004C06CC"/>
    <w:rsid w:val="004C1F7E"/>
    <w:rsid w:val="004D439C"/>
    <w:rsid w:val="004D4EBA"/>
    <w:rsid w:val="004E02D1"/>
    <w:rsid w:val="004E0347"/>
    <w:rsid w:val="004E4121"/>
    <w:rsid w:val="004E5652"/>
    <w:rsid w:val="004E6A82"/>
    <w:rsid w:val="004E7AEA"/>
    <w:rsid w:val="004F433A"/>
    <w:rsid w:val="00500D2F"/>
    <w:rsid w:val="00507F4B"/>
    <w:rsid w:val="00507FDA"/>
    <w:rsid w:val="005170CA"/>
    <w:rsid w:val="005249C0"/>
    <w:rsid w:val="00526F72"/>
    <w:rsid w:val="005317DF"/>
    <w:rsid w:val="00532014"/>
    <w:rsid w:val="00567D4A"/>
    <w:rsid w:val="00576816"/>
    <w:rsid w:val="00581514"/>
    <w:rsid w:val="0058653A"/>
    <w:rsid w:val="00594B2F"/>
    <w:rsid w:val="005B7D01"/>
    <w:rsid w:val="005D09BA"/>
    <w:rsid w:val="005E14E5"/>
    <w:rsid w:val="005E17BE"/>
    <w:rsid w:val="005F175F"/>
    <w:rsid w:val="0061578E"/>
    <w:rsid w:val="006172CF"/>
    <w:rsid w:val="006565A5"/>
    <w:rsid w:val="00663912"/>
    <w:rsid w:val="006828BD"/>
    <w:rsid w:val="00683FA3"/>
    <w:rsid w:val="006C7188"/>
    <w:rsid w:val="006D599B"/>
    <w:rsid w:val="006D72BD"/>
    <w:rsid w:val="006F66F7"/>
    <w:rsid w:val="00733E46"/>
    <w:rsid w:val="007501A3"/>
    <w:rsid w:val="007560BE"/>
    <w:rsid w:val="007621BD"/>
    <w:rsid w:val="00774873"/>
    <w:rsid w:val="00802D2F"/>
    <w:rsid w:val="008064BB"/>
    <w:rsid w:val="008065AB"/>
    <w:rsid w:val="008079B5"/>
    <w:rsid w:val="0083716C"/>
    <w:rsid w:val="00850CBE"/>
    <w:rsid w:val="00850D17"/>
    <w:rsid w:val="00853BE0"/>
    <w:rsid w:val="0087040E"/>
    <w:rsid w:val="00872090"/>
    <w:rsid w:val="00885CD9"/>
    <w:rsid w:val="008B25A7"/>
    <w:rsid w:val="008C3C50"/>
    <w:rsid w:val="0090502A"/>
    <w:rsid w:val="009124FE"/>
    <w:rsid w:val="009523EB"/>
    <w:rsid w:val="00983922"/>
    <w:rsid w:val="009955D3"/>
    <w:rsid w:val="009B6799"/>
    <w:rsid w:val="009C338E"/>
    <w:rsid w:val="009D31AC"/>
    <w:rsid w:val="009E51B7"/>
    <w:rsid w:val="00A076BA"/>
    <w:rsid w:val="00A30789"/>
    <w:rsid w:val="00A50A60"/>
    <w:rsid w:val="00A532CA"/>
    <w:rsid w:val="00A61461"/>
    <w:rsid w:val="00A65823"/>
    <w:rsid w:val="00A6647A"/>
    <w:rsid w:val="00A91DAB"/>
    <w:rsid w:val="00AB40EF"/>
    <w:rsid w:val="00AC1A4A"/>
    <w:rsid w:val="00AD1BD4"/>
    <w:rsid w:val="00AD6FAD"/>
    <w:rsid w:val="00AE3864"/>
    <w:rsid w:val="00AF5AAE"/>
    <w:rsid w:val="00AF6565"/>
    <w:rsid w:val="00B13B67"/>
    <w:rsid w:val="00B51B1C"/>
    <w:rsid w:val="00B601C6"/>
    <w:rsid w:val="00B97E4D"/>
    <w:rsid w:val="00BA1B46"/>
    <w:rsid w:val="00BA2192"/>
    <w:rsid w:val="00BB12BC"/>
    <w:rsid w:val="00BB698B"/>
    <w:rsid w:val="00BB7437"/>
    <w:rsid w:val="00BE6A40"/>
    <w:rsid w:val="00BF2835"/>
    <w:rsid w:val="00BF5F07"/>
    <w:rsid w:val="00BF6180"/>
    <w:rsid w:val="00C05B29"/>
    <w:rsid w:val="00C17E68"/>
    <w:rsid w:val="00C336BC"/>
    <w:rsid w:val="00C5266F"/>
    <w:rsid w:val="00C53DAE"/>
    <w:rsid w:val="00C87383"/>
    <w:rsid w:val="00C94514"/>
    <w:rsid w:val="00CA0823"/>
    <w:rsid w:val="00CC136D"/>
    <w:rsid w:val="00CD58B3"/>
    <w:rsid w:val="00CD6FE3"/>
    <w:rsid w:val="00CE106E"/>
    <w:rsid w:val="00CE7CA1"/>
    <w:rsid w:val="00D1594F"/>
    <w:rsid w:val="00D17EAC"/>
    <w:rsid w:val="00D26A7F"/>
    <w:rsid w:val="00D565CC"/>
    <w:rsid w:val="00D60DDE"/>
    <w:rsid w:val="00D86862"/>
    <w:rsid w:val="00DA43D5"/>
    <w:rsid w:val="00DB172C"/>
    <w:rsid w:val="00E2112B"/>
    <w:rsid w:val="00E21E8C"/>
    <w:rsid w:val="00E43525"/>
    <w:rsid w:val="00E47CCE"/>
    <w:rsid w:val="00E54917"/>
    <w:rsid w:val="00E62D2A"/>
    <w:rsid w:val="00E9137B"/>
    <w:rsid w:val="00E92463"/>
    <w:rsid w:val="00EC435D"/>
    <w:rsid w:val="00EE63CE"/>
    <w:rsid w:val="00F057FD"/>
    <w:rsid w:val="00F17AB9"/>
    <w:rsid w:val="00F47C2C"/>
    <w:rsid w:val="00F50F5A"/>
    <w:rsid w:val="00F83A75"/>
    <w:rsid w:val="00F94D41"/>
    <w:rsid w:val="00FA0E80"/>
    <w:rsid w:val="00FA3851"/>
    <w:rsid w:val="00FB1726"/>
    <w:rsid w:val="02924A37"/>
    <w:rsid w:val="03EE0393"/>
    <w:rsid w:val="045C354F"/>
    <w:rsid w:val="14DC7147"/>
    <w:rsid w:val="14F3073E"/>
    <w:rsid w:val="15A940A1"/>
    <w:rsid w:val="1B361685"/>
    <w:rsid w:val="21DA2518"/>
    <w:rsid w:val="22121299"/>
    <w:rsid w:val="23D0267E"/>
    <w:rsid w:val="2A077209"/>
    <w:rsid w:val="464942DB"/>
    <w:rsid w:val="4A8C305D"/>
    <w:rsid w:val="4DB04409"/>
    <w:rsid w:val="613F4D7E"/>
    <w:rsid w:val="636B6003"/>
    <w:rsid w:val="66B71094"/>
    <w:rsid w:val="6A335556"/>
    <w:rsid w:val="70087AA3"/>
    <w:rsid w:val="76AC4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C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47CCE"/>
    <w:pPr>
      <w:jc w:val="left"/>
    </w:pPr>
  </w:style>
  <w:style w:type="paragraph" w:styleId="a4">
    <w:name w:val="Balloon Text"/>
    <w:basedOn w:val="a"/>
    <w:link w:val="Char0"/>
    <w:uiPriority w:val="99"/>
    <w:semiHidden/>
    <w:unhideWhenUsed/>
    <w:qFormat/>
    <w:rsid w:val="00E47CCE"/>
    <w:rPr>
      <w:sz w:val="18"/>
      <w:szCs w:val="18"/>
    </w:rPr>
  </w:style>
  <w:style w:type="paragraph" w:styleId="a5">
    <w:name w:val="footer"/>
    <w:basedOn w:val="a"/>
    <w:link w:val="Char1"/>
    <w:uiPriority w:val="99"/>
    <w:unhideWhenUsed/>
    <w:qFormat/>
    <w:rsid w:val="00E47CC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47CC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47CCE"/>
    <w:rPr>
      <w:b/>
      <w:bCs/>
    </w:rPr>
  </w:style>
  <w:style w:type="table" w:styleId="a8">
    <w:name w:val="Table Grid"/>
    <w:basedOn w:val="a1"/>
    <w:uiPriority w:val="39"/>
    <w:qFormat/>
    <w:rsid w:val="00E47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E47CCE"/>
    <w:rPr>
      <w:sz w:val="21"/>
      <w:szCs w:val="21"/>
    </w:rPr>
  </w:style>
  <w:style w:type="paragraph" w:customStyle="1" w:styleId="Default">
    <w:name w:val="Default"/>
    <w:qFormat/>
    <w:rsid w:val="00E47CCE"/>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E47CCE"/>
    <w:rPr>
      <w:sz w:val="18"/>
      <w:szCs w:val="18"/>
    </w:rPr>
  </w:style>
  <w:style w:type="character" w:customStyle="1" w:styleId="Char1">
    <w:name w:val="页脚 Char"/>
    <w:basedOn w:val="a0"/>
    <w:link w:val="a5"/>
    <w:uiPriority w:val="99"/>
    <w:qFormat/>
    <w:rsid w:val="00E47CCE"/>
    <w:rPr>
      <w:sz w:val="18"/>
      <w:szCs w:val="18"/>
    </w:rPr>
  </w:style>
  <w:style w:type="character" w:customStyle="1" w:styleId="Char0">
    <w:name w:val="批注框文本 Char"/>
    <w:basedOn w:val="a0"/>
    <w:link w:val="a4"/>
    <w:uiPriority w:val="99"/>
    <w:semiHidden/>
    <w:qFormat/>
    <w:rsid w:val="00E47CCE"/>
    <w:rPr>
      <w:sz w:val="18"/>
      <w:szCs w:val="18"/>
    </w:rPr>
  </w:style>
  <w:style w:type="character" w:customStyle="1" w:styleId="Char">
    <w:name w:val="批注文字 Char"/>
    <w:basedOn w:val="a0"/>
    <w:link w:val="a3"/>
    <w:uiPriority w:val="99"/>
    <w:semiHidden/>
    <w:qFormat/>
    <w:rsid w:val="00E47CCE"/>
  </w:style>
  <w:style w:type="character" w:customStyle="1" w:styleId="Char3">
    <w:name w:val="批注主题 Char"/>
    <w:basedOn w:val="Char"/>
    <w:link w:val="a7"/>
    <w:uiPriority w:val="99"/>
    <w:semiHidden/>
    <w:qFormat/>
    <w:rsid w:val="00E47CCE"/>
    <w:rPr>
      <w:b/>
      <w:bCs/>
    </w:rPr>
  </w:style>
  <w:style w:type="paragraph" w:styleId="aa">
    <w:name w:val="List Paragraph"/>
    <w:basedOn w:val="a"/>
    <w:uiPriority w:val="34"/>
    <w:qFormat/>
    <w:rsid w:val="00E47CCE"/>
    <w:pPr>
      <w:ind w:firstLineChars="200" w:firstLine="420"/>
    </w:pPr>
  </w:style>
  <w:style w:type="paragraph" w:customStyle="1" w:styleId="1">
    <w:name w:val="修订1"/>
    <w:hidden/>
    <w:uiPriority w:val="99"/>
    <w:semiHidden/>
    <w:qFormat/>
    <w:rsid w:val="00E47CC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nhu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484</Words>
  <Characters>2761</Characters>
  <Application>Microsoft Office Word</Application>
  <DocSecurity>4</DocSecurity>
  <Lines>23</Lines>
  <Paragraphs>6</Paragraphs>
  <ScaleCrop>false</ScaleCrop>
  <Company>P R C</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张勇</dc:creator>
  <cp:lastModifiedBy>ZHONGM</cp:lastModifiedBy>
  <cp:revision>2</cp:revision>
  <dcterms:created xsi:type="dcterms:W3CDTF">2025-10-16T16:00:00Z</dcterms:created>
  <dcterms:modified xsi:type="dcterms:W3CDTF">2025-10-16T16:00:00Z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22A64FF5E3574D118972494A5434E33A_13</vt:lpwstr>
  </property>
  <property fmtid="{D5CDD505-2E9C-101B-9397-08002B2CF9AE}" pid="4" name="KSOTemplateDocerSaveRecord">
    <vt:lpwstr>eyJoZGlkIjoiODU5ZDg1YTQyNDc0ZTRjZDBjYjJiM2E1ZjYxOWVhNjgiLCJ1c2VySWQiOiIxNDY3Nzg3MDkxIn0=</vt:lpwstr>
  </property>
</Properties>
</file>