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3383" w:rsidRDefault="007209D1">
      <w:pPr>
        <w:spacing w:line="360" w:lineRule="auto"/>
        <w:jc w:val="center"/>
        <w:rPr>
          <w:rFonts w:ascii="宋体" w:eastAsia="宋体" w:hAnsi="宋体" w:cs="宋体"/>
          <w:sz w:val="24"/>
        </w:rPr>
      </w:pPr>
      <w:bookmarkStart w:id="0" w:name="_GoBack"/>
      <w:bookmarkEnd w:id="0"/>
      <w:r>
        <w:rPr>
          <w:rFonts w:ascii="宋体" w:eastAsia="宋体" w:hAnsi="宋体" w:cs="宋体" w:hint="eastAsia"/>
          <w:b/>
          <w:bCs/>
          <w:sz w:val="28"/>
          <w:szCs w:val="28"/>
        </w:rPr>
        <w:t>西部利得</w:t>
      </w:r>
      <w:r>
        <w:rPr>
          <w:rFonts w:ascii="宋体" w:eastAsia="宋体" w:hAnsi="宋体" w:cs="宋体"/>
          <w:b/>
          <w:bCs/>
          <w:sz w:val="28"/>
          <w:szCs w:val="28"/>
        </w:rPr>
        <w:t>基金管理有限公司关于旗下</w:t>
      </w:r>
      <w:r>
        <w:rPr>
          <w:rFonts w:ascii="宋体" w:eastAsia="宋体" w:hAnsi="宋体" w:cs="宋体" w:hint="eastAsia"/>
          <w:b/>
          <w:bCs/>
          <w:sz w:val="28"/>
          <w:szCs w:val="28"/>
        </w:rPr>
        <w:t>西部利得深证红利交易型开放式指数证券投资基金、西部利得创业板大盘交易型开放式指数证券投资基金</w:t>
      </w:r>
      <w:r>
        <w:rPr>
          <w:rFonts w:ascii="宋体" w:eastAsia="宋体" w:hAnsi="宋体" w:cs="宋体"/>
          <w:b/>
          <w:bCs/>
          <w:sz w:val="28"/>
          <w:szCs w:val="28"/>
        </w:rPr>
        <w:t>新增</w:t>
      </w:r>
      <w:r>
        <w:rPr>
          <w:rFonts w:ascii="宋体" w:eastAsia="宋体" w:hAnsi="宋体" w:cs="宋体" w:hint="eastAsia"/>
          <w:b/>
          <w:bCs/>
          <w:sz w:val="28"/>
          <w:szCs w:val="28"/>
        </w:rPr>
        <w:t>申购</w:t>
      </w:r>
      <w:r>
        <w:rPr>
          <w:rFonts w:ascii="宋体" w:eastAsia="宋体" w:hAnsi="宋体" w:cs="宋体"/>
          <w:b/>
          <w:bCs/>
          <w:sz w:val="28"/>
          <w:szCs w:val="28"/>
        </w:rPr>
        <w:t>赎回代</w:t>
      </w:r>
      <w:r>
        <w:rPr>
          <w:rFonts w:ascii="宋体" w:eastAsia="宋体" w:hAnsi="宋体" w:cs="宋体" w:hint="eastAsia"/>
          <w:b/>
          <w:bCs/>
          <w:sz w:val="28"/>
          <w:szCs w:val="28"/>
        </w:rPr>
        <w:t>理</w:t>
      </w:r>
      <w:r>
        <w:rPr>
          <w:rFonts w:ascii="宋体" w:eastAsia="宋体" w:hAnsi="宋体" w:cs="宋体"/>
          <w:b/>
          <w:bCs/>
          <w:sz w:val="28"/>
          <w:szCs w:val="28"/>
        </w:rPr>
        <w:t>券商的公告</w:t>
      </w:r>
    </w:p>
    <w:p w:rsidR="00273383" w:rsidRDefault="007209D1">
      <w:pPr>
        <w:spacing w:line="360" w:lineRule="auto"/>
        <w:ind w:firstLine="480"/>
        <w:rPr>
          <w:rFonts w:ascii="宋体" w:eastAsia="宋体" w:hAnsi="宋体" w:cs="宋体"/>
          <w:sz w:val="24"/>
        </w:rPr>
      </w:pPr>
      <w:r>
        <w:rPr>
          <w:rFonts w:ascii="宋体" w:eastAsia="宋体" w:hAnsi="宋体" w:cs="宋体" w:hint="eastAsia"/>
          <w:sz w:val="24"/>
        </w:rPr>
        <w:t>西部利得</w:t>
      </w:r>
      <w:r>
        <w:rPr>
          <w:rFonts w:ascii="宋体" w:eastAsia="宋体" w:hAnsi="宋体" w:cs="宋体"/>
          <w:sz w:val="24"/>
        </w:rPr>
        <w:t>基金管理有限公司（以下简称</w:t>
      </w:r>
      <w:r>
        <w:rPr>
          <w:rFonts w:ascii="宋体" w:eastAsia="宋体" w:hAnsi="宋体" w:cs="宋体"/>
          <w:sz w:val="24"/>
        </w:rPr>
        <w:t>“</w:t>
      </w:r>
      <w:r>
        <w:rPr>
          <w:rFonts w:ascii="宋体" w:eastAsia="宋体" w:hAnsi="宋体" w:cs="宋体"/>
          <w:sz w:val="24"/>
        </w:rPr>
        <w:t>本基金管理人</w:t>
      </w:r>
      <w:r>
        <w:rPr>
          <w:rFonts w:ascii="宋体" w:eastAsia="宋体" w:hAnsi="宋体" w:cs="宋体"/>
          <w:sz w:val="24"/>
        </w:rPr>
        <w:t>”</w:t>
      </w:r>
      <w:r>
        <w:rPr>
          <w:rFonts w:ascii="宋体" w:eastAsia="宋体" w:hAnsi="宋体" w:cs="宋体"/>
          <w:sz w:val="24"/>
        </w:rPr>
        <w:t>）旗下</w:t>
      </w:r>
      <w:r>
        <w:rPr>
          <w:rFonts w:ascii="宋体" w:eastAsia="宋体" w:hAnsi="宋体" w:cs="宋体" w:hint="eastAsia"/>
          <w:sz w:val="24"/>
        </w:rPr>
        <w:t>西部利得深证红利交易型开放式指数证券投资基金及西部利得创业板大盘交易型开放式指数证券投资基金</w:t>
      </w:r>
      <w:r>
        <w:rPr>
          <w:rFonts w:ascii="宋体" w:eastAsia="宋体" w:hAnsi="宋体" w:cs="宋体"/>
          <w:sz w:val="24"/>
        </w:rPr>
        <w:t>自</w:t>
      </w:r>
      <w:r>
        <w:rPr>
          <w:rFonts w:ascii="宋体" w:eastAsia="宋体" w:hAnsi="宋体" w:cs="宋体" w:hint="eastAsia"/>
          <w:sz w:val="24"/>
        </w:rPr>
        <w:t>2025</w:t>
      </w:r>
      <w:r>
        <w:rPr>
          <w:rFonts w:ascii="宋体" w:eastAsia="宋体" w:hAnsi="宋体" w:cs="宋体"/>
          <w:sz w:val="24"/>
        </w:rPr>
        <w:t>年</w:t>
      </w:r>
      <w:r>
        <w:rPr>
          <w:rFonts w:ascii="宋体" w:eastAsia="宋体" w:hAnsi="宋体" w:cs="宋体" w:hint="eastAsia"/>
          <w:sz w:val="24"/>
        </w:rPr>
        <w:t>10</w:t>
      </w:r>
      <w:r>
        <w:rPr>
          <w:rFonts w:ascii="宋体" w:eastAsia="宋体" w:hAnsi="宋体" w:cs="宋体"/>
          <w:sz w:val="24"/>
        </w:rPr>
        <w:t>月</w:t>
      </w:r>
      <w:r>
        <w:rPr>
          <w:rFonts w:ascii="宋体" w:eastAsia="宋体" w:hAnsi="宋体" w:cs="宋体" w:hint="eastAsia"/>
          <w:sz w:val="24"/>
        </w:rPr>
        <w:t>16</w:t>
      </w:r>
      <w:r>
        <w:rPr>
          <w:rFonts w:ascii="宋体" w:eastAsia="宋体" w:hAnsi="宋体" w:cs="宋体"/>
          <w:sz w:val="24"/>
        </w:rPr>
        <w:t>日起增加</w:t>
      </w:r>
      <w:r>
        <w:rPr>
          <w:rFonts w:ascii="宋体" w:eastAsia="宋体" w:hAnsi="宋体" w:cs="宋体" w:hint="eastAsia"/>
          <w:sz w:val="24"/>
        </w:rPr>
        <w:t>部分销售机构</w:t>
      </w:r>
      <w:r>
        <w:rPr>
          <w:rFonts w:ascii="宋体" w:eastAsia="宋体" w:hAnsi="宋体" w:cs="宋体"/>
          <w:sz w:val="24"/>
        </w:rPr>
        <w:t>为申购赎回代理券商（以下简称</w:t>
      </w:r>
      <w:r>
        <w:rPr>
          <w:rFonts w:ascii="宋体" w:eastAsia="宋体" w:hAnsi="宋体" w:cs="宋体"/>
          <w:sz w:val="24"/>
        </w:rPr>
        <w:t>“</w:t>
      </w:r>
      <w:r>
        <w:rPr>
          <w:rFonts w:ascii="宋体" w:eastAsia="宋体" w:hAnsi="宋体" w:cs="宋体"/>
          <w:sz w:val="24"/>
        </w:rPr>
        <w:t>一级交易商</w:t>
      </w:r>
      <w:r>
        <w:rPr>
          <w:rFonts w:ascii="宋体" w:eastAsia="宋体" w:hAnsi="宋体" w:cs="宋体"/>
          <w:sz w:val="24"/>
        </w:rPr>
        <w:t>”</w:t>
      </w:r>
      <w:r>
        <w:rPr>
          <w:rFonts w:ascii="宋体" w:eastAsia="宋体" w:hAnsi="宋体" w:cs="宋体"/>
          <w:sz w:val="24"/>
        </w:rPr>
        <w:t>）。具体公告如下：</w:t>
      </w:r>
    </w:p>
    <w:p w:rsidR="00273383" w:rsidRDefault="007209D1">
      <w:pPr>
        <w:spacing w:line="360" w:lineRule="auto"/>
        <w:ind w:firstLine="480"/>
        <w:rPr>
          <w:rFonts w:ascii="宋体" w:eastAsia="宋体" w:hAnsi="宋体" w:cs="宋体"/>
          <w:b/>
          <w:bCs/>
          <w:sz w:val="24"/>
        </w:rPr>
      </w:pPr>
      <w:r>
        <w:rPr>
          <w:rFonts w:ascii="宋体" w:eastAsia="宋体" w:hAnsi="宋体" w:cs="宋体"/>
          <w:b/>
          <w:bCs/>
          <w:sz w:val="24"/>
        </w:rPr>
        <w:t xml:space="preserve"> </w:t>
      </w:r>
      <w:r>
        <w:rPr>
          <w:rFonts w:ascii="宋体" w:eastAsia="宋体" w:hAnsi="宋体" w:cs="宋体"/>
          <w:b/>
          <w:bCs/>
          <w:sz w:val="24"/>
        </w:rPr>
        <w:t>一、适用基金：</w:t>
      </w:r>
    </w:p>
    <w:tbl>
      <w:tblPr>
        <w:tblStyle w:val="a9"/>
        <w:tblW w:w="8522" w:type="dxa"/>
        <w:jc w:val="center"/>
        <w:tblLayout w:type="fixed"/>
        <w:tblLook w:val="04A0"/>
      </w:tblPr>
      <w:tblGrid>
        <w:gridCol w:w="1389"/>
        <w:gridCol w:w="3142"/>
        <w:gridCol w:w="1860"/>
        <w:gridCol w:w="2131"/>
      </w:tblGrid>
      <w:tr w:rsidR="00273383">
        <w:trPr>
          <w:trHeight w:val="792"/>
          <w:jc w:val="center"/>
        </w:trPr>
        <w:tc>
          <w:tcPr>
            <w:tcW w:w="1389"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基金代码</w:t>
            </w:r>
          </w:p>
        </w:tc>
        <w:tc>
          <w:tcPr>
            <w:tcW w:w="3142"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基金全称</w:t>
            </w:r>
          </w:p>
        </w:tc>
        <w:tc>
          <w:tcPr>
            <w:tcW w:w="1860"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场内证券简称</w:t>
            </w:r>
          </w:p>
        </w:tc>
        <w:tc>
          <w:tcPr>
            <w:tcW w:w="2131"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新增申赎代办证券公司</w:t>
            </w:r>
          </w:p>
        </w:tc>
      </w:tr>
      <w:tr w:rsidR="00273383">
        <w:trPr>
          <w:trHeight w:val="692"/>
          <w:jc w:val="center"/>
        </w:trPr>
        <w:tc>
          <w:tcPr>
            <w:tcW w:w="1389" w:type="dxa"/>
          </w:tcPr>
          <w:p w:rsidR="00273383" w:rsidRDefault="007209D1">
            <w:pPr>
              <w:spacing w:line="360" w:lineRule="auto"/>
              <w:jc w:val="center"/>
              <w:rPr>
                <w:rFonts w:ascii="宋体" w:eastAsia="宋体" w:hAnsi="宋体" w:cs="宋体"/>
                <w:sz w:val="24"/>
              </w:rPr>
            </w:pPr>
            <w:r>
              <w:rPr>
                <w:rFonts w:ascii="宋体" w:eastAsia="宋体" w:hAnsi="宋体" w:cs="宋体"/>
                <w:sz w:val="24"/>
              </w:rPr>
              <w:t>159708</w:t>
            </w:r>
          </w:p>
        </w:tc>
        <w:tc>
          <w:tcPr>
            <w:tcW w:w="3142"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西部利得深证红利交易型开放式指数证券投资基金</w:t>
            </w:r>
          </w:p>
        </w:tc>
        <w:tc>
          <w:tcPr>
            <w:tcW w:w="1860"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红利</w:t>
            </w:r>
            <w:r>
              <w:rPr>
                <w:rFonts w:ascii="宋体" w:eastAsia="宋体" w:hAnsi="宋体" w:cs="宋体" w:hint="eastAsia"/>
                <w:sz w:val="24"/>
              </w:rPr>
              <w:t>ETF</w:t>
            </w:r>
          </w:p>
        </w:tc>
        <w:tc>
          <w:tcPr>
            <w:tcW w:w="2131" w:type="dxa"/>
            <w:vAlign w:val="center"/>
          </w:tcPr>
          <w:p w:rsidR="00273383" w:rsidRDefault="007209D1">
            <w:pPr>
              <w:spacing w:before="120" w:after="60"/>
              <w:jc w:val="center"/>
              <w:rPr>
                <w:rFonts w:ascii="宋体" w:eastAsia="宋体" w:hAnsi="宋体" w:cs="宋体"/>
                <w:sz w:val="24"/>
              </w:rPr>
            </w:pPr>
            <w:r>
              <w:rPr>
                <w:rFonts w:ascii="宋体" w:hAnsi="宋体" w:cs="宋体" w:hint="eastAsia"/>
                <w:sz w:val="22"/>
                <w:szCs w:val="22"/>
              </w:rPr>
              <w:t>东方证券股份有限公司</w:t>
            </w:r>
          </w:p>
        </w:tc>
      </w:tr>
      <w:tr w:rsidR="00273383">
        <w:trPr>
          <w:trHeight w:val="692"/>
          <w:jc w:val="center"/>
        </w:trPr>
        <w:tc>
          <w:tcPr>
            <w:tcW w:w="1389" w:type="dxa"/>
          </w:tcPr>
          <w:p w:rsidR="00273383" w:rsidRDefault="007209D1">
            <w:pPr>
              <w:spacing w:line="360" w:lineRule="auto"/>
              <w:jc w:val="center"/>
              <w:rPr>
                <w:rFonts w:ascii="宋体" w:eastAsia="宋体" w:hAnsi="宋体" w:cs="宋体"/>
                <w:sz w:val="24"/>
              </w:rPr>
            </w:pPr>
            <w:r>
              <w:rPr>
                <w:rFonts w:ascii="宋体" w:eastAsia="宋体" w:hAnsi="宋体" w:cs="宋体"/>
                <w:sz w:val="24"/>
              </w:rPr>
              <w:t>159</w:t>
            </w:r>
            <w:r>
              <w:rPr>
                <w:rFonts w:ascii="宋体" w:eastAsia="宋体" w:hAnsi="宋体" w:cs="宋体" w:hint="eastAsia"/>
                <w:sz w:val="24"/>
              </w:rPr>
              <w:t>814</w:t>
            </w:r>
          </w:p>
        </w:tc>
        <w:tc>
          <w:tcPr>
            <w:tcW w:w="3142"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西部利得创业板大盘交易型开放式指数证券投资基金</w:t>
            </w:r>
          </w:p>
        </w:tc>
        <w:tc>
          <w:tcPr>
            <w:tcW w:w="1860"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创业大盘</w:t>
            </w:r>
            <w:r>
              <w:rPr>
                <w:rFonts w:ascii="宋体" w:eastAsia="宋体" w:hAnsi="宋体" w:cs="宋体" w:hint="eastAsia"/>
                <w:sz w:val="24"/>
              </w:rPr>
              <w:t>ETF</w:t>
            </w:r>
          </w:p>
        </w:tc>
        <w:tc>
          <w:tcPr>
            <w:tcW w:w="2131" w:type="dxa"/>
            <w:vAlign w:val="center"/>
          </w:tcPr>
          <w:p w:rsidR="00273383" w:rsidRDefault="007209D1">
            <w:pPr>
              <w:spacing w:before="120" w:after="60"/>
              <w:jc w:val="center"/>
              <w:rPr>
                <w:rFonts w:ascii="楷体_GB2312"/>
                <w:sz w:val="24"/>
              </w:rPr>
            </w:pPr>
            <w:r>
              <w:rPr>
                <w:rFonts w:ascii="宋体" w:hAnsi="宋体" w:cs="宋体" w:hint="eastAsia"/>
                <w:sz w:val="22"/>
                <w:szCs w:val="22"/>
              </w:rPr>
              <w:t>东方证券股份有限公司</w:t>
            </w:r>
          </w:p>
        </w:tc>
      </w:tr>
    </w:tbl>
    <w:p w:rsidR="00273383" w:rsidRDefault="007209D1">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投资者可自</w:t>
      </w: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16</w:t>
      </w:r>
      <w:r>
        <w:rPr>
          <w:rFonts w:ascii="宋体" w:eastAsia="宋体" w:hAnsi="宋体" w:cs="宋体" w:hint="eastAsia"/>
          <w:sz w:val="24"/>
        </w:rPr>
        <w:t>日起在上述证券公司办理对应基金的申购、赎回等业务，具体流程、规则等以各销售机构的规定为准，各销售机构的业务办理状况亦请遵循其规定执行。</w:t>
      </w:r>
    </w:p>
    <w:p w:rsidR="00273383" w:rsidRDefault="007209D1">
      <w:pPr>
        <w:spacing w:line="360" w:lineRule="auto"/>
        <w:ind w:firstLine="480"/>
        <w:rPr>
          <w:rFonts w:ascii="宋体" w:eastAsia="宋体" w:hAnsi="宋体" w:cs="宋体"/>
          <w:b/>
          <w:bCs/>
          <w:sz w:val="24"/>
        </w:rPr>
      </w:pPr>
      <w:r>
        <w:rPr>
          <w:rFonts w:ascii="宋体" w:eastAsia="宋体" w:hAnsi="宋体" w:cs="宋体"/>
          <w:b/>
          <w:bCs/>
          <w:sz w:val="24"/>
        </w:rPr>
        <w:t>二、新增一级交易商的基本信息及联系方式</w:t>
      </w:r>
      <w:r>
        <w:rPr>
          <w:rFonts w:ascii="宋体" w:eastAsia="宋体" w:hAnsi="宋体" w:cs="宋体"/>
          <w:b/>
          <w:bCs/>
          <w:sz w:val="24"/>
        </w:rPr>
        <w:t xml:space="preserve"> </w:t>
      </w:r>
    </w:p>
    <w:tbl>
      <w:tblPr>
        <w:tblStyle w:val="a9"/>
        <w:tblW w:w="8522" w:type="dxa"/>
        <w:tblLayout w:type="fixed"/>
        <w:tblLook w:val="04A0"/>
      </w:tblPr>
      <w:tblGrid>
        <w:gridCol w:w="3397"/>
        <w:gridCol w:w="2552"/>
        <w:gridCol w:w="2573"/>
      </w:tblGrid>
      <w:tr w:rsidR="00273383">
        <w:tc>
          <w:tcPr>
            <w:tcW w:w="3397"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销售机构名称</w:t>
            </w:r>
          </w:p>
        </w:tc>
        <w:tc>
          <w:tcPr>
            <w:tcW w:w="2552"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网址</w:t>
            </w:r>
          </w:p>
        </w:tc>
        <w:tc>
          <w:tcPr>
            <w:tcW w:w="2573"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客户服务电话</w:t>
            </w:r>
          </w:p>
        </w:tc>
      </w:tr>
      <w:tr w:rsidR="00273383">
        <w:tc>
          <w:tcPr>
            <w:tcW w:w="3397" w:type="dxa"/>
            <w:vAlign w:val="center"/>
          </w:tcPr>
          <w:p w:rsidR="00273383" w:rsidRDefault="007209D1">
            <w:pPr>
              <w:spacing w:before="120" w:after="60"/>
              <w:jc w:val="center"/>
              <w:rPr>
                <w:rFonts w:ascii="宋体" w:eastAsia="宋体" w:hAnsi="宋体" w:cs="宋体"/>
                <w:sz w:val="24"/>
              </w:rPr>
            </w:pPr>
            <w:r>
              <w:rPr>
                <w:rFonts w:ascii="宋体" w:hAnsi="宋体" w:cs="宋体" w:hint="eastAsia"/>
                <w:sz w:val="22"/>
                <w:szCs w:val="22"/>
              </w:rPr>
              <w:t>东方证券股份有限公司</w:t>
            </w:r>
          </w:p>
        </w:tc>
        <w:tc>
          <w:tcPr>
            <w:tcW w:w="2552" w:type="dxa"/>
          </w:tcPr>
          <w:p w:rsidR="00273383" w:rsidRDefault="007209D1">
            <w:pPr>
              <w:spacing w:line="360" w:lineRule="auto"/>
              <w:jc w:val="center"/>
              <w:rPr>
                <w:rFonts w:ascii="宋体" w:hAnsi="宋体" w:cs="宋体"/>
                <w:sz w:val="24"/>
              </w:rPr>
            </w:pPr>
            <w:r>
              <w:rPr>
                <w:rFonts w:ascii="宋体" w:hAnsi="宋体" w:cs="宋体" w:hint="eastAsia"/>
                <w:sz w:val="24"/>
              </w:rPr>
              <w:t>www.dfzq.com.cn</w:t>
            </w:r>
          </w:p>
        </w:tc>
        <w:tc>
          <w:tcPr>
            <w:tcW w:w="2573"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95503</w:t>
            </w:r>
          </w:p>
        </w:tc>
      </w:tr>
    </w:tbl>
    <w:p w:rsidR="00273383" w:rsidRDefault="007209D1">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b/>
          <w:bCs/>
          <w:sz w:val="24"/>
        </w:rPr>
        <w:t>本基金管理人联系方式</w:t>
      </w:r>
      <w:r>
        <w:rPr>
          <w:rFonts w:ascii="宋体" w:eastAsia="宋体" w:hAnsi="宋体" w:cs="宋体"/>
          <w:b/>
          <w:bCs/>
          <w:sz w:val="24"/>
        </w:rPr>
        <w:t xml:space="preserve"> </w:t>
      </w:r>
    </w:p>
    <w:tbl>
      <w:tblPr>
        <w:tblStyle w:val="a9"/>
        <w:tblW w:w="8522" w:type="dxa"/>
        <w:tblLayout w:type="fixed"/>
        <w:tblLook w:val="04A0"/>
      </w:tblPr>
      <w:tblGrid>
        <w:gridCol w:w="3114"/>
        <w:gridCol w:w="2835"/>
        <w:gridCol w:w="2573"/>
      </w:tblGrid>
      <w:tr w:rsidR="00273383">
        <w:tc>
          <w:tcPr>
            <w:tcW w:w="3114"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销售机构名称</w:t>
            </w:r>
          </w:p>
        </w:tc>
        <w:tc>
          <w:tcPr>
            <w:tcW w:w="2835"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网址</w:t>
            </w:r>
          </w:p>
        </w:tc>
        <w:tc>
          <w:tcPr>
            <w:tcW w:w="2573" w:type="dxa"/>
            <w:shd w:val="clear" w:color="auto" w:fill="E7E6E6" w:themeFill="background2"/>
          </w:tcPr>
          <w:p w:rsidR="00273383" w:rsidRDefault="007209D1">
            <w:pPr>
              <w:spacing w:line="360" w:lineRule="auto"/>
              <w:jc w:val="center"/>
              <w:rPr>
                <w:rFonts w:ascii="宋体" w:eastAsia="宋体" w:hAnsi="宋体" w:cs="宋体"/>
                <w:b/>
                <w:bCs/>
                <w:sz w:val="24"/>
              </w:rPr>
            </w:pPr>
            <w:r>
              <w:rPr>
                <w:rFonts w:ascii="宋体" w:eastAsia="宋体" w:hAnsi="宋体" w:cs="宋体" w:hint="eastAsia"/>
                <w:b/>
                <w:bCs/>
                <w:sz w:val="24"/>
              </w:rPr>
              <w:t>客户服务电话</w:t>
            </w:r>
          </w:p>
        </w:tc>
      </w:tr>
      <w:tr w:rsidR="00273383">
        <w:tc>
          <w:tcPr>
            <w:tcW w:w="3114"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西部利得基金管理有限公司</w:t>
            </w:r>
          </w:p>
        </w:tc>
        <w:tc>
          <w:tcPr>
            <w:tcW w:w="2835" w:type="dxa"/>
          </w:tcPr>
          <w:p w:rsidR="00273383" w:rsidRDefault="007209D1">
            <w:pPr>
              <w:spacing w:line="360" w:lineRule="auto"/>
              <w:jc w:val="center"/>
              <w:rPr>
                <w:rFonts w:ascii="宋体" w:eastAsia="宋体" w:hAnsi="宋体" w:cs="宋体"/>
                <w:sz w:val="24"/>
              </w:rPr>
            </w:pPr>
            <w:r>
              <w:rPr>
                <w:rFonts w:asciiTheme="minorEastAsia" w:hAnsiTheme="minorEastAsia" w:cs="Arial"/>
                <w:sz w:val="24"/>
              </w:rPr>
              <w:t>www.westleadfund.com</w:t>
            </w:r>
          </w:p>
        </w:tc>
        <w:tc>
          <w:tcPr>
            <w:tcW w:w="2573" w:type="dxa"/>
          </w:tcPr>
          <w:p w:rsidR="00273383" w:rsidRDefault="007209D1">
            <w:pPr>
              <w:spacing w:line="360" w:lineRule="auto"/>
              <w:jc w:val="center"/>
              <w:rPr>
                <w:rFonts w:ascii="宋体" w:eastAsia="宋体" w:hAnsi="宋体" w:cs="宋体"/>
                <w:sz w:val="24"/>
              </w:rPr>
            </w:pPr>
            <w:r>
              <w:rPr>
                <w:rFonts w:ascii="宋体" w:eastAsia="宋体" w:hAnsi="宋体" w:cs="宋体" w:hint="eastAsia"/>
                <w:sz w:val="24"/>
              </w:rPr>
              <w:t>400-700-7818</w:t>
            </w:r>
          </w:p>
        </w:tc>
      </w:tr>
    </w:tbl>
    <w:p w:rsidR="00273383" w:rsidRDefault="007209D1">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r>
        <w:rPr>
          <w:rFonts w:ascii="宋体" w:eastAsia="宋体" w:hAnsi="宋体" w:cs="宋体"/>
          <w:sz w:val="24"/>
        </w:rPr>
        <w:t xml:space="preserve"> </w:t>
      </w:r>
    </w:p>
    <w:p w:rsidR="00273383" w:rsidRDefault="007209D1">
      <w:pPr>
        <w:spacing w:line="360" w:lineRule="auto"/>
        <w:ind w:firstLine="480"/>
        <w:rPr>
          <w:rFonts w:ascii="宋体" w:eastAsia="宋体" w:hAnsi="宋体" w:cs="宋体"/>
          <w:sz w:val="24"/>
        </w:rPr>
      </w:pPr>
      <w:r>
        <w:rPr>
          <w:rFonts w:ascii="宋体" w:eastAsia="宋体" w:hAnsi="宋体" w:cs="宋体"/>
          <w:sz w:val="24"/>
        </w:rPr>
        <w:lastRenderedPageBreak/>
        <w:t>特此公告。</w:t>
      </w:r>
    </w:p>
    <w:p w:rsidR="00273383" w:rsidRDefault="00273383">
      <w:pPr>
        <w:spacing w:line="360" w:lineRule="auto"/>
        <w:ind w:firstLine="480"/>
        <w:rPr>
          <w:rFonts w:ascii="宋体" w:eastAsia="宋体" w:hAnsi="宋体" w:cs="宋体"/>
          <w:sz w:val="24"/>
        </w:rPr>
      </w:pPr>
    </w:p>
    <w:p w:rsidR="00273383" w:rsidRDefault="007209D1">
      <w:pPr>
        <w:spacing w:line="360" w:lineRule="auto"/>
        <w:ind w:firstLine="480"/>
        <w:jc w:val="right"/>
        <w:rPr>
          <w:rFonts w:ascii="宋体" w:eastAsia="宋体" w:hAnsi="宋体" w:cs="宋体"/>
          <w:sz w:val="24"/>
        </w:rPr>
      </w:pPr>
      <w:r>
        <w:rPr>
          <w:rFonts w:ascii="宋体" w:eastAsia="宋体" w:hAnsi="宋体" w:cs="宋体" w:hint="eastAsia"/>
          <w:sz w:val="24"/>
        </w:rPr>
        <w:t>西部利得</w:t>
      </w:r>
      <w:r>
        <w:rPr>
          <w:rFonts w:ascii="宋体" w:eastAsia="宋体" w:hAnsi="宋体" w:cs="宋体"/>
          <w:sz w:val="24"/>
        </w:rPr>
        <w:t>基金管理有限公司</w:t>
      </w:r>
      <w:r>
        <w:rPr>
          <w:rFonts w:ascii="宋体" w:eastAsia="宋体" w:hAnsi="宋体" w:cs="宋体"/>
          <w:sz w:val="24"/>
        </w:rPr>
        <w:t xml:space="preserve"> </w:t>
      </w:r>
    </w:p>
    <w:p w:rsidR="00273383" w:rsidRDefault="007209D1">
      <w:pPr>
        <w:spacing w:line="360" w:lineRule="auto"/>
        <w:ind w:firstLine="480"/>
        <w:jc w:val="right"/>
      </w:pP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10</w:t>
      </w:r>
      <w:r>
        <w:rPr>
          <w:rFonts w:ascii="宋体" w:eastAsia="宋体" w:hAnsi="宋体" w:cs="宋体"/>
          <w:sz w:val="24"/>
        </w:rPr>
        <w:t>月</w:t>
      </w:r>
      <w:r>
        <w:rPr>
          <w:rFonts w:ascii="宋体" w:eastAsia="宋体" w:hAnsi="宋体" w:cs="宋体" w:hint="eastAsia"/>
          <w:sz w:val="24"/>
        </w:rPr>
        <w:t>16</w:t>
      </w:r>
      <w:r>
        <w:rPr>
          <w:rFonts w:ascii="宋体" w:eastAsia="宋体" w:hAnsi="宋体" w:cs="宋体"/>
          <w:sz w:val="24"/>
        </w:rPr>
        <w:t>日</w:t>
      </w:r>
    </w:p>
    <w:sectPr w:rsidR="00273383" w:rsidSect="002733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rsids>
    <w:rsidRoot w:val="00C673EE"/>
    <w:rsid w:val="00023BF6"/>
    <w:rsid w:val="00042634"/>
    <w:rsid w:val="000860D7"/>
    <w:rsid w:val="000A450D"/>
    <w:rsid w:val="000C692F"/>
    <w:rsid w:val="00232EEB"/>
    <w:rsid w:val="00262514"/>
    <w:rsid w:val="00273383"/>
    <w:rsid w:val="00363A3F"/>
    <w:rsid w:val="003742A5"/>
    <w:rsid w:val="003D22EF"/>
    <w:rsid w:val="004B4142"/>
    <w:rsid w:val="00552285"/>
    <w:rsid w:val="005B2813"/>
    <w:rsid w:val="00616616"/>
    <w:rsid w:val="006239E9"/>
    <w:rsid w:val="00653775"/>
    <w:rsid w:val="007209D1"/>
    <w:rsid w:val="0072555E"/>
    <w:rsid w:val="00743466"/>
    <w:rsid w:val="0079286C"/>
    <w:rsid w:val="008B35DE"/>
    <w:rsid w:val="008C3FBF"/>
    <w:rsid w:val="008E4759"/>
    <w:rsid w:val="008F7179"/>
    <w:rsid w:val="00912D69"/>
    <w:rsid w:val="00977E36"/>
    <w:rsid w:val="00A71FB7"/>
    <w:rsid w:val="00A96B86"/>
    <w:rsid w:val="00B35315"/>
    <w:rsid w:val="00C27578"/>
    <w:rsid w:val="00C673EE"/>
    <w:rsid w:val="00C974AF"/>
    <w:rsid w:val="00CB7DC2"/>
    <w:rsid w:val="00D15D5F"/>
    <w:rsid w:val="00E76D27"/>
    <w:rsid w:val="00E83DDF"/>
    <w:rsid w:val="00EC7C23"/>
    <w:rsid w:val="00FA4484"/>
    <w:rsid w:val="00FE229F"/>
    <w:rsid w:val="04076FB9"/>
    <w:rsid w:val="04FD648C"/>
    <w:rsid w:val="06A23E99"/>
    <w:rsid w:val="097148FF"/>
    <w:rsid w:val="0AC74ABE"/>
    <w:rsid w:val="0C352E89"/>
    <w:rsid w:val="13FF4CF0"/>
    <w:rsid w:val="19B156BC"/>
    <w:rsid w:val="1C1B33E6"/>
    <w:rsid w:val="1CD37257"/>
    <w:rsid w:val="20796CB4"/>
    <w:rsid w:val="211D4F93"/>
    <w:rsid w:val="213B1ED4"/>
    <w:rsid w:val="26327CC7"/>
    <w:rsid w:val="28574FBA"/>
    <w:rsid w:val="2BA536F8"/>
    <w:rsid w:val="2DF278F4"/>
    <w:rsid w:val="355B797D"/>
    <w:rsid w:val="417C3803"/>
    <w:rsid w:val="41A52CD1"/>
    <w:rsid w:val="47407F11"/>
    <w:rsid w:val="518B7A4A"/>
    <w:rsid w:val="556334B2"/>
    <w:rsid w:val="56DD3183"/>
    <w:rsid w:val="62484CD2"/>
    <w:rsid w:val="64D60FF4"/>
    <w:rsid w:val="659C674E"/>
    <w:rsid w:val="6D8D0448"/>
    <w:rsid w:val="6E987DF1"/>
    <w:rsid w:val="76096FC9"/>
    <w:rsid w:val="77582531"/>
    <w:rsid w:val="783835D0"/>
    <w:rsid w:val="7B0B36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73383"/>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273383"/>
    <w:rPr>
      <w:rFonts w:ascii="宋体" w:hAnsi="Courier New"/>
    </w:rPr>
  </w:style>
  <w:style w:type="paragraph" w:styleId="a4">
    <w:name w:val="annotation text"/>
    <w:basedOn w:val="a"/>
    <w:link w:val="Char"/>
    <w:qFormat/>
    <w:rsid w:val="00273383"/>
    <w:pPr>
      <w:jc w:val="left"/>
    </w:pPr>
  </w:style>
  <w:style w:type="paragraph" w:styleId="a5">
    <w:name w:val="Balloon Text"/>
    <w:basedOn w:val="a"/>
    <w:link w:val="Char0"/>
    <w:qFormat/>
    <w:rsid w:val="00273383"/>
    <w:rPr>
      <w:sz w:val="18"/>
      <w:szCs w:val="18"/>
    </w:rPr>
  </w:style>
  <w:style w:type="paragraph" w:styleId="a6">
    <w:name w:val="footer"/>
    <w:basedOn w:val="a"/>
    <w:link w:val="Char1"/>
    <w:qFormat/>
    <w:rsid w:val="00273383"/>
    <w:pPr>
      <w:tabs>
        <w:tab w:val="center" w:pos="4153"/>
        <w:tab w:val="right" w:pos="8306"/>
      </w:tabs>
      <w:snapToGrid w:val="0"/>
      <w:jc w:val="left"/>
    </w:pPr>
    <w:rPr>
      <w:sz w:val="18"/>
      <w:szCs w:val="18"/>
    </w:rPr>
  </w:style>
  <w:style w:type="paragraph" w:styleId="a7">
    <w:name w:val="header"/>
    <w:basedOn w:val="a"/>
    <w:link w:val="Char2"/>
    <w:qFormat/>
    <w:rsid w:val="00273383"/>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qFormat/>
    <w:rsid w:val="00273383"/>
    <w:rPr>
      <w:b/>
      <w:bCs/>
    </w:rPr>
  </w:style>
  <w:style w:type="table" w:styleId="a9">
    <w:name w:val="Table Grid"/>
    <w:basedOn w:val="a2"/>
    <w:qFormat/>
    <w:rsid w:val="002733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qFormat/>
    <w:rsid w:val="00273383"/>
    <w:rPr>
      <w:color w:val="0563C1" w:themeColor="hyperlink"/>
      <w:u w:val="single"/>
    </w:rPr>
  </w:style>
  <w:style w:type="character" w:styleId="ab">
    <w:name w:val="annotation reference"/>
    <w:basedOn w:val="a1"/>
    <w:qFormat/>
    <w:rsid w:val="00273383"/>
    <w:rPr>
      <w:sz w:val="21"/>
      <w:szCs w:val="21"/>
    </w:rPr>
  </w:style>
  <w:style w:type="character" w:customStyle="1" w:styleId="Char">
    <w:name w:val="批注文字 Char"/>
    <w:basedOn w:val="a1"/>
    <w:link w:val="a4"/>
    <w:qFormat/>
    <w:rsid w:val="00273383"/>
    <w:rPr>
      <w:rFonts w:asciiTheme="minorHAnsi" w:eastAsiaTheme="minorEastAsia" w:hAnsiTheme="minorHAnsi" w:cstheme="minorBidi"/>
      <w:kern w:val="2"/>
      <w:sz w:val="21"/>
      <w:szCs w:val="24"/>
    </w:rPr>
  </w:style>
  <w:style w:type="character" w:customStyle="1" w:styleId="Char3">
    <w:name w:val="批注主题 Char"/>
    <w:basedOn w:val="Char"/>
    <w:link w:val="a8"/>
    <w:qFormat/>
    <w:rsid w:val="00273383"/>
    <w:rPr>
      <w:rFonts w:asciiTheme="minorHAnsi" w:eastAsiaTheme="minorEastAsia" w:hAnsiTheme="minorHAnsi" w:cstheme="minorBidi"/>
      <w:b/>
      <w:bCs/>
      <w:kern w:val="2"/>
      <w:sz w:val="21"/>
      <w:szCs w:val="24"/>
    </w:rPr>
  </w:style>
  <w:style w:type="character" w:customStyle="1" w:styleId="Char0">
    <w:name w:val="批注框文本 Char"/>
    <w:basedOn w:val="a1"/>
    <w:link w:val="a5"/>
    <w:qFormat/>
    <w:rsid w:val="00273383"/>
    <w:rPr>
      <w:rFonts w:asciiTheme="minorHAnsi" w:eastAsiaTheme="minorEastAsia" w:hAnsiTheme="minorHAnsi" w:cstheme="minorBidi"/>
      <w:kern w:val="2"/>
      <w:sz w:val="18"/>
      <w:szCs w:val="18"/>
    </w:rPr>
  </w:style>
  <w:style w:type="character" w:customStyle="1" w:styleId="Char2">
    <w:name w:val="页眉 Char"/>
    <w:basedOn w:val="a1"/>
    <w:link w:val="a7"/>
    <w:qFormat/>
    <w:rsid w:val="00273383"/>
    <w:rPr>
      <w:rFonts w:asciiTheme="minorHAnsi" w:eastAsiaTheme="minorEastAsia" w:hAnsiTheme="minorHAnsi" w:cstheme="minorBidi"/>
      <w:kern w:val="2"/>
      <w:sz w:val="18"/>
      <w:szCs w:val="18"/>
    </w:rPr>
  </w:style>
  <w:style w:type="character" w:customStyle="1" w:styleId="Char1">
    <w:name w:val="页脚 Char"/>
    <w:basedOn w:val="a1"/>
    <w:link w:val="a6"/>
    <w:qFormat/>
    <w:rsid w:val="00273383"/>
    <w:rPr>
      <w:rFonts w:asciiTheme="minorHAnsi" w:eastAsiaTheme="minorEastAsia" w:hAnsiTheme="minorHAnsi" w:cstheme="minorBidi"/>
      <w:kern w:val="2"/>
      <w:sz w:val="18"/>
      <w:szCs w:val="18"/>
    </w:rPr>
  </w:style>
  <w:style w:type="paragraph" w:customStyle="1" w:styleId="1">
    <w:name w:val="修订1"/>
    <w:hidden/>
    <w:uiPriority w:val="99"/>
    <w:semiHidden/>
    <w:qFormat/>
    <w:rsid w:val="00273383"/>
    <w:rPr>
      <w:rFonts w:asciiTheme="minorHAnsi" w:eastAsiaTheme="minorEastAsia" w:hAnsiTheme="minorHAnsi" w:cstheme="minorBidi"/>
      <w:kern w:val="2"/>
      <w:sz w:val="21"/>
      <w:szCs w:val="24"/>
    </w:rPr>
  </w:style>
  <w:style w:type="paragraph" w:customStyle="1" w:styleId="2">
    <w:name w:val="修订2"/>
    <w:hidden/>
    <w:uiPriority w:val="99"/>
    <w:unhideWhenUsed/>
    <w:rsid w:val="00273383"/>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4</DocSecurity>
  <Lines>5</Lines>
  <Paragraphs>1</Paragraphs>
  <ScaleCrop>false</ScaleCrop>
  <Company>CNSTOCK</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chu.wang</dc:creator>
  <cp:lastModifiedBy>ZHONGM</cp:lastModifiedBy>
  <cp:revision>2</cp:revision>
  <dcterms:created xsi:type="dcterms:W3CDTF">2025-10-15T16:00:00Z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1843F65745AC494AA6FDE000F9477E68</vt:lpwstr>
  </property>
  <property fmtid="{D5CDD505-2E9C-101B-9397-08002B2CF9AE}" pid="4" name="KSOTemplateDocerSaveRecord">
    <vt:lpwstr>eyJoZGlkIjoiOWEzZDdjOTY2NjVlYWJjMjkxMjNkODM3ZjMzNzljYjYiLCJ1c2VySWQiOiIxMzAwNDE1OTM5In0=</vt:lpwstr>
  </property>
</Properties>
</file>