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0511C">
      <w:pPr>
        <w:jc w:val="center"/>
        <w:rPr>
          <w:rFonts w:ascii="宋体" w:hAnsi="宋体"/>
          <w:b/>
          <w:sz w:val="30"/>
          <w:szCs w:val="30"/>
        </w:rPr>
      </w:pPr>
      <w:r>
        <w:rPr>
          <w:rFonts w:ascii="宋体" w:hAnsi="宋体" w:hint="eastAsia"/>
          <w:b/>
          <w:sz w:val="30"/>
          <w:szCs w:val="30"/>
        </w:rPr>
        <w:t>嘉合基金管理有限公司关于终止旗下基金</w:t>
      </w:r>
    </w:p>
    <w:p w:rsidR="00000000" w:rsidRDefault="0060511C">
      <w:pPr>
        <w:jc w:val="center"/>
        <w:rPr>
          <w:rFonts w:ascii="宋体" w:hAnsi="宋体"/>
          <w:b/>
          <w:sz w:val="30"/>
          <w:szCs w:val="30"/>
        </w:rPr>
      </w:pPr>
      <w:r>
        <w:rPr>
          <w:rFonts w:ascii="宋体" w:hAnsi="宋体" w:hint="eastAsia"/>
          <w:b/>
          <w:sz w:val="30"/>
          <w:szCs w:val="30"/>
        </w:rPr>
        <w:t>在</w:t>
      </w:r>
      <w:r>
        <w:rPr>
          <w:rFonts w:ascii="宋体" w:hAnsi="宋体" w:hint="eastAsia"/>
          <w:b/>
          <w:sz w:val="30"/>
          <w:szCs w:val="30"/>
        </w:rPr>
        <w:t>浦领</w:t>
      </w:r>
      <w:r>
        <w:rPr>
          <w:rFonts w:ascii="宋体" w:hAnsi="宋体" w:hint="eastAsia"/>
          <w:b/>
          <w:sz w:val="30"/>
          <w:szCs w:val="30"/>
        </w:rPr>
        <w:t>基金销售有限公司办理相关销售业务的公告</w:t>
      </w:r>
    </w:p>
    <w:p w:rsidR="00000000" w:rsidRDefault="0060511C">
      <w:pPr>
        <w:spacing w:line="360" w:lineRule="auto"/>
        <w:jc w:val="left"/>
        <w:rPr>
          <w:rFonts w:ascii="微软雅黑" w:eastAsia="微软雅黑" w:hAnsi="微软雅黑"/>
          <w:sz w:val="24"/>
          <w:szCs w:val="24"/>
        </w:rPr>
      </w:pPr>
    </w:p>
    <w:p w:rsidR="00000000" w:rsidRDefault="0060511C">
      <w:pPr>
        <w:spacing w:line="360" w:lineRule="auto"/>
        <w:ind w:firstLineChars="200" w:firstLine="480"/>
        <w:rPr>
          <w:rFonts w:ascii="宋体" w:hAnsi="宋体"/>
          <w:sz w:val="24"/>
          <w:szCs w:val="24"/>
        </w:rPr>
      </w:pPr>
      <w:r>
        <w:rPr>
          <w:rFonts w:ascii="宋体" w:hAnsi="宋体" w:hint="eastAsia"/>
          <w:sz w:val="24"/>
          <w:szCs w:val="24"/>
        </w:rPr>
        <w:t>为维护投资者权益，经与</w:t>
      </w:r>
      <w:r>
        <w:rPr>
          <w:rFonts w:ascii="宋体" w:hAnsi="宋体" w:hint="eastAsia"/>
          <w:sz w:val="24"/>
          <w:szCs w:val="24"/>
        </w:rPr>
        <w:t>浦领</w:t>
      </w:r>
      <w:r>
        <w:rPr>
          <w:rFonts w:ascii="宋体" w:hAnsi="宋体" w:hint="eastAsia"/>
          <w:sz w:val="24"/>
          <w:szCs w:val="24"/>
        </w:rPr>
        <w:t>基金销售有限公司（以下简称“</w:t>
      </w:r>
      <w:r>
        <w:rPr>
          <w:rFonts w:ascii="宋体" w:hAnsi="宋体" w:hint="eastAsia"/>
          <w:sz w:val="24"/>
          <w:szCs w:val="24"/>
        </w:rPr>
        <w:t>浦领</w:t>
      </w:r>
      <w:r>
        <w:rPr>
          <w:rFonts w:ascii="宋体" w:hAnsi="宋体" w:hint="eastAsia"/>
          <w:sz w:val="24"/>
          <w:szCs w:val="24"/>
        </w:rPr>
        <w:t>基金</w:t>
      </w:r>
      <w:r>
        <w:rPr>
          <w:rFonts w:ascii="宋体" w:hAnsi="宋体" w:hint="eastAsia"/>
          <w:sz w:val="24"/>
          <w:szCs w:val="24"/>
        </w:rPr>
        <w:t>销售</w:t>
      </w:r>
      <w:r>
        <w:rPr>
          <w:rFonts w:ascii="宋体" w:hAnsi="宋体" w:hint="eastAsia"/>
          <w:sz w:val="24"/>
          <w:szCs w:val="24"/>
        </w:rPr>
        <w:t>”）协商一致，嘉合基金管理有限公司（以下简称“本公司”）自</w:t>
      </w:r>
      <w:r>
        <w:rPr>
          <w:rFonts w:ascii="宋体" w:hAnsi="宋体" w:hint="eastAsia"/>
          <w:sz w:val="24"/>
          <w:szCs w:val="24"/>
        </w:rPr>
        <w:t>20</w:t>
      </w:r>
      <w:r>
        <w:rPr>
          <w:rFonts w:ascii="宋体" w:hAnsi="宋体"/>
          <w:sz w:val="24"/>
          <w:szCs w:val="24"/>
        </w:rPr>
        <w:t>2</w:t>
      </w:r>
      <w:r>
        <w:rPr>
          <w:rFonts w:ascii="宋体" w:hAnsi="宋体" w:hint="eastAsia"/>
          <w:sz w:val="24"/>
          <w:szCs w:val="24"/>
        </w:rPr>
        <w:t>5</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17</w:t>
      </w:r>
      <w:r>
        <w:rPr>
          <w:rFonts w:ascii="宋体" w:hAnsi="宋体" w:hint="eastAsia"/>
          <w:sz w:val="24"/>
          <w:szCs w:val="24"/>
        </w:rPr>
        <w:t>日</w:t>
      </w:r>
      <w:r>
        <w:rPr>
          <w:rFonts w:ascii="宋体" w:hAnsi="宋体"/>
          <w:sz w:val="24"/>
          <w:szCs w:val="24"/>
        </w:rPr>
        <w:t>起</w:t>
      </w:r>
      <w:r>
        <w:rPr>
          <w:rFonts w:ascii="宋体" w:hAnsi="宋体" w:hint="eastAsia"/>
          <w:sz w:val="24"/>
          <w:szCs w:val="24"/>
        </w:rPr>
        <w:t>终止与</w:t>
      </w:r>
      <w:r>
        <w:rPr>
          <w:rFonts w:ascii="宋体" w:hAnsi="宋体" w:hint="eastAsia"/>
          <w:sz w:val="24"/>
          <w:szCs w:val="24"/>
        </w:rPr>
        <w:t>浦领</w:t>
      </w:r>
      <w:r>
        <w:rPr>
          <w:rFonts w:ascii="宋体" w:hAnsi="宋体" w:hint="eastAsia"/>
          <w:sz w:val="24"/>
          <w:szCs w:val="24"/>
        </w:rPr>
        <w:t>基金</w:t>
      </w:r>
      <w:r>
        <w:rPr>
          <w:rFonts w:ascii="宋体" w:hAnsi="宋体" w:hint="eastAsia"/>
          <w:sz w:val="24"/>
          <w:szCs w:val="24"/>
        </w:rPr>
        <w:t>销售</w:t>
      </w:r>
      <w:r>
        <w:rPr>
          <w:rFonts w:ascii="宋体" w:hAnsi="宋体" w:hint="eastAsia"/>
          <w:sz w:val="24"/>
          <w:szCs w:val="24"/>
        </w:rPr>
        <w:t>在销售业务上的合作，包括本公司旗下基金的开户、认购、申购、定期定额投资、转换等业务。</w:t>
      </w:r>
    </w:p>
    <w:p w:rsidR="00000000" w:rsidRDefault="0060511C">
      <w:pPr>
        <w:spacing w:line="360" w:lineRule="auto"/>
        <w:ind w:firstLineChars="200" w:firstLine="480"/>
        <w:rPr>
          <w:rFonts w:ascii="宋体" w:hAnsi="宋体" w:hint="eastAsia"/>
          <w:sz w:val="24"/>
          <w:szCs w:val="24"/>
        </w:rPr>
      </w:pPr>
      <w:r>
        <w:rPr>
          <w:rFonts w:ascii="宋体" w:hAnsi="宋体"/>
          <w:sz w:val="24"/>
          <w:szCs w:val="24"/>
        </w:rPr>
        <w:t>投资者通过</w:t>
      </w:r>
      <w:r>
        <w:rPr>
          <w:rFonts w:ascii="宋体" w:hAnsi="宋体" w:hint="eastAsia"/>
          <w:sz w:val="24"/>
          <w:szCs w:val="24"/>
        </w:rPr>
        <w:t>浦领</w:t>
      </w:r>
      <w:r>
        <w:rPr>
          <w:rFonts w:ascii="宋体" w:hAnsi="宋体" w:hint="eastAsia"/>
          <w:sz w:val="24"/>
          <w:szCs w:val="24"/>
        </w:rPr>
        <w:t>基金</w:t>
      </w:r>
      <w:r>
        <w:rPr>
          <w:rFonts w:ascii="宋体" w:hAnsi="宋体" w:hint="eastAsia"/>
          <w:sz w:val="24"/>
          <w:szCs w:val="24"/>
        </w:rPr>
        <w:t>销售</w:t>
      </w:r>
      <w:r>
        <w:rPr>
          <w:rFonts w:ascii="宋体" w:hAnsi="宋体"/>
          <w:sz w:val="24"/>
          <w:szCs w:val="24"/>
        </w:rPr>
        <w:t>持有的本公司基金份额，</w:t>
      </w:r>
      <w:r>
        <w:rPr>
          <w:rFonts w:ascii="宋体" w:hAnsi="宋体"/>
          <w:color w:val="000000"/>
          <w:sz w:val="24"/>
          <w:szCs w:val="24"/>
        </w:rPr>
        <w:t>请于</w:t>
      </w:r>
      <w:r>
        <w:rPr>
          <w:rFonts w:ascii="宋体" w:hAnsi="宋体"/>
          <w:color w:val="000000"/>
          <w:sz w:val="24"/>
          <w:szCs w:val="24"/>
        </w:rPr>
        <w:t>202</w:t>
      </w:r>
      <w:r>
        <w:rPr>
          <w:rFonts w:ascii="宋体" w:hAnsi="宋体" w:hint="eastAsia"/>
          <w:color w:val="000000"/>
          <w:sz w:val="24"/>
          <w:szCs w:val="24"/>
        </w:rPr>
        <w:t>5</w:t>
      </w:r>
      <w:r>
        <w:rPr>
          <w:rFonts w:ascii="宋体" w:hAnsi="宋体"/>
          <w:color w:val="000000"/>
          <w:sz w:val="24"/>
          <w:szCs w:val="24"/>
        </w:rPr>
        <w:t>年</w:t>
      </w:r>
      <w:r>
        <w:rPr>
          <w:rFonts w:ascii="宋体" w:hAnsi="宋体" w:hint="eastAsia"/>
          <w:color w:val="000000"/>
          <w:sz w:val="24"/>
          <w:szCs w:val="24"/>
        </w:rPr>
        <w:t>10</w:t>
      </w:r>
      <w:r>
        <w:rPr>
          <w:rFonts w:ascii="宋体" w:hAnsi="宋体"/>
          <w:color w:val="000000"/>
          <w:sz w:val="24"/>
          <w:szCs w:val="24"/>
        </w:rPr>
        <w:t>月</w:t>
      </w:r>
      <w:r>
        <w:rPr>
          <w:rFonts w:ascii="宋体" w:hAnsi="宋体" w:hint="eastAsia"/>
          <w:color w:val="000000"/>
          <w:sz w:val="24"/>
          <w:szCs w:val="24"/>
        </w:rPr>
        <w:t>17</w:t>
      </w:r>
      <w:r>
        <w:rPr>
          <w:rFonts w:ascii="宋体" w:hAnsi="宋体"/>
          <w:color w:val="000000"/>
          <w:sz w:val="24"/>
          <w:szCs w:val="24"/>
        </w:rPr>
        <w:t>日</w:t>
      </w:r>
      <w:r>
        <w:rPr>
          <w:rFonts w:ascii="宋体" w:hAnsi="宋体"/>
          <w:color w:val="000000"/>
          <w:sz w:val="24"/>
          <w:szCs w:val="24"/>
        </w:rPr>
        <w:t>15</w:t>
      </w:r>
      <w:r>
        <w:rPr>
          <w:rFonts w:ascii="宋体" w:hAnsi="宋体"/>
          <w:color w:val="000000"/>
          <w:sz w:val="24"/>
          <w:szCs w:val="24"/>
        </w:rPr>
        <w:t>点之前自行办理基金份额转托管或赎回业务</w:t>
      </w:r>
      <w:r>
        <w:rPr>
          <w:rFonts w:ascii="宋体" w:hAnsi="宋体"/>
          <w:sz w:val="24"/>
          <w:szCs w:val="24"/>
        </w:rPr>
        <w:t>。</w:t>
      </w:r>
      <w:r>
        <w:rPr>
          <w:rFonts w:ascii="宋体" w:hAnsi="宋体" w:hint="eastAsia"/>
          <w:sz w:val="24"/>
          <w:szCs w:val="24"/>
        </w:rPr>
        <w:t>如未在前述时间及时办理，本公司将直接为投资者办理存量份额转至</w:t>
      </w:r>
      <w:r>
        <w:rPr>
          <w:rFonts w:ascii="宋体" w:hAnsi="宋体" w:hint="eastAsia"/>
          <w:sz w:val="24"/>
          <w:szCs w:val="24"/>
        </w:rPr>
        <w:t>本公司直销平台的相关业务。</w:t>
      </w:r>
      <w:r>
        <w:rPr>
          <w:rFonts w:ascii="宋体" w:hAnsi="宋体"/>
          <w:sz w:val="24"/>
          <w:szCs w:val="24"/>
        </w:rPr>
        <w:t>敬请投资者妥善做好安排</w:t>
      </w:r>
      <w:r>
        <w:rPr>
          <w:rFonts w:ascii="宋体" w:hAnsi="宋体" w:hint="eastAsia"/>
          <w:sz w:val="24"/>
          <w:szCs w:val="24"/>
        </w:rPr>
        <w:t>，后续投资者可通过本公司直销平台按照本公司的相关业务规则办理基金份额查询及交易等相关业务。</w:t>
      </w:r>
    </w:p>
    <w:p w:rsidR="00000000" w:rsidRDefault="0060511C">
      <w:pPr>
        <w:spacing w:line="360" w:lineRule="auto"/>
        <w:ind w:firstLineChars="200" w:firstLine="480"/>
        <w:jc w:val="left"/>
        <w:rPr>
          <w:rFonts w:ascii="宋体" w:hAnsi="宋体" w:hint="eastAsia"/>
          <w:sz w:val="24"/>
          <w:szCs w:val="24"/>
        </w:rPr>
      </w:pPr>
    </w:p>
    <w:p w:rsidR="00000000" w:rsidRDefault="0060511C">
      <w:pPr>
        <w:spacing w:line="360" w:lineRule="auto"/>
        <w:ind w:firstLineChars="200" w:firstLine="480"/>
        <w:jc w:val="left"/>
        <w:rPr>
          <w:rFonts w:ascii="宋体" w:hAnsi="宋体" w:hint="eastAsia"/>
          <w:sz w:val="24"/>
          <w:szCs w:val="24"/>
        </w:rPr>
      </w:pPr>
      <w:r>
        <w:rPr>
          <w:rFonts w:ascii="宋体" w:hAnsi="宋体" w:hint="eastAsia"/>
          <w:sz w:val="24"/>
          <w:szCs w:val="24"/>
        </w:rPr>
        <w:t>投资者也可以通过以下途径咨询有关详情：</w:t>
      </w:r>
    </w:p>
    <w:p w:rsidR="00000000" w:rsidRDefault="0060511C">
      <w:pPr>
        <w:spacing w:line="360" w:lineRule="auto"/>
        <w:ind w:firstLineChars="200" w:firstLine="480"/>
        <w:jc w:val="left"/>
        <w:rPr>
          <w:rFonts w:ascii="宋体" w:hAnsi="宋体"/>
          <w:sz w:val="24"/>
          <w:szCs w:val="24"/>
        </w:rPr>
      </w:pPr>
      <w:r>
        <w:rPr>
          <w:rFonts w:ascii="宋体" w:hAnsi="宋体" w:hint="eastAsia"/>
          <w:sz w:val="24"/>
          <w:szCs w:val="24"/>
        </w:rPr>
        <w:t>嘉合基金管理有限公司</w:t>
      </w:r>
    </w:p>
    <w:p w:rsidR="00000000" w:rsidRDefault="0060511C">
      <w:pPr>
        <w:spacing w:line="360" w:lineRule="auto"/>
        <w:ind w:firstLineChars="200" w:firstLine="480"/>
        <w:jc w:val="left"/>
        <w:rPr>
          <w:rFonts w:ascii="宋体" w:hAnsi="宋体"/>
          <w:sz w:val="24"/>
          <w:szCs w:val="24"/>
        </w:rPr>
      </w:pPr>
      <w:r>
        <w:rPr>
          <w:rFonts w:ascii="宋体" w:hAnsi="宋体" w:hint="eastAsia"/>
          <w:sz w:val="24"/>
          <w:szCs w:val="24"/>
        </w:rPr>
        <w:t>客户服务电话：</w:t>
      </w:r>
      <w:r>
        <w:rPr>
          <w:rFonts w:ascii="宋体" w:hAnsi="宋体"/>
          <w:sz w:val="24"/>
          <w:szCs w:val="24"/>
        </w:rPr>
        <w:t xml:space="preserve">400-060-3299 </w:t>
      </w:r>
    </w:p>
    <w:p w:rsidR="00000000" w:rsidRDefault="0060511C">
      <w:pPr>
        <w:spacing w:line="360" w:lineRule="auto"/>
        <w:ind w:firstLineChars="200" w:firstLine="480"/>
        <w:jc w:val="left"/>
        <w:rPr>
          <w:rFonts w:ascii="宋体" w:hAnsi="宋体"/>
          <w:sz w:val="24"/>
          <w:szCs w:val="24"/>
        </w:rPr>
      </w:pPr>
      <w:r>
        <w:rPr>
          <w:rFonts w:ascii="宋体" w:hAnsi="宋体" w:hint="eastAsia"/>
          <w:sz w:val="24"/>
          <w:szCs w:val="24"/>
        </w:rPr>
        <w:t>公司网址：</w:t>
      </w:r>
      <w:hyperlink r:id="rId6" w:history="1">
        <w:r>
          <w:rPr>
            <w:rStyle w:val="a8"/>
            <w:rFonts w:ascii="宋体" w:hAnsi="宋体"/>
            <w:sz w:val="24"/>
            <w:szCs w:val="24"/>
          </w:rPr>
          <w:t>www.haoamc.com</w:t>
        </w:r>
      </w:hyperlink>
    </w:p>
    <w:p w:rsidR="00000000" w:rsidRDefault="0060511C">
      <w:pPr>
        <w:spacing w:line="360" w:lineRule="auto"/>
        <w:ind w:firstLineChars="200" w:firstLine="480"/>
        <w:jc w:val="left"/>
        <w:rPr>
          <w:rFonts w:ascii="宋体" w:hAnsi="宋体"/>
          <w:sz w:val="24"/>
          <w:szCs w:val="24"/>
        </w:rPr>
      </w:pPr>
    </w:p>
    <w:p w:rsidR="00000000" w:rsidRDefault="0060511C">
      <w:pPr>
        <w:spacing w:line="360" w:lineRule="auto"/>
        <w:ind w:firstLineChars="200" w:firstLine="480"/>
        <w:rPr>
          <w:rFonts w:ascii="宋体" w:hAnsi="宋体"/>
          <w:sz w:val="24"/>
          <w:szCs w:val="24"/>
        </w:rPr>
      </w:pPr>
      <w:r>
        <w:rPr>
          <w:rFonts w:ascii="宋体" w:hAnsi="宋体" w:hint="eastAsia"/>
          <w:sz w:val="24"/>
          <w:szCs w:val="24"/>
        </w:rPr>
        <w:t>风险提示：本公司承诺以诚实信用、勤勉尽责的原则管理和运用基金资产，但不保证基金一定盈利，也不保证最低收益。敬请投资者注意投资风险。</w:t>
      </w:r>
    </w:p>
    <w:p w:rsidR="00000000" w:rsidRDefault="0060511C">
      <w:pPr>
        <w:spacing w:line="360" w:lineRule="auto"/>
        <w:ind w:firstLineChars="200" w:firstLine="480"/>
        <w:jc w:val="left"/>
        <w:rPr>
          <w:rFonts w:ascii="宋体" w:hAnsi="宋体" w:hint="eastAsia"/>
          <w:sz w:val="24"/>
          <w:szCs w:val="24"/>
        </w:rPr>
      </w:pPr>
    </w:p>
    <w:p w:rsidR="00000000" w:rsidRDefault="0060511C">
      <w:pPr>
        <w:spacing w:line="360" w:lineRule="auto"/>
        <w:ind w:firstLineChars="200" w:firstLine="480"/>
        <w:jc w:val="left"/>
        <w:rPr>
          <w:rFonts w:ascii="宋体" w:hAnsi="宋体" w:hint="eastAsia"/>
          <w:sz w:val="24"/>
          <w:szCs w:val="24"/>
        </w:rPr>
      </w:pPr>
      <w:r>
        <w:rPr>
          <w:rFonts w:ascii="宋体" w:hAnsi="宋体" w:hint="eastAsia"/>
          <w:sz w:val="24"/>
          <w:szCs w:val="24"/>
        </w:rPr>
        <w:t>特此公告。</w:t>
      </w:r>
    </w:p>
    <w:p w:rsidR="00000000" w:rsidRDefault="0060511C">
      <w:pPr>
        <w:widowControl/>
        <w:shd w:val="clear" w:color="auto" w:fill="FFFFFF"/>
        <w:jc w:val="right"/>
        <w:rPr>
          <w:rFonts w:ascii="宋体" w:hAnsi="宋体" w:cs="宋体"/>
          <w:color w:val="000000"/>
          <w:kern w:val="0"/>
          <w:sz w:val="24"/>
          <w:szCs w:val="24"/>
        </w:rPr>
      </w:pPr>
    </w:p>
    <w:p w:rsidR="00000000" w:rsidRDefault="0060511C">
      <w:pPr>
        <w:widowControl/>
        <w:shd w:val="clear" w:color="auto" w:fill="FFFFFF"/>
        <w:jc w:val="right"/>
        <w:rPr>
          <w:rFonts w:ascii="宋体" w:hAnsi="宋体" w:cs="宋体"/>
          <w:color w:val="000000"/>
          <w:kern w:val="0"/>
          <w:sz w:val="24"/>
          <w:szCs w:val="24"/>
        </w:rPr>
      </w:pPr>
      <w:r>
        <w:rPr>
          <w:rFonts w:ascii="宋体" w:hAnsi="宋体" w:cs="宋体" w:hint="eastAsia"/>
          <w:color w:val="000000"/>
          <w:kern w:val="0"/>
          <w:sz w:val="24"/>
          <w:szCs w:val="24"/>
        </w:rPr>
        <w:t>嘉合基金管理有限公司</w:t>
      </w:r>
    </w:p>
    <w:p w:rsidR="00000000" w:rsidRDefault="0060511C">
      <w:pPr>
        <w:widowControl/>
        <w:shd w:val="clear" w:color="auto" w:fill="FFFFFF"/>
        <w:jc w:val="right"/>
        <w:rPr>
          <w:rFonts w:ascii="宋体" w:hAnsi="宋体" w:cs="宋体"/>
          <w:color w:val="000000"/>
          <w:kern w:val="0"/>
          <w:sz w:val="24"/>
          <w:szCs w:val="24"/>
        </w:rPr>
      </w:pPr>
    </w:p>
    <w:p w:rsidR="00000000" w:rsidRDefault="0060511C">
      <w:pPr>
        <w:widowControl/>
        <w:shd w:val="clear" w:color="auto" w:fill="FFFFFF"/>
        <w:jc w:val="right"/>
        <w:rPr>
          <w:rFonts w:ascii="宋体" w:hAnsi="宋体" w:cs="宋体" w:hint="eastAsia"/>
          <w:color w:val="333333"/>
          <w:kern w:val="0"/>
          <w:sz w:val="24"/>
          <w:szCs w:val="24"/>
        </w:rPr>
      </w:pPr>
      <w:r>
        <w:rPr>
          <w:rFonts w:ascii="宋体" w:hAnsi="宋体" w:cs="宋体"/>
          <w:color w:val="333333"/>
          <w:kern w:val="0"/>
          <w:sz w:val="24"/>
          <w:szCs w:val="24"/>
        </w:rPr>
        <w:t>202</w:t>
      </w:r>
      <w:r>
        <w:rPr>
          <w:rFonts w:ascii="宋体" w:hAnsi="宋体" w:cs="宋体" w:hint="eastAsia"/>
          <w:color w:val="333333"/>
          <w:kern w:val="0"/>
          <w:sz w:val="24"/>
          <w:szCs w:val="24"/>
        </w:rPr>
        <w:t>5</w:t>
      </w:r>
      <w:r>
        <w:rPr>
          <w:rFonts w:ascii="宋体" w:hAnsi="宋体" w:cs="宋体" w:hint="eastAsia"/>
          <w:color w:val="333333"/>
          <w:kern w:val="0"/>
          <w:sz w:val="24"/>
          <w:szCs w:val="24"/>
        </w:rPr>
        <w:t>年</w:t>
      </w:r>
      <w:r>
        <w:rPr>
          <w:rFonts w:ascii="宋体" w:hAnsi="宋体" w:cs="宋体" w:hint="eastAsia"/>
          <w:color w:val="333333"/>
          <w:kern w:val="0"/>
          <w:sz w:val="24"/>
          <w:szCs w:val="24"/>
        </w:rPr>
        <w:t>10</w:t>
      </w:r>
      <w:r>
        <w:rPr>
          <w:rFonts w:ascii="宋体" w:hAnsi="宋体" w:cs="宋体" w:hint="eastAsia"/>
          <w:color w:val="333333"/>
          <w:kern w:val="0"/>
          <w:sz w:val="24"/>
          <w:szCs w:val="24"/>
        </w:rPr>
        <w:t>月</w:t>
      </w:r>
      <w:r>
        <w:rPr>
          <w:rFonts w:ascii="宋体" w:hAnsi="宋体" w:cs="宋体" w:hint="eastAsia"/>
          <w:color w:val="333333"/>
          <w:kern w:val="0"/>
          <w:sz w:val="24"/>
          <w:szCs w:val="24"/>
        </w:rPr>
        <w:t>16</w:t>
      </w:r>
      <w:r>
        <w:rPr>
          <w:rFonts w:ascii="宋体" w:hAnsi="宋体" w:cs="宋体" w:hint="eastAsia"/>
          <w:color w:val="333333"/>
          <w:kern w:val="0"/>
          <w:sz w:val="24"/>
          <w:szCs w:val="24"/>
        </w:rPr>
        <w:t>日</w:t>
      </w:r>
    </w:p>
    <w:p w:rsidR="00000000" w:rsidRDefault="0060511C">
      <w:pPr>
        <w:spacing w:line="360" w:lineRule="auto"/>
        <w:jc w:val="left"/>
        <w:rPr>
          <w:sz w:val="24"/>
          <w:szCs w:val="24"/>
        </w:rPr>
      </w:pPr>
      <w:bookmarkStart w:id="0" w:name="_GoBack"/>
      <w:bookmarkEnd w:id="0"/>
    </w:p>
    <w:sectPr w:rsidR="0000000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0511C">
      <w:pPr>
        <w:rPr>
          <w:sz w:val="18"/>
        </w:rPr>
      </w:pPr>
    </w:p>
  </w:endnote>
  <w:endnote w:type="continuationSeparator" w:id="0">
    <w:p w:rsidR="00000000" w:rsidRDefault="0060511C">
      <w:pPr>
        <w:rPr>
          <w:sz w:val="18"/>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0511C">
      <w:pPr>
        <w:rPr>
          <w:sz w:val="18"/>
        </w:rPr>
      </w:pPr>
    </w:p>
  </w:footnote>
  <w:footnote w:type="continuationSeparator" w:id="0">
    <w:p w:rsidR="00000000" w:rsidRDefault="0060511C">
      <w:pPr>
        <w:rPr>
          <w:sz w:val="18"/>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GViZjc3OWRlYzMzNTBmNDcwNzQzZTViMjNjNGJjZmEifQ=="/>
  </w:docVars>
  <w:rsids>
    <w:rsidRoot w:val="00683541"/>
    <w:rsid w:val="0002577D"/>
    <w:rsid w:val="00032E2B"/>
    <w:rsid w:val="00041988"/>
    <w:rsid w:val="00043B3B"/>
    <w:rsid w:val="00052DD1"/>
    <w:rsid w:val="00083847"/>
    <w:rsid w:val="00084C92"/>
    <w:rsid w:val="000C0D8A"/>
    <w:rsid w:val="000E1FB1"/>
    <w:rsid w:val="000F1531"/>
    <w:rsid w:val="00106659"/>
    <w:rsid w:val="00107E74"/>
    <w:rsid w:val="00116388"/>
    <w:rsid w:val="001426B7"/>
    <w:rsid w:val="0017705D"/>
    <w:rsid w:val="001A4690"/>
    <w:rsid w:val="001A6600"/>
    <w:rsid w:val="001C08AB"/>
    <w:rsid w:val="001C231F"/>
    <w:rsid w:val="001C5BB5"/>
    <w:rsid w:val="001E0968"/>
    <w:rsid w:val="001F1363"/>
    <w:rsid w:val="00202168"/>
    <w:rsid w:val="00203BBA"/>
    <w:rsid w:val="0022369F"/>
    <w:rsid w:val="002460D2"/>
    <w:rsid w:val="0029199A"/>
    <w:rsid w:val="00295441"/>
    <w:rsid w:val="002A20C2"/>
    <w:rsid w:val="002A4E9E"/>
    <w:rsid w:val="002B2FD8"/>
    <w:rsid w:val="002C3547"/>
    <w:rsid w:val="002E1ACE"/>
    <w:rsid w:val="002F381F"/>
    <w:rsid w:val="0036773E"/>
    <w:rsid w:val="0038682F"/>
    <w:rsid w:val="00387851"/>
    <w:rsid w:val="003D03F5"/>
    <w:rsid w:val="00407CD7"/>
    <w:rsid w:val="00410E52"/>
    <w:rsid w:val="004176FB"/>
    <w:rsid w:val="004475CC"/>
    <w:rsid w:val="004C1231"/>
    <w:rsid w:val="004D138E"/>
    <w:rsid w:val="004E7D8B"/>
    <w:rsid w:val="004F26B7"/>
    <w:rsid w:val="00587306"/>
    <w:rsid w:val="005907CE"/>
    <w:rsid w:val="005A0802"/>
    <w:rsid w:val="005D1C70"/>
    <w:rsid w:val="0060511C"/>
    <w:rsid w:val="006157C9"/>
    <w:rsid w:val="00621A3F"/>
    <w:rsid w:val="0062331E"/>
    <w:rsid w:val="00683541"/>
    <w:rsid w:val="00686EBC"/>
    <w:rsid w:val="00691ED4"/>
    <w:rsid w:val="006C3D00"/>
    <w:rsid w:val="00717FC4"/>
    <w:rsid w:val="00730BBD"/>
    <w:rsid w:val="00741859"/>
    <w:rsid w:val="00751C33"/>
    <w:rsid w:val="007A5552"/>
    <w:rsid w:val="007A5B1E"/>
    <w:rsid w:val="007D7CB4"/>
    <w:rsid w:val="00800614"/>
    <w:rsid w:val="0081459C"/>
    <w:rsid w:val="00825C48"/>
    <w:rsid w:val="00841741"/>
    <w:rsid w:val="00866AD5"/>
    <w:rsid w:val="00870B76"/>
    <w:rsid w:val="00880AC8"/>
    <w:rsid w:val="00896C72"/>
    <w:rsid w:val="008A08C5"/>
    <w:rsid w:val="008A1C8C"/>
    <w:rsid w:val="008A2F52"/>
    <w:rsid w:val="008B05FA"/>
    <w:rsid w:val="008E187B"/>
    <w:rsid w:val="00913F56"/>
    <w:rsid w:val="00920628"/>
    <w:rsid w:val="00920F18"/>
    <w:rsid w:val="009258C5"/>
    <w:rsid w:val="00940795"/>
    <w:rsid w:val="00961AE7"/>
    <w:rsid w:val="009900F4"/>
    <w:rsid w:val="00991245"/>
    <w:rsid w:val="009955E7"/>
    <w:rsid w:val="009B6A63"/>
    <w:rsid w:val="009C2612"/>
    <w:rsid w:val="009E4DD5"/>
    <w:rsid w:val="009F5ADA"/>
    <w:rsid w:val="00A335BB"/>
    <w:rsid w:val="00A4360B"/>
    <w:rsid w:val="00A44B90"/>
    <w:rsid w:val="00A52C9E"/>
    <w:rsid w:val="00A675AE"/>
    <w:rsid w:val="00A753BB"/>
    <w:rsid w:val="00AA1D60"/>
    <w:rsid w:val="00AB157A"/>
    <w:rsid w:val="00AC4C7E"/>
    <w:rsid w:val="00AC542A"/>
    <w:rsid w:val="00AE4E63"/>
    <w:rsid w:val="00B10B32"/>
    <w:rsid w:val="00B15F0C"/>
    <w:rsid w:val="00B33342"/>
    <w:rsid w:val="00B72F3E"/>
    <w:rsid w:val="00B8105F"/>
    <w:rsid w:val="00BC46A3"/>
    <w:rsid w:val="00BD2185"/>
    <w:rsid w:val="00BD64A1"/>
    <w:rsid w:val="00BE4E90"/>
    <w:rsid w:val="00BF116B"/>
    <w:rsid w:val="00C224A4"/>
    <w:rsid w:val="00C253DB"/>
    <w:rsid w:val="00C4336F"/>
    <w:rsid w:val="00C82C73"/>
    <w:rsid w:val="00CE48FC"/>
    <w:rsid w:val="00CE7C08"/>
    <w:rsid w:val="00D00160"/>
    <w:rsid w:val="00D23991"/>
    <w:rsid w:val="00D52645"/>
    <w:rsid w:val="00D81800"/>
    <w:rsid w:val="00D96E37"/>
    <w:rsid w:val="00E110DF"/>
    <w:rsid w:val="00E35A1B"/>
    <w:rsid w:val="00E56E72"/>
    <w:rsid w:val="00E70494"/>
    <w:rsid w:val="00E83272"/>
    <w:rsid w:val="00E94555"/>
    <w:rsid w:val="00EA1E84"/>
    <w:rsid w:val="00EB20FF"/>
    <w:rsid w:val="00ED1029"/>
    <w:rsid w:val="00F004CD"/>
    <w:rsid w:val="00F27D82"/>
    <w:rsid w:val="00F30773"/>
    <w:rsid w:val="00F631F1"/>
    <w:rsid w:val="00F761AA"/>
    <w:rsid w:val="00F9491E"/>
    <w:rsid w:val="00FA32BC"/>
    <w:rsid w:val="00FA67D4"/>
    <w:rsid w:val="00FE7288"/>
    <w:rsid w:val="00FE7859"/>
    <w:rsid w:val="00FF112F"/>
    <w:rsid w:val="11595F5A"/>
    <w:rsid w:val="136479E4"/>
    <w:rsid w:val="2948483F"/>
    <w:rsid w:val="334D3D1C"/>
    <w:rsid w:val="353F72DC"/>
    <w:rsid w:val="50C80326"/>
    <w:rsid w:val="52B07B99"/>
    <w:rsid w:val="537F0105"/>
    <w:rsid w:val="54F07579"/>
    <w:rsid w:val="6CE36E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annotation subject" w:semiHidden="0"/>
    <w:lsdException w:name="Balloon Text" w:semiHidden="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kern w:val="2"/>
      <w:sz w:val="21"/>
      <w:szCs w:val="22"/>
    </w:rPr>
  </w:style>
  <w:style w:type="paragraph" w:styleId="a4">
    <w:name w:val="Balloon Text"/>
    <w:basedOn w:val="a"/>
    <w:link w:val="Char0"/>
    <w:uiPriority w:val="99"/>
    <w:unhideWhenUsed/>
    <w:rPr>
      <w:kern w:val="0"/>
      <w:sz w:val="18"/>
      <w:szCs w:val="18"/>
    </w:rPr>
  </w:style>
  <w:style w:type="character" w:customStyle="1" w:styleId="Char0">
    <w:name w:val="批注框文本 Char"/>
    <w:link w:val="a4"/>
    <w:uiPriority w:val="99"/>
    <w:semiHidden/>
    <w:rPr>
      <w:sz w:val="18"/>
      <w:szCs w:val="18"/>
    </w:rPr>
  </w:style>
  <w:style w:type="paragraph" w:styleId="a5">
    <w:name w:val="footer"/>
    <w:basedOn w:val="a"/>
    <w:link w:val="Char1"/>
    <w:uiPriority w:val="99"/>
    <w:unhideWhenUsed/>
    <w:pPr>
      <w:tabs>
        <w:tab w:val="center" w:pos="4153"/>
        <w:tab w:val="right" w:pos="8306"/>
      </w:tabs>
      <w:snapToGrid w:val="0"/>
      <w:jc w:val="left"/>
    </w:pPr>
    <w:rPr>
      <w:kern w:val="0"/>
      <w:sz w:val="18"/>
      <w:szCs w:val="18"/>
    </w:rPr>
  </w:style>
  <w:style w:type="character" w:customStyle="1" w:styleId="Char1">
    <w:name w:val="页脚 Char"/>
    <w:link w:val="a5"/>
    <w:uiPriority w:val="99"/>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6"/>
    <w:uiPriority w:val="99"/>
    <w:rPr>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b/>
      <w:bCs/>
      <w:kern w:val="2"/>
      <w:sz w:val="21"/>
      <w:szCs w:val="22"/>
    </w:rPr>
  </w:style>
  <w:style w:type="character" w:styleId="a8">
    <w:name w:val="Hyperlink"/>
    <w:uiPriority w:val="99"/>
    <w:unhideWhenUsed/>
    <w:rPr>
      <w:color w:val="0563C1"/>
      <w:u w:val="single"/>
    </w:rPr>
  </w:style>
  <w:style w:type="character" w:styleId="a9">
    <w:name w:val="annotation reference"/>
    <w:uiPriority w:val="99"/>
    <w:unhideWhenUsed/>
    <w:rPr>
      <w:sz w:val="21"/>
      <w:szCs w:val="21"/>
    </w:rPr>
  </w:style>
  <w:style w:type="paragraph" w:styleId="aa">
    <w:name w:val="Revision"/>
    <w:uiPriority w:val="99"/>
    <w:unhideWhenUsed/>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oamc.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4</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dc:creator>
  <cp:keywords/>
  <cp:lastModifiedBy>ZHONGM</cp:lastModifiedBy>
  <cp:revision>2</cp:revision>
  <dcterms:created xsi:type="dcterms:W3CDTF">2025-10-15T16:01:00Z</dcterms:created>
  <dcterms:modified xsi:type="dcterms:W3CDTF">2025-10-15T16:01:00Z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8AB0DB58A8FC4EC9958B7F2621DD5C8D_13</vt:lpwstr>
  </property>
  <property fmtid="{D5CDD505-2E9C-101B-9397-08002B2CF9AE}" pid="4" name="KSOTemplateDocerSaveRecord">
    <vt:lpwstr>eyJoZGlkIjoiNGViZjc3OWRlYzMzNTBmNDcwNzQzZTViMjNjNGJjZmEiLCJ1c2VySWQiOiI2NDU0MDQzODUifQ==</vt:lpwstr>
  </property>
</Properties>
</file>