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DD" w:rsidRDefault="00800BA4">
      <w:pPr>
        <w:widowControl/>
        <w:spacing w:line="360" w:lineRule="auto"/>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泰信基金管理有限公司关于旗下部分基金新增东莞证券股份有限公司为销售机构并开通定投、转换业务的公告</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根据泰信基金管理有限公司（以下简称“本公司”）与东莞证券股份有限公司（以下简称“东莞证券”）签署的相关协议，自</w:t>
      </w:r>
      <w:r>
        <w:rPr>
          <w:rFonts w:ascii="华文仿宋" w:eastAsia="华文仿宋" w:hAnsi="华文仿宋"/>
          <w:sz w:val="28"/>
          <w:szCs w:val="28"/>
        </w:rPr>
        <w:t>202</w:t>
      </w:r>
      <w:r>
        <w:rPr>
          <w:rFonts w:ascii="华文仿宋" w:eastAsia="华文仿宋" w:hAnsi="华文仿宋" w:hint="eastAsia"/>
          <w:sz w:val="28"/>
          <w:szCs w:val="28"/>
        </w:rPr>
        <w:t>5</w:t>
      </w:r>
      <w:r>
        <w:rPr>
          <w:rFonts w:ascii="华文仿宋" w:eastAsia="华文仿宋" w:hAnsi="华文仿宋"/>
          <w:sz w:val="28"/>
          <w:szCs w:val="28"/>
        </w:rPr>
        <w:t>年</w:t>
      </w:r>
      <w:r w:rsidR="00285461">
        <w:rPr>
          <w:rFonts w:ascii="华文仿宋" w:eastAsia="华文仿宋" w:hAnsi="华文仿宋"/>
          <w:sz w:val="28"/>
          <w:szCs w:val="28"/>
        </w:rPr>
        <w:t>10</w:t>
      </w:r>
      <w:r>
        <w:rPr>
          <w:rFonts w:ascii="华文仿宋" w:eastAsia="华文仿宋" w:hAnsi="华文仿宋"/>
          <w:sz w:val="28"/>
          <w:szCs w:val="28"/>
        </w:rPr>
        <w:t>月</w:t>
      </w:r>
      <w:r w:rsidR="00285461">
        <w:rPr>
          <w:rFonts w:ascii="华文仿宋" w:eastAsia="华文仿宋" w:hAnsi="华文仿宋"/>
          <w:sz w:val="28"/>
          <w:szCs w:val="28"/>
        </w:rPr>
        <w:t>17</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sz w:val="28"/>
          <w:szCs w:val="28"/>
        </w:rPr>
        <w:t>本公司旗下部分开放式基金新增</w:t>
      </w:r>
      <w:r>
        <w:rPr>
          <w:rFonts w:ascii="华文仿宋" w:eastAsia="华文仿宋" w:hAnsi="华文仿宋" w:hint="eastAsia"/>
          <w:sz w:val="28"/>
          <w:szCs w:val="28"/>
        </w:rPr>
        <w:t>东莞证券</w:t>
      </w:r>
      <w:r>
        <w:rPr>
          <w:rFonts w:ascii="华文仿宋" w:eastAsia="华文仿宋" w:hAnsi="华文仿宋"/>
          <w:sz w:val="28"/>
          <w:szCs w:val="28"/>
        </w:rPr>
        <w:t>为销售机构，并开通定投、转换业务。</w:t>
      </w:r>
    </w:p>
    <w:p w:rsidR="002A4FDD" w:rsidRDefault="00800BA4">
      <w:pPr>
        <w:pStyle w:val="Default"/>
        <w:numPr>
          <w:ilvl w:val="0"/>
          <w:numId w:val="1"/>
        </w:numPr>
        <w:spacing w:line="360" w:lineRule="auto"/>
        <w:rPr>
          <w:rFonts w:ascii="华文仿宋" w:eastAsia="华文仿宋" w:hAnsi="华文仿宋"/>
          <w:sz w:val="28"/>
          <w:szCs w:val="28"/>
        </w:rPr>
      </w:pPr>
      <w:r>
        <w:rPr>
          <w:rFonts w:ascii="华文仿宋" w:eastAsia="华文仿宋" w:hAnsi="华文仿宋" w:hint="eastAsia"/>
          <w:sz w:val="28"/>
          <w:szCs w:val="28"/>
        </w:rPr>
        <w:t>新增销售基金范围及业务开通情况：</w:t>
      </w:r>
    </w:p>
    <w:tbl>
      <w:tblPr>
        <w:tblW w:w="8359" w:type="dxa"/>
        <w:tblLook w:val="04A0"/>
      </w:tblPr>
      <w:tblGrid>
        <w:gridCol w:w="2689"/>
        <w:gridCol w:w="2126"/>
        <w:gridCol w:w="1701"/>
        <w:gridCol w:w="1843"/>
      </w:tblGrid>
      <w:tr w:rsidR="003E6379" w:rsidRPr="00124014" w:rsidTr="00124014">
        <w:trPr>
          <w:trHeight w:val="288"/>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基金</w:t>
            </w:r>
            <w:r w:rsidR="00124014" w:rsidRPr="00124014">
              <w:rPr>
                <w:rFonts w:ascii="仿宋" w:eastAsia="仿宋" w:hAnsi="仿宋" w:cs="宋体" w:hint="eastAsia"/>
                <w:color w:val="000000"/>
                <w:kern w:val="0"/>
                <w:sz w:val="24"/>
                <w:szCs w:val="24"/>
              </w:rPr>
              <w:t>简</w:t>
            </w:r>
            <w:r w:rsidRPr="00124014">
              <w:rPr>
                <w:rFonts w:ascii="仿宋" w:eastAsia="仿宋" w:hAnsi="仿宋" w:cs="宋体" w:hint="eastAsia"/>
                <w:color w:val="000000"/>
                <w:kern w:val="0"/>
                <w:sz w:val="24"/>
                <w:szCs w:val="24"/>
              </w:rPr>
              <w:t>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基金代码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6379" w:rsidRPr="00124014" w:rsidRDefault="00124014" w:rsidP="003E6379">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是否开通</w:t>
            </w:r>
            <w:r w:rsidR="003E6379" w:rsidRPr="00124014">
              <w:rPr>
                <w:rFonts w:ascii="仿宋" w:eastAsia="仿宋" w:hAnsi="仿宋" w:cs="宋体" w:hint="eastAsia"/>
                <w:color w:val="000000"/>
                <w:kern w:val="0"/>
                <w:sz w:val="24"/>
                <w:szCs w:val="24"/>
              </w:rPr>
              <w:t>转换</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E6379" w:rsidRPr="00124014" w:rsidRDefault="00124014" w:rsidP="003E6379">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是否开通</w:t>
            </w:r>
            <w:r w:rsidR="003E6379" w:rsidRPr="00124014">
              <w:rPr>
                <w:rFonts w:ascii="仿宋" w:eastAsia="仿宋" w:hAnsi="仿宋" w:cs="宋体" w:hint="eastAsia"/>
                <w:color w:val="000000"/>
                <w:kern w:val="0"/>
                <w:sz w:val="24"/>
                <w:szCs w:val="24"/>
              </w:rPr>
              <w:t>定投</w:t>
            </w:r>
          </w:p>
        </w:tc>
      </w:tr>
      <w:tr w:rsidR="003E6379" w:rsidRPr="00124014" w:rsidTr="00124014">
        <w:trPr>
          <w:trHeight w:val="28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泰信优质生活混合</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290004</w:t>
            </w:r>
          </w:p>
        </w:tc>
        <w:tc>
          <w:tcPr>
            <w:tcW w:w="1701"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E1648E" w:rsidRPr="00124014" w:rsidTr="00124014">
        <w:trPr>
          <w:trHeight w:val="28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E1648E" w:rsidRPr="00124014" w:rsidRDefault="00E1648E" w:rsidP="00E1648E">
            <w:pPr>
              <w:widowControl/>
              <w:ind w:firstLineChars="100" w:firstLine="240"/>
              <w:jc w:val="left"/>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泰信债券增强收益</w:t>
            </w:r>
          </w:p>
        </w:tc>
        <w:tc>
          <w:tcPr>
            <w:tcW w:w="2126" w:type="dxa"/>
            <w:tcBorders>
              <w:top w:val="nil"/>
              <w:left w:val="nil"/>
              <w:bottom w:val="single" w:sz="4" w:space="0" w:color="auto"/>
              <w:right w:val="single" w:sz="4" w:space="0" w:color="auto"/>
            </w:tcBorders>
            <w:shd w:val="clear" w:color="auto" w:fill="auto"/>
            <w:vAlign w:val="center"/>
            <w:hideMark/>
          </w:tcPr>
          <w:p w:rsidR="00E1648E" w:rsidRPr="00124014" w:rsidRDefault="00E1648E" w:rsidP="00E1648E">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D类：022516</w:t>
            </w:r>
          </w:p>
        </w:tc>
        <w:tc>
          <w:tcPr>
            <w:tcW w:w="1701" w:type="dxa"/>
            <w:tcBorders>
              <w:top w:val="nil"/>
              <w:left w:val="nil"/>
              <w:bottom w:val="single" w:sz="4" w:space="0" w:color="auto"/>
              <w:right w:val="single" w:sz="4" w:space="0" w:color="auto"/>
            </w:tcBorders>
            <w:shd w:val="clear" w:color="auto" w:fill="auto"/>
            <w:vAlign w:val="center"/>
            <w:hideMark/>
          </w:tcPr>
          <w:p w:rsidR="00E1648E" w:rsidRPr="00124014" w:rsidRDefault="00E1648E" w:rsidP="00E1648E">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tcBorders>
              <w:top w:val="nil"/>
              <w:left w:val="nil"/>
              <w:bottom w:val="single" w:sz="4" w:space="0" w:color="auto"/>
              <w:right w:val="single" w:sz="4" w:space="0" w:color="auto"/>
            </w:tcBorders>
            <w:shd w:val="clear" w:color="auto" w:fill="auto"/>
            <w:vAlign w:val="center"/>
            <w:hideMark/>
          </w:tcPr>
          <w:p w:rsidR="00E1648E" w:rsidRPr="00124014" w:rsidRDefault="00E1648E" w:rsidP="00E1648E">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3E6379" w:rsidRPr="00124014" w:rsidTr="00124014">
        <w:trPr>
          <w:trHeight w:val="288"/>
        </w:trPr>
        <w:tc>
          <w:tcPr>
            <w:tcW w:w="2689"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泰信债券周期回报</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A类：290009</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C类：022078</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288"/>
        </w:trPr>
        <w:tc>
          <w:tcPr>
            <w:tcW w:w="2689"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D类：022079</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576"/>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泰信互联网+主题混合</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A074A8"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w:t>
            </w:r>
            <w:r w:rsidR="003E6379" w:rsidRPr="00124014">
              <w:rPr>
                <w:rFonts w:ascii="仿宋" w:eastAsia="仿宋" w:hAnsi="仿宋" w:cs="宋体" w:hint="eastAsia"/>
                <w:color w:val="000000"/>
                <w:kern w:val="0"/>
                <w:sz w:val="24"/>
                <w:szCs w:val="24"/>
              </w:rPr>
              <w:t>025637</w:t>
            </w:r>
          </w:p>
        </w:tc>
        <w:tc>
          <w:tcPr>
            <w:tcW w:w="1701"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F15BB9" w:rsidRPr="00124014" w:rsidTr="00CB7DE7">
        <w:trPr>
          <w:trHeight w:val="288"/>
        </w:trPr>
        <w:tc>
          <w:tcPr>
            <w:tcW w:w="2689" w:type="dxa"/>
            <w:vMerge w:val="restart"/>
            <w:tcBorders>
              <w:top w:val="nil"/>
              <w:left w:val="single" w:sz="4" w:space="0" w:color="auto"/>
              <w:bottom w:val="nil"/>
              <w:right w:val="single" w:sz="4" w:space="0" w:color="auto"/>
            </w:tcBorders>
            <w:shd w:val="clear" w:color="auto" w:fill="auto"/>
            <w:vAlign w:val="center"/>
            <w:hideMark/>
          </w:tcPr>
          <w:p w:rsidR="00F15BB9" w:rsidRPr="00124014" w:rsidRDefault="00F15BB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泰信智选成长</w:t>
            </w:r>
            <w:r w:rsidR="00CA1328" w:rsidRPr="00CA1328">
              <w:rPr>
                <w:rFonts w:ascii="仿宋" w:eastAsia="仿宋" w:hAnsi="仿宋" w:cs="宋体" w:hint="eastAsia"/>
                <w:color w:val="000000"/>
                <w:kern w:val="0"/>
                <w:sz w:val="24"/>
                <w:szCs w:val="24"/>
              </w:rPr>
              <w:t>灵活配置</w:t>
            </w:r>
            <w:r w:rsidRPr="00124014">
              <w:rPr>
                <w:rFonts w:ascii="仿宋" w:eastAsia="仿宋" w:hAnsi="仿宋" w:cs="宋体" w:hint="eastAsia"/>
                <w:color w:val="000000"/>
                <w:kern w:val="0"/>
                <w:sz w:val="24"/>
                <w:szCs w:val="24"/>
              </w:rPr>
              <w:t>混合</w:t>
            </w:r>
          </w:p>
        </w:tc>
        <w:tc>
          <w:tcPr>
            <w:tcW w:w="2126" w:type="dxa"/>
            <w:tcBorders>
              <w:top w:val="nil"/>
              <w:left w:val="nil"/>
              <w:bottom w:val="single" w:sz="4" w:space="0" w:color="auto"/>
              <w:right w:val="single" w:sz="4" w:space="0" w:color="auto"/>
            </w:tcBorders>
            <w:shd w:val="clear" w:color="auto" w:fill="auto"/>
            <w:vAlign w:val="center"/>
            <w:hideMark/>
          </w:tcPr>
          <w:p w:rsidR="00F15BB9" w:rsidRPr="00124014" w:rsidRDefault="00F15BB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A类：003333</w:t>
            </w:r>
          </w:p>
        </w:tc>
        <w:tc>
          <w:tcPr>
            <w:tcW w:w="1701" w:type="dxa"/>
            <w:vMerge w:val="restart"/>
            <w:tcBorders>
              <w:top w:val="nil"/>
              <w:left w:val="nil"/>
              <w:right w:val="single" w:sz="4" w:space="0" w:color="auto"/>
            </w:tcBorders>
            <w:shd w:val="clear" w:color="auto" w:fill="auto"/>
            <w:vAlign w:val="center"/>
            <w:hideMark/>
          </w:tcPr>
          <w:p w:rsidR="00F15BB9" w:rsidRPr="00124014" w:rsidRDefault="00F15BB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vMerge w:val="restart"/>
            <w:tcBorders>
              <w:top w:val="nil"/>
              <w:left w:val="nil"/>
              <w:right w:val="single" w:sz="4" w:space="0" w:color="auto"/>
            </w:tcBorders>
            <w:shd w:val="clear" w:color="auto" w:fill="auto"/>
            <w:vAlign w:val="center"/>
            <w:hideMark/>
          </w:tcPr>
          <w:p w:rsidR="00F15BB9" w:rsidRPr="00124014" w:rsidRDefault="00F15BB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F15BB9" w:rsidRPr="00124014" w:rsidTr="00CB7DE7">
        <w:trPr>
          <w:trHeight w:val="288"/>
        </w:trPr>
        <w:tc>
          <w:tcPr>
            <w:tcW w:w="2689" w:type="dxa"/>
            <w:vMerge/>
            <w:tcBorders>
              <w:top w:val="nil"/>
              <w:left w:val="single" w:sz="4" w:space="0" w:color="auto"/>
              <w:bottom w:val="nil"/>
              <w:right w:val="single" w:sz="4" w:space="0" w:color="auto"/>
            </w:tcBorders>
            <w:vAlign w:val="center"/>
            <w:hideMark/>
          </w:tcPr>
          <w:p w:rsidR="00F15BB9" w:rsidRPr="00124014" w:rsidRDefault="00F15BB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F15BB9" w:rsidRPr="00124014" w:rsidRDefault="00F15BB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C类：013266</w:t>
            </w:r>
          </w:p>
        </w:tc>
        <w:tc>
          <w:tcPr>
            <w:tcW w:w="1701" w:type="dxa"/>
            <w:vMerge/>
            <w:tcBorders>
              <w:left w:val="nil"/>
              <w:bottom w:val="single" w:sz="4" w:space="0" w:color="auto"/>
              <w:right w:val="single" w:sz="4" w:space="0" w:color="auto"/>
            </w:tcBorders>
            <w:shd w:val="clear" w:color="auto" w:fill="auto"/>
            <w:vAlign w:val="center"/>
          </w:tcPr>
          <w:p w:rsidR="00F15BB9" w:rsidRPr="00124014" w:rsidRDefault="00F15BB9" w:rsidP="003E6379">
            <w:pPr>
              <w:widowControl/>
              <w:jc w:val="center"/>
              <w:rPr>
                <w:rFonts w:ascii="仿宋" w:eastAsia="仿宋" w:hAnsi="仿宋" w:cs="宋体"/>
                <w:color w:val="000000"/>
                <w:kern w:val="0"/>
                <w:sz w:val="24"/>
                <w:szCs w:val="24"/>
              </w:rPr>
            </w:pPr>
          </w:p>
        </w:tc>
        <w:tc>
          <w:tcPr>
            <w:tcW w:w="1843" w:type="dxa"/>
            <w:vMerge/>
            <w:tcBorders>
              <w:left w:val="nil"/>
              <w:bottom w:val="single" w:sz="4" w:space="0" w:color="auto"/>
              <w:right w:val="single" w:sz="4" w:space="0" w:color="auto"/>
            </w:tcBorders>
            <w:shd w:val="clear" w:color="auto" w:fill="auto"/>
            <w:vAlign w:val="center"/>
          </w:tcPr>
          <w:p w:rsidR="00F15BB9" w:rsidRPr="00124014" w:rsidRDefault="00F15BB9" w:rsidP="003E6379">
            <w:pPr>
              <w:widowControl/>
              <w:jc w:val="center"/>
              <w:rPr>
                <w:rFonts w:ascii="仿宋" w:eastAsia="仿宋" w:hAnsi="仿宋" w:cs="宋体"/>
                <w:color w:val="000000"/>
                <w:kern w:val="0"/>
                <w:sz w:val="24"/>
                <w:szCs w:val="24"/>
              </w:rPr>
            </w:pPr>
          </w:p>
        </w:tc>
      </w:tr>
      <w:tr w:rsidR="003E6379" w:rsidRPr="00124014" w:rsidTr="00124014">
        <w:trPr>
          <w:trHeight w:val="288"/>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泰信低碳经济混合发起式</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A类：013469</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3E6379" w:rsidRPr="00124014" w:rsidTr="00124014">
        <w:trPr>
          <w:trHeight w:val="288"/>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C类：013470</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泰信汇利三个月定开债券</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A类：013743</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否</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C类：013744</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泰信均衡价值混合</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A类：013757</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C类：013758</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泰信景气驱动</w:t>
            </w:r>
            <w:r w:rsidR="00A074A8">
              <w:rPr>
                <w:rFonts w:ascii="仿宋" w:eastAsia="仿宋" w:hAnsi="仿宋" w:cs="宋体" w:hint="eastAsia"/>
                <w:color w:val="000000"/>
                <w:kern w:val="0"/>
                <w:sz w:val="24"/>
                <w:szCs w:val="24"/>
              </w:rPr>
              <w:t>1</w:t>
            </w:r>
            <w:r w:rsidR="00A074A8">
              <w:rPr>
                <w:rFonts w:ascii="仿宋" w:eastAsia="仿宋" w:hAnsi="仿宋" w:cs="宋体"/>
                <w:color w:val="000000"/>
                <w:kern w:val="0"/>
                <w:sz w:val="24"/>
                <w:szCs w:val="24"/>
              </w:rPr>
              <w:t>2</w:t>
            </w:r>
            <w:r w:rsidR="00A074A8">
              <w:rPr>
                <w:rFonts w:ascii="仿宋" w:eastAsia="仿宋" w:hAnsi="仿宋" w:cs="宋体" w:hint="eastAsia"/>
                <w:color w:val="000000"/>
                <w:kern w:val="0"/>
                <w:sz w:val="24"/>
                <w:szCs w:val="24"/>
              </w:rPr>
              <w:t>个月持有期</w:t>
            </w:r>
            <w:r w:rsidRPr="00124014">
              <w:rPr>
                <w:rFonts w:ascii="仿宋" w:eastAsia="仿宋" w:hAnsi="仿宋" w:cs="宋体" w:hint="eastAsia"/>
                <w:color w:val="000000"/>
                <w:kern w:val="0"/>
                <w:sz w:val="24"/>
                <w:szCs w:val="24"/>
              </w:rPr>
              <w:t>混合</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A类：011273</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C类：011274</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泰信鑫瑞债券发起式</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A类：013614</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C类：013615</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泰信添利30天持有期债券发起式</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A类：014195</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C类：014196</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泰信汇盈债券</w:t>
            </w: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A类：014502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C类：014503</w:t>
            </w:r>
          </w:p>
        </w:tc>
        <w:tc>
          <w:tcPr>
            <w:tcW w:w="1701"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泰信汇鑫三个月定开债券</w:t>
            </w: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A类：015375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否</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C类：015376</w:t>
            </w:r>
          </w:p>
        </w:tc>
        <w:tc>
          <w:tcPr>
            <w:tcW w:w="1701"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泰信优势领航混合</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A类：015034</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C类：023602</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276"/>
        </w:trPr>
        <w:tc>
          <w:tcPr>
            <w:tcW w:w="2689"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D类：023603</w:t>
            </w:r>
          </w:p>
        </w:tc>
        <w:tc>
          <w:tcPr>
            <w:tcW w:w="1701"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泰信添鑫中短债债券</w:t>
            </w: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A类：016239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C类：016240</w:t>
            </w:r>
          </w:p>
        </w:tc>
        <w:tc>
          <w:tcPr>
            <w:tcW w:w="1701"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泰信添益90天持有期债券</w:t>
            </w: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A类：019762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C类：019763</w:t>
            </w:r>
          </w:p>
        </w:tc>
        <w:tc>
          <w:tcPr>
            <w:tcW w:w="1701"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泰信添安增利九个月持有期债券</w:t>
            </w: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A类：020746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C类：020747</w:t>
            </w:r>
          </w:p>
        </w:tc>
        <w:tc>
          <w:tcPr>
            <w:tcW w:w="1701"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r>
      <w:tr w:rsidR="003E6379" w:rsidRPr="00124014" w:rsidTr="00124014">
        <w:trPr>
          <w:trHeight w:val="576"/>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泰信中证同业存单AAA</w:t>
            </w:r>
            <w:r w:rsidRPr="00124014">
              <w:rPr>
                <w:rFonts w:ascii="仿宋" w:eastAsia="仿宋" w:hAnsi="仿宋" w:cs="宋体" w:hint="eastAsia"/>
                <w:color w:val="000000"/>
                <w:kern w:val="0"/>
                <w:sz w:val="24"/>
                <w:szCs w:val="24"/>
              </w:rPr>
              <w:lastRenderedPageBreak/>
              <w:t>指数7天持有期</w:t>
            </w:r>
          </w:p>
        </w:tc>
        <w:tc>
          <w:tcPr>
            <w:tcW w:w="2126" w:type="dxa"/>
            <w:tcBorders>
              <w:top w:val="nil"/>
              <w:left w:val="nil"/>
              <w:bottom w:val="single" w:sz="4" w:space="0" w:color="auto"/>
              <w:right w:val="single" w:sz="4" w:space="0" w:color="auto"/>
            </w:tcBorders>
            <w:shd w:val="clear" w:color="auto" w:fill="auto"/>
            <w:noWrap/>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lastRenderedPageBreak/>
              <w:t>020088</w:t>
            </w:r>
          </w:p>
        </w:tc>
        <w:tc>
          <w:tcPr>
            <w:tcW w:w="1701"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lastRenderedPageBreak/>
              <w:t>泰信智选量化选股混合发起式</w:t>
            </w: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A类：013033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C类：013034</w:t>
            </w:r>
          </w:p>
        </w:tc>
        <w:tc>
          <w:tcPr>
            <w:tcW w:w="1701"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r>
      <w:tr w:rsidR="003E6379" w:rsidRPr="00124014" w:rsidTr="00124014">
        <w:trPr>
          <w:trHeight w:val="288"/>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泰信中证A500指数增强</w:t>
            </w: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A类：023981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kern w:val="0"/>
                <w:sz w:val="24"/>
                <w:szCs w:val="24"/>
              </w:rPr>
            </w:pPr>
            <w:r w:rsidRPr="00124014">
              <w:rPr>
                <w:rFonts w:ascii="仿宋" w:eastAsia="仿宋" w:hAnsi="仿宋" w:cs="宋体" w:hint="eastAsia"/>
                <w:kern w:val="0"/>
                <w:sz w:val="24"/>
                <w:szCs w:val="24"/>
              </w:rPr>
              <w:t>是</w:t>
            </w:r>
          </w:p>
        </w:tc>
      </w:tr>
      <w:tr w:rsidR="003E6379" w:rsidRPr="00124014" w:rsidTr="00124014">
        <w:trPr>
          <w:trHeight w:val="288"/>
        </w:trPr>
        <w:tc>
          <w:tcPr>
            <w:tcW w:w="2689"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C类：023982</w:t>
            </w:r>
          </w:p>
        </w:tc>
        <w:tc>
          <w:tcPr>
            <w:tcW w:w="1701"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3E6379" w:rsidRPr="00124014" w:rsidRDefault="003E6379" w:rsidP="003E6379">
            <w:pPr>
              <w:widowControl/>
              <w:jc w:val="left"/>
              <w:rPr>
                <w:rFonts w:ascii="仿宋" w:eastAsia="仿宋" w:hAnsi="仿宋" w:cs="宋体"/>
                <w:kern w:val="0"/>
                <w:sz w:val="24"/>
                <w:szCs w:val="24"/>
              </w:rPr>
            </w:pPr>
          </w:p>
        </w:tc>
      </w:tr>
      <w:tr w:rsidR="003E6379" w:rsidRPr="00124014" w:rsidTr="00124014">
        <w:trPr>
          <w:trHeight w:val="28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泰信中证200指数</w:t>
            </w:r>
          </w:p>
        </w:tc>
        <w:tc>
          <w:tcPr>
            <w:tcW w:w="2126"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290010</w:t>
            </w:r>
          </w:p>
        </w:tc>
        <w:tc>
          <w:tcPr>
            <w:tcW w:w="1701"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c>
          <w:tcPr>
            <w:tcW w:w="1843" w:type="dxa"/>
            <w:tcBorders>
              <w:top w:val="nil"/>
              <w:left w:val="nil"/>
              <w:bottom w:val="single" w:sz="4" w:space="0" w:color="auto"/>
              <w:right w:val="single" w:sz="4" w:space="0" w:color="auto"/>
            </w:tcBorders>
            <w:shd w:val="clear" w:color="auto" w:fill="auto"/>
            <w:vAlign w:val="center"/>
            <w:hideMark/>
          </w:tcPr>
          <w:p w:rsidR="003E6379" w:rsidRPr="00124014" w:rsidRDefault="003E6379" w:rsidP="003E6379">
            <w:pPr>
              <w:widowControl/>
              <w:jc w:val="center"/>
              <w:rPr>
                <w:rFonts w:ascii="仿宋" w:eastAsia="仿宋" w:hAnsi="仿宋" w:cs="宋体"/>
                <w:color w:val="000000"/>
                <w:kern w:val="0"/>
                <w:sz w:val="24"/>
                <w:szCs w:val="24"/>
              </w:rPr>
            </w:pPr>
            <w:r w:rsidRPr="00124014">
              <w:rPr>
                <w:rFonts w:ascii="仿宋" w:eastAsia="仿宋" w:hAnsi="仿宋" w:cs="宋体" w:hint="eastAsia"/>
                <w:color w:val="000000"/>
                <w:kern w:val="0"/>
                <w:sz w:val="24"/>
                <w:szCs w:val="24"/>
              </w:rPr>
              <w:t>是</w:t>
            </w:r>
          </w:p>
        </w:tc>
      </w:tr>
    </w:tbl>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二 、基金转换业务规则</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2.基金转换只能在同一销售机构进行。转换的两只基金必须都是该销售人代理的同一基金管理人管理的、在同一注册登记人处注册且已开通转换业务的基金。</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3.投资者办理基金转换业务时，转出方的基金必须处于可赎回状态，转入方的基金必须处于可申购状态。</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5.基金分红时再投资的份额可在权益登记日的T＋2日提交基金转换申请。</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6.基金转换采取未知价法，即以申请受理当日各转出、转入基金的单位资产净值为基础进行计算。</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7. 基金转换费用由转出基金的赎回费、转出和转入基金的申购费补差构成。</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8.基金转换的具体计算公式如下：</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ab/>
        <w:t>①转出金额=转出基金份额×转出基金T日基金份额净值</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②转出基金赎回费用=转出金额×转出基金赎回费率</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③转入金额=转出金额-转出基金赎回费用</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④转入基金申购费=转入金额/(1+转入基金申购费率)×转入基金申购费率</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,则转入基金申购费=转入基金固定申购费</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⑤转出基金申购费=转入金额/(1+转出基金申购费率)×转出基金申购费率</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若转出基金申购费适用固定费用,则转出基金申购费=转出基金固定申购费</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 xml:space="preserve">=Max{(转入基金申购费-转出基金申购费)，0} </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=转入金额-补差费用</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=净转入金额/转入基金T日基金份额净值</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:某投资者欲将10万份泰信周期回报债券型证券投资基金</w:t>
      </w:r>
      <w:r>
        <w:rPr>
          <w:rFonts w:ascii="华文仿宋" w:eastAsia="华文仿宋" w:hAnsi="华文仿宋" w:hint="eastAsia"/>
          <w:sz w:val="28"/>
          <w:szCs w:val="28"/>
        </w:rPr>
        <w:t>A</w:t>
      </w:r>
      <w:r>
        <w:rPr>
          <w:rFonts w:ascii="华文仿宋" w:eastAsia="华文仿宋" w:hAnsi="华文仿宋"/>
          <w:sz w:val="28"/>
          <w:szCs w:val="28"/>
        </w:rPr>
        <w:t>（以下简称“泰信周期回报债券</w:t>
      </w:r>
      <w:r>
        <w:rPr>
          <w:rFonts w:ascii="华文仿宋" w:eastAsia="华文仿宋" w:hAnsi="华文仿宋" w:hint="eastAsia"/>
          <w:sz w:val="28"/>
          <w:szCs w:val="28"/>
        </w:rPr>
        <w:t>A</w:t>
      </w:r>
      <w:r>
        <w:rPr>
          <w:rFonts w:ascii="华文仿宋" w:eastAsia="华文仿宋" w:hAnsi="华文仿宋"/>
          <w:sz w:val="28"/>
          <w:szCs w:val="28"/>
        </w:rPr>
        <w:t>”）（持有7天-365天内）转换为泰信中小盘精选混合型证券投资基金（以下简称“泰信中小盘精选混合”）。泰信周期回报债券</w:t>
      </w:r>
      <w:r>
        <w:rPr>
          <w:rFonts w:ascii="华文仿宋" w:eastAsia="华文仿宋" w:hAnsi="华文仿宋" w:hint="eastAsia"/>
          <w:sz w:val="28"/>
          <w:szCs w:val="28"/>
        </w:rPr>
        <w:t>A</w:t>
      </w:r>
      <w:r>
        <w:rPr>
          <w:rFonts w:ascii="华文仿宋" w:eastAsia="华文仿宋" w:hAnsi="华文仿宋"/>
          <w:sz w:val="28"/>
          <w:szCs w:val="28"/>
        </w:rPr>
        <w:t>对应申请日份额净值假设为1.020</w:t>
      </w:r>
      <w:r w:rsidR="00E75888">
        <w:rPr>
          <w:rFonts w:ascii="华文仿宋" w:eastAsia="华文仿宋" w:hAnsi="华文仿宋"/>
          <w:sz w:val="28"/>
          <w:szCs w:val="28"/>
        </w:rPr>
        <w:t>0</w:t>
      </w:r>
      <w:r>
        <w:rPr>
          <w:rFonts w:ascii="华文仿宋" w:eastAsia="华文仿宋" w:hAnsi="华文仿宋"/>
          <w:sz w:val="28"/>
          <w:szCs w:val="28"/>
        </w:rPr>
        <w:t>元</w:t>
      </w:r>
      <w:r>
        <w:rPr>
          <w:rFonts w:ascii="华文仿宋" w:eastAsia="华文仿宋" w:hAnsi="华文仿宋" w:hint="eastAsia"/>
          <w:sz w:val="28"/>
          <w:szCs w:val="28"/>
        </w:rPr>
        <w:t>，</w:t>
      </w:r>
      <w:r>
        <w:rPr>
          <w:rFonts w:ascii="华文仿宋" w:eastAsia="华文仿宋" w:hAnsi="华文仿宋"/>
          <w:sz w:val="28"/>
          <w:szCs w:val="28"/>
        </w:rPr>
        <w:t>对应申购费率为0.8%</w:t>
      </w:r>
      <w:r>
        <w:rPr>
          <w:rFonts w:ascii="华文仿宋" w:eastAsia="华文仿宋" w:hAnsi="华文仿宋" w:hint="eastAsia"/>
          <w:sz w:val="28"/>
          <w:szCs w:val="28"/>
        </w:rPr>
        <w:t>，</w:t>
      </w:r>
      <w:r>
        <w:rPr>
          <w:rFonts w:ascii="华文仿宋" w:eastAsia="华文仿宋" w:hAnsi="华文仿宋"/>
          <w:sz w:val="28"/>
          <w:szCs w:val="28"/>
        </w:rPr>
        <w:t>对应赎回费率为0.1%。泰信中小盘精选混合对应申请日份额净值假设为1.500元</w:t>
      </w:r>
      <w:r>
        <w:rPr>
          <w:rFonts w:ascii="华文仿宋" w:eastAsia="华文仿宋" w:hAnsi="华文仿宋" w:hint="eastAsia"/>
          <w:sz w:val="28"/>
          <w:szCs w:val="28"/>
        </w:rPr>
        <w:t>，</w:t>
      </w:r>
      <w:r>
        <w:rPr>
          <w:rFonts w:ascii="华文仿宋" w:eastAsia="华文仿宋" w:hAnsi="华文仿宋"/>
          <w:sz w:val="28"/>
          <w:szCs w:val="28"/>
        </w:rPr>
        <w:t>对应申购费率为1.5%</w:t>
      </w:r>
      <w:r>
        <w:rPr>
          <w:rFonts w:ascii="华文仿宋" w:eastAsia="华文仿宋" w:hAnsi="华文仿宋" w:hint="eastAsia"/>
          <w:sz w:val="28"/>
          <w:szCs w:val="28"/>
        </w:rPr>
        <w:t>。</w:t>
      </w:r>
      <w:r>
        <w:rPr>
          <w:rFonts w:ascii="华文仿宋" w:eastAsia="华文仿宋" w:hAnsi="华文仿宋"/>
          <w:sz w:val="28"/>
          <w:szCs w:val="28"/>
        </w:rPr>
        <w:t>则该次转换投资者可得到的泰信中小盘精选混合份额计算方法为：</w:t>
      </w:r>
    </w:p>
    <w:p w:rsidR="002A4FDD" w:rsidRDefault="00800BA4" w:rsidP="00A074A8">
      <w:pPr>
        <w:pStyle w:val="Default"/>
        <w:numPr>
          <w:ilvl w:val="0"/>
          <w:numId w:val="2"/>
        </w:numPr>
        <w:spacing w:line="360" w:lineRule="auto"/>
        <w:rPr>
          <w:rFonts w:ascii="华文仿宋" w:eastAsia="华文仿宋" w:hAnsi="华文仿宋"/>
          <w:sz w:val="28"/>
          <w:szCs w:val="28"/>
        </w:rPr>
      </w:pPr>
      <w:r>
        <w:rPr>
          <w:rFonts w:ascii="华文仿宋" w:eastAsia="华文仿宋" w:hAnsi="华文仿宋" w:hint="eastAsia"/>
          <w:sz w:val="28"/>
          <w:szCs w:val="28"/>
        </w:rPr>
        <w:t>转出金额</w:t>
      </w:r>
      <w:r>
        <w:rPr>
          <w:rFonts w:ascii="华文仿宋" w:eastAsia="华文仿宋" w:hAnsi="华文仿宋"/>
          <w:sz w:val="28"/>
          <w:szCs w:val="28"/>
        </w:rPr>
        <w:t>=100,000.00×1.020</w:t>
      </w:r>
      <w:r w:rsidR="00A074A8">
        <w:rPr>
          <w:rFonts w:ascii="华文仿宋" w:eastAsia="华文仿宋" w:hAnsi="华文仿宋"/>
          <w:sz w:val="28"/>
          <w:szCs w:val="28"/>
        </w:rPr>
        <w:t>0</w:t>
      </w:r>
      <w:r>
        <w:rPr>
          <w:rFonts w:ascii="华文仿宋" w:eastAsia="华文仿宋" w:hAnsi="华文仿宋"/>
          <w:sz w:val="28"/>
          <w:szCs w:val="28"/>
        </w:rPr>
        <w:t>=102,000.00元</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=102,000.00×0.1%=102.00元</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=102,000.00-102.00=101,898.00元</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=101,898.00/(1+1.5%)×1.5%=1,505.88元</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=101,898.00/(1+0.8%)×0.8%=808.71元</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=转入基金申购费-转出基金申购费</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=1,505.88-808.71=697.17元</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=101,898.00-697.17=101,200.83元</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=101,200.83/1.500=67,467.22份</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9.投资者采用“份额转换”的原则提交申请。基金转出份额必须是可用份额，并遵循“先进先出”的原则。已冻结份额不得申请转换。</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10.各基金的转换申请时间以其《基金合同》及《招募说明书》的相关规定为准，当日的转换申请可以在15:00以前在销售商处撤销，超过交易时间的申请作失败或下一日申请处理。</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11.基金转出的份额限制以其《基金合同》及《招募说明书》的相关规定为准，单笔转入申请不受转入基金最低申购限额限制。</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13.出现下列情况之一时，基金管理人可以暂停基金转换业务：</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1）不可抗力的原因导致基金无法正常运作。</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2）证券交易场所在交易时间非正常停市，导致基金管理人无法计算当日基金份额净值。</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3）因市场剧烈波动或其他原因而出现连续巨额赎回，基金管理人认为有必要暂停接受该基金份额转出申请。</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4）法律、法规、规章规定的其他情形或其他在《基金合同》、《招募说明书》已载明并获中国证监会批准的特殊情形。</w:t>
      </w:r>
    </w:p>
    <w:p w:rsidR="002A4FDD" w:rsidRDefault="00800BA4">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5）发生上述情形之一的，基金管理人应立即向证监会备案并于规定期限内在证监会规定媒介上刊登暂停公告。重新开放基金转换时，基金管理人应在证监会规定媒介上刊登重新开放基金转换的公告。</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三、其他事项</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1.投资者欲了解各基金产品的详细情况，请仔细阅读各基金的基金合同、招募说明书等法律文件。</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2.风险提示：本公司承诺以诚实信用、勤勉尽责的原则管理和运用基金财产，但不保证基金一定盈利，也不保证最低收益。投资者投资于本公司管理的基金时应认真阅读基金合同、招募说明书等文件。</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四、投资者可通过以下途径了解或咨询相关情况</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1、泰信基金管理有限公司</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客服电话：400-888-5988 或 021-38784566</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7" w:history="1">
        <w:r>
          <w:rPr>
            <w:rStyle w:val="aa"/>
            <w:rFonts w:ascii="华文仿宋" w:eastAsia="华文仿宋" w:hAnsi="华文仿宋" w:cs="仿宋_GB2312" w:hint="eastAsia"/>
            <w:color w:val="auto"/>
            <w:kern w:val="0"/>
            <w:sz w:val="28"/>
            <w:szCs w:val="28"/>
            <w:u w:val="none"/>
          </w:rPr>
          <w:t>www.ftfund.com</w:t>
        </w:r>
      </w:hyperlink>
    </w:p>
    <w:p w:rsidR="002A4FDD" w:rsidRDefault="00800BA4">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2、东莞证券股份有限公司</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客服电话：95328</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网址：www.dgzq.com.cn</w:t>
      </w:r>
    </w:p>
    <w:p w:rsidR="002A4FDD" w:rsidRDefault="00800BA4">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2A4FDD" w:rsidRDefault="00800BA4">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p>
    <w:p w:rsidR="002A4FDD" w:rsidRDefault="00800BA4">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2A4FDD" w:rsidRDefault="00800BA4">
      <w:pPr>
        <w:spacing w:line="360" w:lineRule="auto"/>
        <w:ind w:right="140"/>
        <w:jc w:val="right"/>
        <w:rPr>
          <w:rFonts w:ascii="华文仿宋" w:eastAsia="华文仿宋" w:hAnsi="华文仿宋"/>
        </w:rPr>
      </w:pPr>
      <w:r>
        <w:rPr>
          <w:rFonts w:ascii="华文仿宋" w:eastAsia="华文仿宋" w:hAnsi="华文仿宋" w:cs="仿宋_GB2312" w:hint="eastAsia"/>
          <w:kern w:val="0"/>
          <w:sz w:val="28"/>
          <w:szCs w:val="28"/>
        </w:rPr>
        <w:t>2025年</w:t>
      </w:r>
      <w:r w:rsidR="00E75888">
        <w:rPr>
          <w:rFonts w:ascii="华文仿宋" w:eastAsia="华文仿宋" w:hAnsi="华文仿宋" w:cs="仿宋_GB2312"/>
          <w:kern w:val="0"/>
          <w:sz w:val="28"/>
          <w:szCs w:val="28"/>
        </w:rPr>
        <w:t>10</w:t>
      </w:r>
      <w:r>
        <w:rPr>
          <w:rFonts w:ascii="华文仿宋" w:eastAsia="华文仿宋" w:hAnsi="华文仿宋" w:cs="仿宋_GB2312" w:hint="eastAsia"/>
          <w:kern w:val="0"/>
          <w:sz w:val="28"/>
          <w:szCs w:val="28"/>
        </w:rPr>
        <w:t>月1</w:t>
      </w:r>
      <w:r w:rsidR="00E75888">
        <w:rPr>
          <w:rFonts w:ascii="华文仿宋" w:eastAsia="华文仿宋" w:hAnsi="华文仿宋" w:cs="仿宋_GB2312"/>
          <w:kern w:val="0"/>
          <w:sz w:val="28"/>
          <w:szCs w:val="28"/>
        </w:rPr>
        <w:t>6</w:t>
      </w:r>
      <w:r>
        <w:rPr>
          <w:rFonts w:ascii="华文仿宋" w:eastAsia="华文仿宋" w:hAnsi="华文仿宋" w:cs="仿宋_GB2312" w:hint="eastAsia"/>
          <w:kern w:val="0"/>
          <w:sz w:val="28"/>
          <w:szCs w:val="28"/>
        </w:rPr>
        <w:t>日</w:t>
      </w:r>
    </w:p>
    <w:sectPr w:rsidR="002A4FDD" w:rsidSect="0071500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F76" w:rsidRDefault="00AA0F76">
      <w:r>
        <w:separator/>
      </w:r>
    </w:p>
  </w:endnote>
  <w:endnote w:type="continuationSeparator" w:id="0">
    <w:p w:rsidR="00AA0F76" w:rsidRDefault="00AA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2A4FDD" w:rsidRDefault="00715003">
        <w:pPr>
          <w:pStyle w:val="a5"/>
          <w:jc w:val="center"/>
        </w:pPr>
        <w:r>
          <w:fldChar w:fldCharType="begin"/>
        </w:r>
        <w:r w:rsidR="00800BA4">
          <w:instrText>PAGE   \* MERGEFORMAT</w:instrText>
        </w:r>
        <w:r>
          <w:fldChar w:fldCharType="separate"/>
        </w:r>
        <w:r w:rsidR="00E25D6E" w:rsidRPr="00E25D6E">
          <w:rPr>
            <w:noProof/>
            <w:lang w:val="zh-CN"/>
          </w:rPr>
          <w:t>1</w:t>
        </w:r>
        <w:r>
          <w:fldChar w:fldCharType="end"/>
        </w:r>
      </w:p>
    </w:sdtContent>
  </w:sdt>
  <w:p w:rsidR="002A4FDD" w:rsidRDefault="002A4F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F76" w:rsidRDefault="00AA0F76">
      <w:r>
        <w:separator/>
      </w:r>
    </w:p>
  </w:footnote>
  <w:footnote w:type="continuationSeparator" w:id="0">
    <w:p w:rsidR="00AA0F76" w:rsidRDefault="00AA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572D2E4C"/>
    <w:multiLevelType w:val="hybridMultilevel"/>
    <w:tmpl w:val="F20EC09E"/>
    <w:lvl w:ilvl="0" w:tplc="8856C21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9BC"/>
    <w:rsid w:val="000431D9"/>
    <w:rsid w:val="000452AA"/>
    <w:rsid w:val="00076854"/>
    <w:rsid w:val="000804ED"/>
    <w:rsid w:val="000E01CC"/>
    <w:rsid w:val="000E74CE"/>
    <w:rsid w:val="00101FC1"/>
    <w:rsid w:val="00103C76"/>
    <w:rsid w:val="00124014"/>
    <w:rsid w:val="00155A3F"/>
    <w:rsid w:val="00196B66"/>
    <w:rsid w:val="001A3123"/>
    <w:rsid w:val="001B36E0"/>
    <w:rsid w:val="001B4AAF"/>
    <w:rsid w:val="001F3D5F"/>
    <w:rsid w:val="00203FFE"/>
    <w:rsid w:val="00240D30"/>
    <w:rsid w:val="002650CE"/>
    <w:rsid w:val="00280048"/>
    <w:rsid w:val="00285461"/>
    <w:rsid w:val="002914BE"/>
    <w:rsid w:val="002A4FDD"/>
    <w:rsid w:val="002B1EAE"/>
    <w:rsid w:val="002B7167"/>
    <w:rsid w:val="002D324F"/>
    <w:rsid w:val="00347443"/>
    <w:rsid w:val="003501D4"/>
    <w:rsid w:val="00381D57"/>
    <w:rsid w:val="0039683D"/>
    <w:rsid w:val="003A2925"/>
    <w:rsid w:val="003B131F"/>
    <w:rsid w:val="003B35A3"/>
    <w:rsid w:val="003C67DC"/>
    <w:rsid w:val="003C7C67"/>
    <w:rsid w:val="003D6444"/>
    <w:rsid w:val="003E3512"/>
    <w:rsid w:val="003E6379"/>
    <w:rsid w:val="003F15D2"/>
    <w:rsid w:val="00402907"/>
    <w:rsid w:val="004044C7"/>
    <w:rsid w:val="00451DF4"/>
    <w:rsid w:val="00456EB5"/>
    <w:rsid w:val="00460ACB"/>
    <w:rsid w:val="004A4933"/>
    <w:rsid w:val="004B4099"/>
    <w:rsid w:val="004D086D"/>
    <w:rsid w:val="004D31A4"/>
    <w:rsid w:val="005021B2"/>
    <w:rsid w:val="0052027D"/>
    <w:rsid w:val="00522034"/>
    <w:rsid w:val="00532C8F"/>
    <w:rsid w:val="00552C74"/>
    <w:rsid w:val="0059595B"/>
    <w:rsid w:val="005A232E"/>
    <w:rsid w:val="005C4941"/>
    <w:rsid w:val="005E0147"/>
    <w:rsid w:val="00610891"/>
    <w:rsid w:val="00667867"/>
    <w:rsid w:val="006A44F5"/>
    <w:rsid w:val="006D0F9A"/>
    <w:rsid w:val="006D533A"/>
    <w:rsid w:val="00715003"/>
    <w:rsid w:val="00727E95"/>
    <w:rsid w:val="00736359"/>
    <w:rsid w:val="00743B3F"/>
    <w:rsid w:val="00767D7C"/>
    <w:rsid w:val="007734A8"/>
    <w:rsid w:val="007750E7"/>
    <w:rsid w:val="00784EDF"/>
    <w:rsid w:val="0079791D"/>
    <w:rsid w:val="00800BA4"/>
    <w:rsid w:val="008A1E89"/>
    <w:rsid w:val="008A635B"/>
    <w:rsid w:val="008A7CA5"/>
    <w:rsid w:val="00915E9D"/>
    <w:rsid w:val="00922E09"/>
    <w:rsid w:val="00951F36"/>
    <w:rsid w:val="009849B4"/>
    <w:rsid w:val="0099077B"/>
    <w:rsid w:val="009952EF"/>
    <w:rsid w:val="009C73DB"/>
    <w:rsid w:val="00A074A8"/>
    <w:rsid w:val="00A319BC"/>
    <w:rsid w:val="00A462AD"/>
    <w:rsid w:val="00A5190C"/>
    <w:rsid w:val="00A61DF1"/>
    <w:rsid w:val="00A730E1"/>
    <w:rsid w:val="00A85461"/>
    <w:rsid w:val="00A917BC"/>
    <w:rsid w:val="00AA0F76"/>
    <w:rsid w:val="00AC3DFE"/>
    <w:rsid w:val="00AD4952"/>
    <w:rsid w:val="00AE7E87"/>
    <w:rsid w:val="00B14079"/>
    <w:rsid w:val="00B36E18"/>
    <w:rsid w:val="00B45116"/>
    <w:rsid w:val="00B55E01"/>
    <w:rsid w:val="00B71720"/>
    <w:rsid w:val="00B76929"/>
    <w:rsid w:val="00B849AA"/>
    <w:rsid w:val="00BC013C"/>
    <w:rsid w:val="00BC795B"/>
    <w:rsid w:val="00BE0EA1"/>
    <w:rsid w:val="00C27665"/>
    <w:rsid w:val="00C454AA"/>
    <w:rsid w:val="00C663C3"/>
    <w:rsid w:val="00C67D8B"/>
    <w:rsid w:val="00C77299"/>
    <w:rsid w:val="00C96261"/>
    <w:rsid w:val="00CA1328"/>
    <w:rsid w:val="00CE21E8"/>
    <w:rsid w:val="00D1063F"/>
    <w:rsid w:val="00D15215"/>
    <w:rsid w:val="00D15FC2"/>
    <w:rsid w:val="00D41A0B"/>
    <w:rsid w:val="00D817AA"/>
    <w:rsid w:val="00D9287C"/>
    <w:rsid w:val="00D94ED0"/>
    <w:rsid w:val="00DB3313"/>
    <w:rsid w:val="00DB5383"/>
    <w:rsid w:val="00DB5AFB"/>
    <w:rsid w:val="00DB5D27"/>
    <w:rsid w:val="00DE0A1A"/>
    <w:rsid w:val="00DE3CA5"/>
    <w:rsid w:val="00E14CB3"/>
    <w:rsid w:val="00E1573E"/>
    <w:rsid w:val="00E1648E"/>
    <w:rsid w:val="00E25D6E"/>
    <w:rsid w:val="00E45108"/>
    <w:rsid w:val="00E75888"/>
    <w:rsid w:val="00E771BE"/>
    <w:rsid w:val="00E81369"/>
    <w:rsid w:val="00F15BB9"/>
    <w:rsid w:val="00F24E9F"/>
    <w:rsid w:val="00F46B8F"/>
    <w:rsid w:val="00FC3911"/>
    <w:rsid w:val="00FD510C"/>
    <w:rsid w:val="00FF20A0"/>
    <w:rsid w:val="02E70003"/>
    <w:rsid w:val="0E91240B"/>
    <w:rsid w:val="125B39E7"/>
    <w:rsid w:val="18626A98"/>
    <w:rsid w:val="19702C2D"/>
    <w:rsid w:val="1CA50D41"/>
    <w:rsid w:val="1EB477BA"/>
    <w:rsid w:val="248C6702"/>
    <w:rsid w:val="254663AD"/>
    <w:rsid w:val="2702749A"/>
    <w:rsid w:val="284F5E21"/>
    <w:rsid w:val="288B5950"/>
    <w:rsid w:val="29E36424"/>
    <w:rsid w:val="2A7E2B65"/>
    <w:rsid w:val="2D0A7A69"/>
    <w:rsid w:val="2D2B320D"/>
    <w:rsid w:val="31D27B72"/>
    <w:rsid w:val="37BE699F"/>
    <w:rsid w:val="39E85FCF"/>
    <w:rsid w:val="3A5B5354"/>
    <w:rsid w:val="3BF759E1"/>
    <w:rsid w:val="3E196E7E"/>
    <w:rsid w:val="40B4164D"/>
    <w:rsid w:val="425B3E25"/>
    <w:rsid w:val="44317FBD"/>
    <w:rsid w:val="4576257F"/>
    <w:rsid w:val="4AA53F41"/>
    <w:rsid w:val="4D2757BA"/>
    <w:rsid w:val="4F044F5F"/>
    <w:rsid w:val="55924CE8"/>
    <w:rsid w:val="59A6497E"/>
    <w:rsid w:val="5C646D86"/>
    <w:rsid w:val="5F6D3263"/>
    <w:rsid w:val="6259386E"/>
    <w:rsid w:val="688615B6"/>
    <w:rsid w:val="6BFC0B10"/>
    <w:rsid w:val="6C893D39"/>
    <w:rsid w:val="6D255A6E"/>
    <w:rsid w:val="71D532AD"/>
    <w:rsid w:val="71DE013E"/>
    <w:rsid w:val="74507577"/>
    <w:rsid w:val="762A49FA"/>
    <w:rsid w:val="79984C9D"/>
    <w:rsid w:val="7E5A3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03"/>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715003"/>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15003"/>
    <w:pPr>
      <w:jc w:val="left"/>
    </w:pPr>
  </w:style>
  <w:style w:type="paragraph" w:styleId="a4">
    <w:name w:val="Balloon Text"/>
    <w:basedOn w:val="a"/>
    <w:link w:val="Char0"/>
    <w:uiPriority w:val="99"/>
    <w:semiHidden/>
    <w:unhideWhenUsed/>
    <w:qFormat/>
    <w:rsid w:val="00715003"/>
    <w:rPr>
      <w:sz w:val="18"/>
      <w:szCs w:val="18"/>
    </w:rPr>
  </w:style>
  <w:style w:type="paragraph" w:styleId="a5">
    <w:name w:val="footer"/>
    <w:basedOn w:val="a"/>
    <w:link w:val="Char1"/>
    <w:uiPriority w:val="99"/>
    <w:unhideWhenUsed/>
    <w:qFormat/>
    <w:rsid w:val="0071500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1500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715003"/>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715003"/>
    <w:rPr>
      <w:b/>
      <w:bCs/>
    </w:rPr>
  </w:style>
  <w:style w:type="character" w:styleId="a9">
    <w:name w:val="FollowedHyperlink"/>
    <w:basedOn w:val="a0"/>
    <w:uiPriority w:val="99"/>
    <w:semiHidden/>
    <w:unhideWhenUsed/>
    <w:qFormat/>
    <w:rsid w:val="00715003"/>
    <w:rPr>
      <w:color w:val="954F72" w:themeColor="followedHyperlink"/>
      <w:u w:val="single"/>
    </w:rPr>
  </w:style>
  <w:style w:type="character" w:styleId="aa">
    <w:name w:val="Hyperlink"/>
    <w:basedOn w:val="a0"/>
    <w:unhideWhenUsed/>
    <w:qFormat/>
    <w:rsid w:val="00715003"/>
    <w:rPr>
      <w:color w:val="0000FF"/>
      <w:u w:val="single"/>
    </w:rPr>
  </w:style>
  <w:style w:type="character" w:styleId="ab">
    <w:name w:val="annotation reference"/>
    <w:basedOn w:val="a0"/>
    <w:uiPriority w:val="99"/>
    <w:semiHidden/>
    <w:unhideWhenUsed/>
    <w:qFormat/>
    <w:rsid w:val="00715003"/>
    <w:rPr>
      <w:sz w:val="21"/>
      <w:szCs w:val="21"/>
    </w:rPr>
  </w:style>
  <w:style w:type="paragraph" w:styleId="ac">
    <w:name w:val="List Paragraph"/>
    <w:basedOn w:val="a"/>
    <w:uiPriority w:val="34"/>
    <w:qFormat/>
    <w:rsid w:val="00715003"/>
    <w:pPr>
      <w:ind w:firstLineChars="200" w:firstLine="420"/>
    </w:pPr>
  </w:style>
  <w:style w:type="paragraph" w:customStyle="1" w:styleId="Default">
    <w:name w:val="Default"/>
    <w:qFormat/>
    <w:rsid w:val="00715003"/>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0"/>
    <w:link w:val="a6"/>
    <w:uiPriority w:val="99"/>
    <w:qFormat/>
    <w:rsid w:val="00715003"/>
    <w:rPr>
      <w:sz w:val="18"/>
      <w:szCs w:val="18"/>
    </w:rPr>
  </w:style>
  <w:style w:type="character" w:customStyle="1" w:styleId="Char1">
    <w:name w:val="页脚 Char"/>
    <w:basedOn w:val="a0"/>
    <w:link w:val="a5"/>
    <w:uiPriority w:val="99"/>
    <w:qFormat/>
    <w:rsid w:val="00715003"/>
    <w:rPr>
      <w:sz w:val="18"/>
      <w:szCs w:val="18"/>
    </w:rPr>
  </w:style>
  <w:style w:type="character" w:customStyle="1" w:styleId="Char0">
    <w:name w:val="批注框文本 Char"/>
    <w:basedOn w:val="a0"/>
    <w:link w:val="a4"/>
    <w:uiPriority w:val="99"/>
    <w:semiHidden/>
    <w:qFormat/>
    <w:rsid w:val="00715003"/>
    <w:rPr>
      <w:sz w:val="18"/>
      <w:szCs w:val="18"/>
    </w:rPr>
  </w:style>
  <w:style w:type="character" w:customStyle="1" w:styleId="5Char">
    <w:name w:val="标题 5 Char"/>
    <w:basedOn w:val="a0"/>
    <w:link w:val="5"/>
    <w:uiPriority w:val="9"/>
    <w:qFormat/>
    <w:rsid w:val="00715003"/>
    <w:rPr>
      <w:rFonts w:ascii="宋体" w:eastAsia="宋体" w:hAnsi="宋体" w:cs="宋体"/>
      <w:b/>
      <w:bCs/>
      <w:kern w:val="0"/>
      <w:sz w:val="20"/>
      <w:szCs w:val="20"/>
    </w:rPr>
  </w:style>
  <w:style w:type="character" w:customStyle="1" w:styleId="Char">
    <w:name w:val="批注文字 Char"/>
    <w:basedOn w:val="a0"/>
    <w:link w:val="a3"/>
    <w:uiPriority w:val="99"/>
    <w:semiHidden/>
    <w:qFormat/>
    <w:rsid w:val="00715003"/>
  </w:style>
  <w:style w:type="character" w:customStyle="1" w:styleId="Char3">
    <w:name w:val="批注主题 Char"/>
    <w:basedOn w:val="Char"/>
    <w:link w:val="a8"/>
    <w:uiPriority w:val="99"/>
    <w:semiHidden/>
    <w:qFormat/>
    <w:rsid w:val="00715003"/>
    <w:rPr>
      <w:b/>
      <w:bCs/>
    </w:rPr>
  </w:style>
  <w:style w:type="character" w:customStyle="1" w:styleId="1">
    <w:name w:val="未处理的提及1"/>
    <w:basedOn w:val="a0"/>
    <w:uiPriority w:val="99"/>
    <w:semiHidden/>
    <w:unhideWhenUsed/>
    <w:qFormat/>
    <w:rsid w:val="00715003"/>
    <w:rPr>
      <w:color w:val="605E5C"/>
      <w:shd w:val="clear" w:color="auto" w:fill="E1DFDD"/>
    </w:rPr>
  </w:style>
  <w:style w:type="paragraph" w:customStyle="1" w:styleId="10">
    <w:name w:val="修订1"/>
    <w:hidden/>
    <w:uiPriority w:val="99"/>
    <w:semiHidden/>
    <w:qFormat/>
    <w:rsid w:val="00715003"/>
    <w:rPr>
      <w:rFonts w:asciiTheme="minorHAnsi" w:eastAsiaTheme="minorEastAsia" w:hAnsiTheme="minorHAnsi" w:cstheme="minorBidi"/>
      <w:kern w:val="2"/>
      <w:sz w:val="21"/>
      <w:szCs w:val="22"/>
    </w:rPr>
  </w:style>
  <w:style w:type="table" w:customStyle="1" w:styleId="TableNormal">
    <w:name w:val="Table Normal"/>
    <w:semiHidden/>
    <w:unhideWhenUsed/>
    <w:qFormat/>
    <w:rsid w:val="00715003"/>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948390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2899</Characters>
  <Application>Microsoft Office Word</Application>
  <DocSecurity>4</DocSecurity>
  <Lines>24</Lines>
  <Paragraphs>6</Paragraphs>
  <ScaleCrop>false</ScaleCrop>
  <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2025-10-13T02:20:00Z</cp:lastPrinted>
  <dcterms:created xsi:type="dcterms:W3CDTF">2025-10-15T16:00:00Z</dcterms:created>
  <dcterms:modified xsi:type="dcterms:W3CDTF">2025-10-15T16:00:00Z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3CC0993FF73342F09BC42FA26A2DA722_13</vt:lpwstr>
  </property>
  <property fmtid="{D5CDD505-2E9C-101B-9397-08002B2CF9AE}" pid="4" name="KSOTemplateDocerSaveRecord">
    <vt:lpwstr>eyJoZGlkIjoiZjkxN2Q5OGUzODc2YzlkM2M1Njg0NjMyM2YzMDNhNzMiLCJ1c2VySWQiOiIyNjE0MDU3NzcifQ==</vt:lpwstr>
  </property>
</Properties>
</file>