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1AF" w:rsidRDefault="002A6B75" w:rsidP="000475ED">
      <w:pPr>
        <w:spacing w:afterLines="100" w:line="240" w:lineRule="auto"/>
        <w:jc w:val="center"/>
        <w:rPr>
          <w:rFonts w:ascii="Times New Roman" w:eastAsia="宋体" w:hAnsi="Times New Roman" w:cs="Times New Roman"/>
          <w:position w:val="-4"/>
          <w:sz w:val="28"/>
          <w:szCs w:val="30"/>
          <w:lang w:eastAsia="zh-CN"/>
        </w:rPr>
      </w:pPr>
      <w:r>
        <w:rPr>
          <w:rFonts w:ascii="Times New Roman" w:eastAsia="宋体" w:hAnsi="Times New Roman" w:cs="Times New Roman" w:hint="eastAsia"/>
          <w:position w:val="-4"/>
          <w:sz w:val="28"/>
          <w:szCs w:val="30"/>
          <w:lang w:eastAsia="zh-CN"/>
        </w:rPr>
        <w:t>鹏扬基金管理有限公司关于旗下部分基金参与上海联泰基金销售有限公司费率优惠活动的公告</w:t>
      </w:r>
    </w:p>
    <w:p w:rsidR="006A21AF" w:rsidRDefault="002A6B75" w:rsidP="000475ED">
      <w:pPr>
        <w:spacing w:beforeLines="50" w:after="0" w:line="360" w:lineRule="auto"/>
        <w:ind w:firstLineChars="200" w:firstLine="420"/>
        <w:jc w:val="both"/>
        <w:rPr>
          <w:rFonts w:ascii="Times New Roman" w:eastAsia="宋体" w:hAnsi="Times New Roman" w:cs="Times New Roman"/>
          <w:sz w:val="21"/>
          <w:szCs w:val="21"/>
          <w:lang w:eastAsia="zh-CN"/>
        </w:rPr>
        <w:pPrChange w:id="0" w:author="ZHONGM" w:date="2025-10-16T00:01:00Z">
          <w:pPr>
            <w:spacing w:beforeLines="50" w:after="0" w:line="360" w:lineRule="auto"/>
            <w:ind w:firstLineChars="200" w:firstLine="420"/>
            <w:jc w:val="both"/>
          </w:pPr>
        </w:pPrChange>
      </w:pPr>
      <w:r>
        <w:rPr>
          <w:rFonts w:ascii="Times New Roman" w:eastAsia="宋体" w:hAnsi="Times New Roman" w:cs="Times New Roman" w:hint="eastAsia"/>
          <w:sz w:val="21"/>
          <w:szCs w:val="21"/>
          <w:lang w:eastAsia="zh-CN"/>
        </w:rPr>
        <w:t>为更好满足投资者的理财需求，经鹏扬基金管理有限公司（以下简称“鹏扬基金”）与</w:t>
      </w:r>
      <w:r>
        <w:rPr>
          <w:rFonts w:ascii="Times New Roman" w:eastAsia="宋体" w:hAnsi="Times New Roman" w:cs="宋体" w:hint="eastAsia"/>
          <w:sz w:val="21"/>
          <w:szCs w:val="21"/>
          <w:lang w:eastAsia="zh-CN"/>
        </w:rPr>
        <w:t>上海联泰基金销售有限公司</w:t>
      </w:r>
      <w:r>
        <w:rPr>
          <w:rFonts w:ascii="Times New Roman" w:eastAsia="宋体" w:hAnsi="Times New Roman" w:cs="Times New Roman" w:hint="eastAsia"/>
          <w:sz w:val="21"/>
          <w:szCs w:val="21"/>
          <w:lang w:eastAsia="zh-CN"/>
        </w:rPr>
        <w:t>（以下简称“联泰基金”）协商一致，决定自</w:t>
      </w:r>
      <w:r>
        <w:rPr>
          <w:rFonts w:ascii="Times New Roman" w:eastAsia="宋体" w:hAnsi="Times New Roman" w:cs="Times New Roman" w:hint="eastAsia"/>
          <w:sz w:val="21"/>
          <w:szCs w:val="21"/>
          <w:lang w:eastAsia="zh-CN"/>
        </w:rPr>
        <w:t>2025</w:t>
      </w:r>
      <w:r>
        <w:rPr>
          <w:rFonts w:ascii="Times New Roman" w:eastAsia="宋体" w:hAnsi="Times New Roman" w:cs="Times New Roman" w:hint="eastAsia"/>
          <w:sz w:val="21"/>
          <w:szCs w:val="21"/>
          <w:lang w:eastAsia="zh-CN"/>
        </w:rPr>
        <w:t>年</w:t>
      </w:r>
      <w:r>
        <w:rPr>
          <w:rFonts w:ascii="Times New Roman" w:eastAsia="宋体" w:hAnsi="Times New Roman" w:cs="Times New Roman" w:hint="eastAsia"/>
          <w:sz w:val="21"/>
          <w:szCs w:val="21"/>
          <w:lang w:eastAsia="zh-CN"/>
        </w:rPr>
        <w:t>10</w:t>
      </w:r>
      <w:r>
        <w:rPr>
          <w:rFonts w:ascii="Times New Roman" w:eastAsia="宋体" w:hAnsi="Times New Roman" w:cs="Times New Roman" w:hint="eastAsia"/>
          <w:sz w:val="21"/>
          <w:szCs w:val="21"/>
          <w:lang w:eastAsia="zh-CN"/>
        </w:rPr>
        <w:t>月</w:t>
      </w:r>
      <w:r>
        <w:rPr>
          <w:rFonts w:ascii="Times New Roman" w:eastAsia="宋体" w:hAnsi="Times New Roman" w:cs="Times New Roman" w:hint="eastAsia"/>
          <w:sz w:val="21"/>
          <w:szCs w:val="21"/>
          <w:lang w:eastAsia="zh-CN"/>
        </w:rPr>
        <w:t>17</w:t>
      </w:r>
      <w:r>
        <w:rPr>
          <w:rFonts w:ascii="Times New Roman" w:eastAsia="宋体" w:hAnsi="Times New Roman" w:cs="Times New Roman" w:hint="eastAsia"/>
          <w:sz w:val="21"/>
          <w:szCs w:val="21"/>
          <w:lang w:eastAsia="zh-CN"/>
        </w:rPr>
        <w:t>日起，对通过联泰基金申购（含定期定额申购）鹏扬基金旗下部分开放式基金的投资者给予相关费率优惠。</w:t>
      </w:r>
      <w:r>
        <w:rPr>
          <w:rFonts w:ascii="Times New Roman" w:eastAsia="宋体" w:hAnsi="Times New Roman" w:cs="Times New Roman"/>
          <w:sz w:val="21"/>
          <w:szCs w:val="21"/>
          <w:lang w:eastAsia="zh-CN"/>
        </w:rPr>
        <w:t>具体的业务流程、办理时间和办理方式以</w:t>
      </w:r>
      <w:r>
        <w:rPr>
          <w:rFonts w:ascii="Times New Roman" w:eastAsia="宋体" w:hAnsi="Times New Roman" w:cs="Times New Roman" w:hint="eastAsia"/>
          <w:sz w:val="21"/>
          <w:szCs w:val="21"/>
          <w:lang w:eastAsia="zh-CN"/>
        </w:rPr>
        <w:t>联泰基金</w:t>
      </w:r>
      <w:r>
        <w:rPr>
          <w:rFonts w:ascii="Times New Roman" w:eastAsia="宋体" w:hAnsi="Times New Roman" w:cs="Times New Roman"/>
          <w:sz w:val="21"/>
          <w:szCs w:val="21"/>
          <w:lang w:eastAsia="zh-CN"/>
        </w:rPr>
        <w:t>的规定为准。</w:t>
      </w:r>
    </w:p>
    <w:p w:rsidR="006A21AF" w:rsidRDefault="002A6B75" w:rsidP="000475ED">
      <w:pPr>
        <w:spacing w:beforeLines="50" w:after="0" w:line="360" w:lineRule="auto"/>
        <w:ind w:firstLineChars="200" w:firstLine="420"/>
        <w:jc w:val="both"/>
        <w:rPr>
          <w:rFonts w:ascii="Times New Roman" w:eastAsia="宋体" w:hAnsi="Times New Roman" w:cs="Times New Roman"/>
          <w:sz w:val="21"/>
          <w:szCs w:val="21"/>
          <w:lang w:eastAsia="zh-CN"/>
        </w:rPr>
        <w:pPrChange w:id="1" w:author="ZHONGM" w:date="2025-10-16T00:01:00Z">
          <w:pPr>
            <w:spacing w:beforeLines="50" w:after="0" w:line="360" w:lineRule="auto"/>
            <w:ind w:firstLineChars="200" w:firstLine="420"/>
            <w:jc w:val="both"/>
          </w:pPr>
        </w:pPrChange>
      </w:pPr>
      <w:r>
        <w:rPr>
          <w:rFonts w:ascii="Times New Roman" w:eastAsia="宋体" w:hAnsi="Times New Roman" w:cs="Times New Roman"/>
          <w:sz w:val="21"/>
          <w:szCs w:val="21"/>
          <w:lang w:eastAsia="zh-CN"/>
        </w:rPr>
        <w:t>一、费率优惠活动范围及内容</w:t>
      </w:r>
    </w:p>
    <w:tbl>
      <w:tblPr>
        <w:tblStyle w:val="aa"/>
        <w:tblW w:w="0" w:type="auto"/>
        <w:jc w:val="center"/>
        <w:tblLook w:val="04A0"/>
      </w:tblPr>
      <w:tblGrid>
        <w:gridCol w:w="636"/>
        <w:gridCol w:w="3181"/>
        <w:gridCol w:w="1144"/>
        <w:gridCol w:w="1697"/>
        <w:gridCol w:w="1896"/>
      </w:tblGrid>
      <w:tr w:rsidR="00343090" w:rsidTr="00343090">
        <w:trPr>
          <w:trHeight w:val="351"/>
          <w:jc w:val="center"/>
        </w:trPr>
        <w:tc>
          <w:tcPr>
            <w:tcW w:w="0" w:type="auto"/>
            <w:noWrap/>
            <w:vAlign w:val="center"/>
          </w:tcPr>
          <w:p w:rsidR="006A21AF" w:rsidRDefault="002A6B75">
            <w:pPr>
              <w:pStyle w:val="a8"/>
              <w:spacing w:before="0" w:beforeAutospacing="0" w:after="0" w:afterAutospacing="0"/>
              <w:jc w:val="center"/>
              <w:rPr>
                <w:rFonts w:ascii="Times New Roman" w:hAnsi="Times New Roman" w:cs="Times New Roman"/>
                <w:kern w:val="0"/>
                <w:sz w:val="21"/>
                <w:szCs w:val="21"/>
              </w:rPr>
            </w:pPr>
            <w:r>
              <w:rPr>
                <w:rFonts w:ascii="Times New Roman" w:hAnsi="Times New Roman" w:cs="Times New Roman"/>
                <w:kern w:val="0"/>
                <w:sz w:val="21"/>
                <w:szCs w:val="21"/>
              </w:rPr>
              <w:t>序号</w:t>
            </w:r>
          </w:p>
        </w:tc>
        <w:tc>
          <w:tcPr>
            <w:tcW w:w="3181" w:type="dxa"/>
            <w:noWrap/>
            <w:vAlign w:val="center"/>
          </w:tcPr>
          <w:p w:rsidR="006A21AF" w:rsidRDefault="002A6B75">
            <w:pPr>
              <w:pStyle w:val="a8"/>
              <w:spacing w:before="0" w:beforeAutospacing="0" w:after="0" w:afterAutospacing="0"/>
              <w:jc w:val="center"/>
              <w:rPr>
                <w:rFonts w:ascii="Times New Roman" w:hAnsi="Times New Roman" w:cs="Times New Roman"/>
                <w:kern w:val="0"/>
                <w:sz w:val="21"/>
                <w:szCs w:val="21"/>
              </w:rPr>
            </w:pPr>
            <w:r>
              <w:rPr>
                <w:rFonts w:ascii="Times New Roman" w:hAnsi="Times New Roman" w:cs="Times New Roman"/>
                <w:kern w:val="0"/>
                <w:sz w:val="21"/>
                <w:szCs w:val="21"/>
              </w:rPr>
              <w:t>基金简称</w:t>
            </w:r>
          </w:p>
        </w:tc>
        <w:tc>
          <w:tcPr>
            <w:tcW w:w="1144" w:type="dxa"/>
            <w:noWrap/>
            <w:vAlign w:val="center"/>
          </w:tcPr>
          <w:p w:rsidR="006A21AF" w:rsidRDefault="002A6B75">
            <w:pPr>
              <w:pStyle w:val="a8"/>
              <w:spacing w:before="0" w:beforeAutospacing="0" w:after="0" w:afterAutospacing="0"/>
              <w:jc w:val="center"/>
              <w:rPr>
                <w:rFonts w:ascii="Times New Roman" w:hAnsi="Times New Roman" w:cs="Times New Roman"/>
                <w:kern w:val="0"/>
                <w:sz w:val="21"/>
                <w:szCs w:val="21"/>
              </w:rPr>
            </w:pPr>
            <w:r>
              <w:rPr>
                <w:rFonts w:ascii="Times New Roman" w:hAnsi="Times New Roman" w:cs="Times New Roman"/>
                <w:kern w:val="0"/>
                <w:sz w:val="21"/>
                <w:szCs w:val="21"/>
              </w:rPr>
              <w:t>基金代码</w:t>
            </w:r>
          </w:p>
        </w:tc>
        <w:tc>
          <w:tcPr>
            <w:tcW w:w="1697" w:type="dxa"/>
            <w:vAlign w:val="center"/>
          </w:tcPr>
          <w:p w:rsidR="006A21AF" w:rsidRDefault="002A6B75">
            <w:pPr>
              <w:pStyle w:val="a8"/>
              <w:spacing w:before="0" w:beforeAutospacing="0" w:after="0" w:afterAutospacing="0"/>
              <w:jc w:val="center"/>
              <w:rPr>
                <w:rFonts w:ascii="Times New Roman" w:hAnsi="Times New Roman" w:cs="Times New Roman"/>
                <w:sz w:val="21"/>
                <w:szCs w:val="21"/>
              </w:rPr>
            </w:pPr>
            <w:r>
              <w:rPr>
                <w:rFonts w:ascii="Times New Roman" w:hAnsi="Times New Roman" w:cs="Times New Roman"/>
                <w:kern w:val="0"/>
                <w:sz w:val="21"/>
                <w:szCs w:val="21"/>
              </w:rPr>
              <w:t>开通业务类型</w:t>
            </w:r>
          </w:p>
        </w:tc>
        <w:tc>
          <w:tcPr>
            <w:tcW w:w="1896" w:type="dxa"/>
            <w:vAlign w:val="center"/>
          </w:tcPr>
          <w:p w:rsidR="006A21AF" w:rsidRDefault="002A6B75">
            <w:pPr>
              <w:pStyle w:val="a8"/>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费率优惠方案</w:t>
            </w:r>
          </w:p>
        </w:tc>
      </w:tr>
      <w:tr w:rsidR="00343090" w:rsidTr="00343090">
        <w:trPr>
          <w:trHeight w:val="351"/>
          <w:jc w:val="center"/>
        </w:trPr>
        <w:tc>
          <w:tcPr>
            <w:tcW w:w="0" w:type="auto"/>
            <w:vMerge w:val="restart"/>
            <w:noWrap/>
            <w:vAlign w:val="center"/>
          </w:tcPr>
          <w:p w:rsidR="006A21AF" w:rsidRDefault="002A6B75">
            <w:pPr>
              <w:pStyle w:val="a8"/>
              <w:spacing w:before="0" w:beforeAutospacing="0" w:after="0" w:afterAutospacing="0"/>
              <w:jc w:val="center"/>
              <w:rPr>
                <w:rFonts w:ascii="Times New Roman" w:hAnsi="Times New Roman" w:cs="Times New Roman"/>
                <w:kern w:val="0"/>
                <w:sz w:val="21"/>
                <w:szCs w:val="21"/>
              </w:rPr>
            </w:pPr>
            <w:r>
              <w:rPr>
                <w:rFonts w:ascii="Times New Roman" w:hAnsi="Times New Roman" w:cs="Times New Roman"/>
                <w:sz w:val="21"/>
                <w:szCs w:val="21"/>
              </w:rPr>
              <w:t>1</w:t>
            </w:r>
          </w:p>
        </w:tc>
        <w:tc>
          <w:tcPr>
            <w:tcW w:w="3181" w:type="dxa"/>
            <w:noWrap/>
            <w:vAlign w:val="center"/>
          </w:tcPr>
          <w:p w:rsidR="006A21AF" w:rsidRDefault="00CB0239">
            <w:pPr>
              <w:pStyle w:val="a8"/>
              <w:spacing w:before="0" w:beforeAutospacing="0" w:after="0" w:afterAutospacing="0"/>
              <w:jc w:val="center"/>
              <w:rPr>
                <w:rFonts w:ascii="Times New Roman" w:hAnsi="Times New Roman" w:cs="Times New Roman"/>
                <w:kern w:val="0"/>
                <w:sz w:val="21"/>
                <w:szCs w:val="21"/>
              </w:rPr>
            </w:pPr>
            <w:r w:rsidRPr="00CB0239">
              <w:rPr>
                <w:rFonts w:ascii="Times New Roman" w:hAnsi="Times New Roman" w:cs="Times New Roman" w:hint="eastAsia"/>
                <w:sz w:val="21"/>
                <w:szCs w:val="21"/>
              </w:rPr>
              <w:t>鹏扬消费主题混合发起式</w:t>
            </w:r>
            <w:r w:rsidRPr="00CB0239">
              <w:rPr>
                <w:rFonts w:ascii="Times New Roman" w:hAnsi="Times New Roman" w:cs="Times New Roman" w:hint="eastAsia"/>
                <w:sz w:val="21"/>
                <w:szCs w:val="21"/>
              </w:rPr>
              <w:t>A</w:t>
            </w:r>
          </w:p>
        </w:tc>
        <w:tc>
          <w:tcPr>
            <w:tcW w:w="1144" w:type="dxa"/>
            <w:noWrap/>
            <w:vAlign w:val="center"/>
          </w:tcPr>
          <w:p w:rsidR="006A21AF" w:rsidRDefault="002A6B75">
            <w:pPr>
              <w:pStyle w:val="a8"/>
              <w:spacing w:before="0" w:beforeAutospacing="0" w:after="0" w:afterAutospacing="0"/>
              <w:jc w:val="center"/>
              <w:rPr>
                <w:rFonts w:ascii="Times New Roman" w:hAnsi="Times New Roman" w:cs="Times New Roman"/>
                <w:kern w:val="0"/>
                <w:sz w:val="21"/>
                <w:szCs w:val="21"/>
              </w:rPr>
            </w:pPr>
            <w:r>
              <w:rPr>
                <w:rFonts w:ascii="Times New Roman" w:hAnsi="Times New Roman" w:cs="Times New Roman"/>
                <w:sz w:val="21"/>
                <w:szCs w:val="21"/>
              </w:rPr>
              <w:t>0</w:t>
            </w:r>
            <w:r>
              <w:rPr>
                <w:rFonts w:ascii="Times New Roman" w:hAnsi="Times New Roman" w:cs="Times New Roman" w:hint="eastAsia"/>
                <w:sz w:val="21"/>
                <w:szCs w:val="21"/>
              </w:rPr>
              <w:t>19705</w:t>
            </w:r>
          </w:p>
        </w:tc>
        <w:tc>
          <w:tcPr>
            <w:tcW w:w="1697" w:type="dxa"/>
            <w:vMerge w:val="restart"/>
            <w:vAlign w:val="center"/>
          </w:tcPr>
          <w:p w:rsidR="006A21AF" w:rsidRDefault="002A6B75">
            <w:pPr>
              <w:widowControl/>
              <w:spacing w:after="0" w:line="240" w:lineRule="auto"/>
              <w:jc w:val="both"/>
              <w:rPr>
                <w:rFonts w:ascii="Times New Roman" w:eastAsia="宋体" w:hAnsi="Times New Roman" w:cs="Times New Roman"/>
                <w:kern w:val="0"/>
                <w:sz w:val="21"/>
                <w:szCs w:val="21"/>
                <w:lang w:eastAsia="zh-CN"/>
              </w:rPr>
            </w:pPr>
            <w:r>
              <w:rPr>
                <w:rFonts w:ascii="Times New Roman" w:eastAsia="宋体" w:hAnsi="Times New Roman" w:cs="Times New Roman" w:hint="eastAsia"/>
                <w:kern w:val="0"/>
                <w:sz w:val="21"/>
                <w:szCs w:val="21"/>
                <w:lang w:eastAsia="zh-CN"/>
              </w:rPr>
              <w:t>申购、赎回、转换、</w:t>
            </w:r>
            <w:r w:rsidR="00CD076C">
              <w:rPr>
                <w:rFonts w:ascii="Times New Roman" w:eastAsia="宋体" w:hAnsi="Times New Roman" w:cs="Times New Roman" w:hint="eastAsia"/>
                <w:kern w:val="0"/>
                <w:sz w:val="21"/>
                <w:szCs w:val="21"/>
                <w:lang w:eastAsia="zh-CN"/>
              </w:rPr>
              <w:t>定期定额投资</w:t>
            </w:r>
            <w:bookmarkStart w:id="2" w:name="_GoBack"/>
            <w:bookmarkEnd w:id="2"/>
            <w:r>
              <w:rPr>
                <w:rFonts w:ascii="Times New Roman" w:eastAsia="宋体" w:hAnsi="Times New Roman" w:cs="Times New Roman"/>
                <w:kern w:val="0"/>
                <w:sz w:val="21"/>
                <w:szCs w:val="21"/>
                <w:lang w:eastAsia="zh-CN"/>
              </w:rPr>
              <w:t>（</w:t>
            </w:r>
            <w:r w:rsidR="00A066D4">
              <w:rPr>
                <w:rFonts w:ascii="Times New Roman" w:eastAsia="宋体" w:hAnsi="Times New Roman" w:cs="Times New Roman" w:hint="eastAsia"/>
                <w:kern w:val="0"/>
                <w:sz w:val="21"/>
                <w:szCs w:val="21"/>
                <w:lang w:eastAsia="zh-CN"/>
              </w:rPr>
              <w:t>以下</w:t>
            </w:r>
            <w:r>
              <w:rPr>
                <w:rFonts w:ascii="Times New Roman" w:eastAsia="宋体" w:hAnsi="Times New Roman" w:cs="Times New Roman"/>
                <w:kern w:val="0"/>
                <w:sz w:val="21"/>
                <w:szCs w:val="21"/>
                <w:lang w:eastAsia="zh-CN"/>
              </w:rPr>
              <w:t>简称</w:t>
            </w:r>
            <w:r>
              <w:rPr>
                <w:rFonts w:ascii="Times New Roman" w:eastAsia="宋体" w:hAnsi="Times New Roman" w:cs="Times New Roman"/>
                <w:kern w:val="0"/>
                <w:sz w:val="21"/>
                <w:szCs w:val="21"/>
                <w:lang w:eastAsia="zh-CN"/>
              </w:rPr>
              <w:t>“</w:t>
            </w:r>
            <w:r>
              <w:rPr>
                <w:rFonts w:ascii="Times New Roman" w:eastAsia="宋体" w:hAnsi="Times New Roman" w:cs="Times New Roman"/>
                <w:kern w:val="0"/>
                <w:sz w:val="21"/>
                <w:szCs w:val="21"/>
                <w:lang w:eastAsia="zh-CN"/>
              </w:rPr>
              <w:t>定投</w:t>
            </w:r>
            <w:r>
              <w:rPr>
                <w:rFonts w:ascii="Times New Roman" w:eastAsia="宋体" w:hAnsi="Times New Roman" w:cs="Times New Roman"/>
                <w:kern w:val="0"/>
                <w:sz w:val="21"/>
                <w:szCs w:val="21"/>
                <w:lang w:eastAsia="zh-CN"/>
              </w:rPr>
              <w:t>”</w:t>
            </w:r>
            <w:r>
              <w:rPr>
                <w:rFonts w:ascii="Times New Roman" w:eastAsia="宋体" w:hAnsi="Times New Roman" w:cs="Times New Roman"/>
                <w:kern w:val="0"/>
                <w:sz w:val="21"/>
                <w:szCs w:val="21"/>
                <w:lang w:eastAsia="zh-CN"/>
              </w:rPr>
              <w:t>）</w:t>
            </w:r>
            <w:r>
              <w:rPr>
                <w:rFonts w:ascii="Times New Roman" w:eastAsia="宋体" w:hAnsi="Times New Roman" w:cs="Times New Roman"/>
                <w:kern w:val="0"/>
                <w:sz w:val="21"/>
                <w:szCs w:val="21"/>
                <w:lang w:eastAsia="zh-CN"/>
              </w:rPr>
              <w:t xml:space="preserve"> </w:t>
            </w:r>
            <w:r>
              <w:rPr>
                <w:rFonts w:ascii="Times New Roman" w:eastAsia="宋体" w:hAnsi="Times New Roman" w:cs="Times New Roman"/>
                <w:kern w:val="0"/>
                <w:sz w:val="21"/>
                <w:szCs w:val="21"/>
                <w:lang w:eastAsia="zh-CN"/>
              </w:rPr>
              <w:t>业务</w:t>
            </w:r>
          </w:p>
        </w:tc>
        <w:tc>
          <w:tcPr>
            <w:tcW w:w="1896" w:type="dxa"/>
            <w:vMerge w:val="restart"/>
            <w:vAlign w:val="center"/>
          </w:tcPr>
          <w:p w:rsidR="006A21AF" w:rsidRDefault="002A6B75">
            <w:pPr>
              <w:widowControl/>
              <w:spacing w:after="0" w:line="240" w:lineRule="auto"/>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申购、定投申购费率不低于</w:t>
            </w:r>
            <w:r>
              <w:rPr>
                <w:rFonts w:ascii="Times New Roman" w:eastAsia="宋体" w:hAnsi="Times New Roman" w:cs="Times New Roman"/>
                <w:sz w:val="21"/>
                <w:szCs w:val="21"/>
                <w:lang w:eastAsia="zh-CN"/>
              </w:rPr>
              <w:t xml:space="preserve"> 1</w:t>
            </w:r>
            <w:r>
              <w:rPr>
                <w:rFonts w:ascii="Times New Roman" w:eastAsia="宋体" w:hAnsi="Times New Roman" w:cs="Times New Roman"/>
                <w:sz w:val="21"/>
                <w:szCs w:val="21"/>
                <w:lang w:eastAsia="zh-CN"/>
              </w:rPr>
              <w:t>折。适用于固定费率的，按原费率执行。</w:t>
            </w:r>
          </w:p>
        </w:tc>
      </w:tr>
      <w:tr w:rsidR="00343090" w:rsidTr="00343090">
        <w:trPr>
          <w:trHeight w:val="351"/>
          <w:jc w:val="center"/>
        </w:trPr>
        <w:tc>
          <w:tcPr>
            <w:tcW w:w="0" w:type="auto"/>
            <w:vMerge/>
            <w:vAlign w:val="center"/>
          </w:tcPr>
          <w:p w:rsidR="006A21AF" w:rsidRDefault="006A21AF">
            <w:pPr>
              <w:pStyle w:val="a8"/>
              <w:spacing w:before="0" w:beforeAutospacing="0" w:after="0" w:afterAutospacing="0"/>
              <w:jc w:val="center"/>
              <w:rPr>
                <w:rFonts w:ascii="Times New Roman" w:hAnsi="Times New Roman" w:cs="Times New Roman"/>
                <w:kern w:val="0"/>
                <w:sz w:val="21"/>
                <w:szCs w:val="21"/>
              </w:rPr>
            </w:pPr>
          </w:p>
        </w:tc>
        <w:tc>
          <w:tcPr>
            <w:tcW w:w="3181" w:type="dxa"/>
            <w:noWrap/>
            <w:vAlign w:val="center"/>
          </w:tcPr>
          <w:p w:rsidR="006A21AF" w:rsidRDefault="00CB0239">
            <w:pPr>
              <w:pStyle w:val="a8"/>
              <w:spacing w:before="0" w:beforeAutospacing="0" w:after="0" w:afterAutospacing="0"/>
              <w:jc w:val="center"/>
              <w:rPr>
                <w:rFonts w:ascii="Times New Roman" w:hAnsi="Times New Roman" w:cs="Times New Roman"/>
                <w:kern w:val="0"/>
                <w:sz w:val="21"/>
                <w:szCs w:val="21"/>
              </w:rPr>
            </w:pPr>
            <w:r w:rsidRPr="00CB0239">
              <w:rPr>
                <w:rFonts w:ascii="Times New Roman" w:hAnsi="Times New Roman" w:cs="Times New Roman" w:hint="eastAsia"/>
                <w:sz w:val="21"/>
                <w:szCs w:val="21"/>
              </w:rPr>
              <w:t>鹏扬消费主题混合发起式</w:t>
            </w:r>
            <w:r>
              <w:rPr>
                <w:rFonts w:ascii="Times New Roman" w:hAnsi="Times New Roman" w:cs="Times New Roman" w:hint="eastAsia"/>
                <w:sz w:val="21"/>
                <w:szCs w:val="21"/>
              </w:rPr>
              <w:t>C</w:t>
            </w:r>
          </w:p>
        </w:tc>
        <w:tc>
          <w:tcPr>
            <w:tcW w:w="1144" w:type="dxa"/>
            <w:noWrap/>
            <w:vAlign w:val="center"/>
          </w:tcPr>
          <w:p w:rsidR="006A21AF" w:rsidRDefault="002A6B75">
            <w:pPr>
              <w:pStyle w:val="a8"/>
              <w:spacing w:before="0" w:beforeAutospacing="0" w:after="0" w:afterAutospacing="0"/>
              <w:jc w:val="center"/>
              <w:rPr>
                <w:rFonts w:ascii="Times New Roman" w:hAnsi="Times New Roman" w:cs="Times New Roman"/>
                <w:kern w:val="0"/>
                <w:sz w:val="21"/>
                <w:szCs w:val="21"/>
              </w:rPr>
            </w:pPr>
            <w:r>
              <w:rPr>
                <w:rFonts w:ascii="Times New Roman" w:hAnsi="Times New Roman" w:cs="Times New Roman"/>
                <w:sz w:val="21"/>
                <w:szCs w:val="21"/>
              </w:rPr>
              <w:t>0</w:t>
            </w:r>
            <w:r>
              <w:rPr>
                <w:rFonts w:ascii="Times New Roman" w:hAnsi="Times New Roman" w:cs="Times New Roman" w:hint="eastAsia"/>
                <w:sz w:val="21"/>
                <w:szCs w:val="21"/>
              </w:rPr>
              <w:t>19706</w:t>
            </w:r>
          </w:p>
        </w:tc>
        <w:tc>
          <w:tcPr>
            <w:tcW w:w="1697" w:type="dxa"/>
            <w:vMerge/>
            <w:vAlign w:val="center"/>
          </w:tcPr>
          <w:p w:rsidR="006A21AF" w:rsidRDefault="006A21AF">
            <w:pPr>
              <w:pStyle w:val="a8"/>
              <w:spacing w:before="0" w:beforeAutospacing="0" w:after="0" w:afterAutospacing="0"/>
              <w:jc w:val="both"/>
              <w:rPr>
                <w:rFonts w:ascii="Times New Roman" w:hAnsi="Times New Roman" w:cs="Times New Roman"/>
                <w:sz w:val="21"/>
                <w:szCs w:val="21"/>
              </w:rPr>
            </w:pPr>
          </w:p>
        </w:tc>
        <w:tc>
          <w:tcPr>
            <w:tcW w:w="1896" w:type="dxa"/>
            <w:vMerge/>
            <w:vAlign w:val="center"/>
          </w:tcPr>
          <w:p w:rsidR="006A21AF" w:rsidRDefault="006A21AF">
            <w:pPr>
              <w:pStyle w:val="a8"/>
              <w:spacing w:before="0" w:beforeAutospacing="0" w:after="0" w:afterAutospacing="0"/>
              <w:jc w:val="center"/>
              <w:rPr>
                <w:rFonts w:ascii="Times New Roman" w:hAnsi="Times New Roman" w:cs="Times New Roman"/>
                <w:sz w:val="21"/>
                <w:szCs w:val="21"/>
              </w:rPr>
            </w:pPr>
          </w:p>
        </w:tc>
      </w:tr>
      <w:tr w:rsidR="00343090" w:rsidTr="00343090">
        <w:trPr>
          <w:trHeight w:val="351"/>
          <w:jc w:val="center"/>
        </w:trPr>
        <w:tc>
          <w:tcPr>
            <w:tcW w:w="0" w:type="auto"/>
            <w:vMerge w:val="restart"/>
            <w:vAlign w:val="center"/>
          </w:tcPr>
          <w:p w:rsidR="006A21AF" w:rsidRDefault="002A6B75">
            <w:pPr>
              <w:pStyle w:val="a8"/>
              <w:spacing w:before="0" w:beforeAutospacing="0" w:after="0" w:afterAutospacing="0"/>
              <w:jc w:val="center"/>
              <w:rPr>
                <w:rFonts w:ascii="Times New Roman" w:hAnsi="Times New Roman" w:cs="Times New Roman"/>
                <w:kern w:val="0"/>
                <w:sz w:val="21"/>
                <w:szCs w:val="21"/>
              </w:rPr>
            </w:pPr>
            <w:r>
              <w:rPr>
                <w:rFonts w:ascii="Times New Roman" w:hAnsi="Times New Roman" w:cs="Times New Roman"/>
                <w:kern w:val="0"/>
                <w:sz w:val="21"/>
                <w:szCs w:val="21"/>
              </w:rPr>
              <w:t>2</w:t>
            </w:r>
          </w:p>
        </w:tc>
        <w:tc>
          <w:tcPr>
            <w:tcW w:w="3181" w:type="dxa"/>
            <w:noWrap/>
            <w:vAlign w:val="center"/>
          </w:tcPr>
          <w:p w:rsidR="006A21AF" w:rsidRDefault="00CB0239">
            <w:pPr>
              <w:pStyle w:val="a8"/>
              <w:spacing w:before="0" w:beforeAutospacing="0" w:after="0" w:afterAutospacing="0"/>
              <w:jc w:val="center"/>
              <w:rPr>
                <w:rFonts w:ascii="Times New Roman" w:hAnsi="Times New Roman" w:cs="Times New Roman"/>
                <w:kern w:val="0"/>
                <w:sz w:val="21"/>
                <w:szCs w:val="21"/>
              </w:rPr>
            </w:pPr>
            <w:r w:rsidRPr="00CB0239">
              <w:rPr>
                <w:rFonts w:ascii="Times New Roman" w:hAnsi="Times New Roman" w:cs="Times New Roman" w:hint="eastAsia"/>
                <w:kern w:val="0"/>
                <w:sz w:val="21"/>
                <w:szCs w:val="21"/>
              </w:rPr>
              <w:t>鹏扬中债</w:t>
            </w:r>
            <w:r w:rsidRPr="00CB0239">
              <w:rPr>
                <w:rFonts w:ascii="Times New Roman" w:hAnsi="Times New Roman" w:cs="Times New Roman" w:hint="eastAsia"/>
                <w:kern w:val="0"/>
                <w:sz w:val="21"/>
                <w:szCs w:val="21"/>
              </w:rPr>
              <w:t>0-3</w:t>
            </w:r>
            <w:r w:rsidRPr="00CB0239">
              <w:rPr>
                <w:rFonts w:ascii="Times New Roman" w:hAnsi="Times New Roman" w:cs="Times New Roman" w:hint="eastAsia"/>
                <w:kern w:val="0"/>
                <w:sz w:val="21"/>
                <w:szCs w:val="21"/>
              </w:rPr>
              <w:t>年政金债指数</w:t>
            </w:r>
            <w:r w:rsidRPr="00CB0239">
              <w:rPr>
                <w:rFonts w:ascii="Times New Roman" w:hAnsi="Times New Roman" w:cs="Times New Roman" w:hint="eastAsia"/>
                <w:kern w:val="0"/>
                <w:sz w:val="21"/>
                <w:szCs w:val="21"/>
              </w:rPr>
              <w:t>A</w:t>
            </w:r>
          </w:p>
        </w:tc>
        <w:tc>
          <w:tcPr>
            <w:tcW w:w="1144" w:type="dxa"/>
            <w:noWrap/>
            <w:vAlign w:val="center"/>
          </w:tcPr>
          <w:p w:rsidR="006A21AF" w:rsidRDefault="002A6B75">
            <w:pPr>
              <w:pStyle w:val="a8"/>
              <w:spacing w:before="0" w:beforeAutospacing="0" w:after="0" w:afterAutospacing="0"/>
              <w:jc w:val="center"/>
              <w:rPr>
                <w:rFonts w:ascii="Times New Roman" w:hAnsi="Times New Roman" w:cs="Times New Roman"/>
                <w:kern w:val="0"/>
                <w:sz w:val="21"/>
                <w:szCs w:val="21"/>
              </w:rPr>
            </w:pPr>
            <w:r>
              <w:rPr>
                <w:rFonts w:ascii="Times New Roman" w:hAnsi="Times New Roman" w:cs="Times New Roman"/>
                <w:kern w:val="0"/>
                <w:sz w:val="21"/>
                <w:szCs w:val="21"/>
              </w:rPr>
              <w:t>0</w:t>
            </w:r>
            <w:r>
              <w:rPr>
                <w:rFonts w:ascii="Times New Roman" w:hAnsi="Times New Roman" w:cs="Times New Roman" w:hint="eastAsia"/>
                <w:kern w:val="0"/>
                <w:sz w:val="21"/>
                <w:szCs w:val="21"/>
              </w:rPr>
              <w:t>20943</w:t>
            </w:r>
          </w:p>
        </w:tc>
        <w:tc>
          <w:tcPr>
            <w:tcW w:w="1697" w:type="dxa"/>
            <w:vMerge/>
            <w:vAlign w:val="center"/>
          </w:tcPr>
          <w:p w:rsidR="006A21AF" w:rsidRDefault="006A21AF">
            <w:pPr>
              <w:pStyle w:val="a8"/>
              <w:spacing w:before="0" w:beforeAutospacing="0" w:after="0" w:afterAutospacing="0"/>
              <w:jc w:val="both"/>
              <w:rPr>
                <w:rFonts w:ascii="Times New Roman" w:hAnsi="Times New Roman" w:cs="Times New Roman"/>
                <w:sz w:val="21"/>
                <w:szCs w:val="21"/>
              </w:rPr>
            </w:pPr>
          </w:p>
        </w:tc>
        <w:tc>
          <w:tcPr>
            <w:tcW w:w="1896" w:type="dxa"/>
            <w:vMerge/>
            <w:vAlign w:val="center"/>
          </w:tcPr>
          <w:p w:rsidR="006A21AF" w:rsidRDefault="006A21AF">
            <w:pPr>
              <w:pStyle w:val="a8"/>
              <w:spacing w:before="0" w:beforeAutospacing="0" w:after="0" w:afterAutospacing="0"/>
              <w:jc w:val="center"/>
              <w:rPr>
                <w:rFonts w:ascii="Times New Roman" w:hAnsi="Times New Roman" w:cs="Times New Roman"/>
                <w:sz w:val="21"/>
                <w:szCs w:val="21"/>
              </w:rPr>
            </w:pPr>
          </w:p>
        </w:tc>
      </w:tr>
      <w:tr w:rsidR="00343090" w:rsidTr="00343090">
        <w:trPr>
          <w:trHeight w:val="351"/>
          <w:jc w:val="center"/>
        </w:trPr>
        <w:tc>
          <w:tcPr>
            <w:tcW w:w="0" w:type="auto"/>
            <w:vMerge/>
            <w:vAlign w:val="center"/>
          </w:tcPr>
          <w:p w:rsidR="006A21AF" w:rsidRDefault="006A21AF">
            <w:pPr>
              <w:pStyle w:val="a8"/>
              <w:spacing w:before="0" w:beforeAutospacing="0" w:after="0" w:afterAutospacing="0"/>
              <w:jc w:val="center"/>
              <w:rPr>
                <w:rFonts w:ascii="Times New Roman" w:hAnsi="Times New Roman" w:cs="Times New Roman"/>
                <w:kern w:val="0"/>
                <w:sz w:val="21"/>
                <w:szCs w:val="21"/>
              </w:rPr>
            </w:pPr>
          </w:p>
        </w:tc>
        <w:tc>
          <w:tcPr>
            <w:tcW w:w="3181" w:type="dxa"/>
            <w:noWrap/>
            <w:vAlign w:val="center"/>
          </w:tcPr>
          <w:p w:rsidR="006A21AF" w:rsidRDefault="00CB0239">
            <w:pPr>
              <w:pStyle w:val="a8"/>
              <w:spacing w:before="0" w:beforeAutospacing="0" w:after="0" w:afterAutospacing="0"/>
              <w:jc w:val="center"/>
              <w:rPr>
                <w:rFonts w:ascii="Times New Roman" w:hAnsi="Times New Roman" w:cs="Times New Roman"/>
                <w:kern w:val="0"/>
                <w:sz w:val="21"/>
                <w:szCs w:val="21"/>
              </w:rPr>
            </w:pPr>
            <w:r w:rsidRPr="00CB0239">
              <w:rPr>
                <w:rFonts w:ascii="Times New Roman" w:hAnsi="Times New Roman" w:cs="Times New Roman" w:hint="eastAsia"/>
                <w:kern w:val="0"/>
                <w:sz w:val="21"/>
                <w:szCs w:val="21"/>
              </w:rPr>
              <w:t>鹏扬中债</w:t>
            </w:r>
            <w:r w:rsidRPr="00CB0239">
              <w:rPr>
                <w:rFonts w:ascii="Times New Roman" w:hAnsi="Times New Roman" w:cs="Times New Roman" w:hint="eastAsia"/>
                <w:kern w:val="0"/>
                <w:sz w:val="21"/>
                <w:szCs w:val="21"/>
              </w:rPr>
              <w:t>0-3</w:t>
            </w:r>
            <w:r w:rsidRPr="00CB0239">
              <w:rPr>
                <w:rFonts w:ascii="Times New Roman" w:hAnsi="Times New Roman" w:cs="Times New Roman" w:hint="eastAsia"/>
                <w:kern w:val="0"/>
                <w:sz w:val="21"/>
                <w:szCs w:val="21"/>
              </w:rPr>
              <w:t>年政金债指数</w:t>
            </w:r>
            <w:r w:rsidR="002A6B75">
              <w:rPr>
                <w:rFonts w:ascii="Times New Roman" w:hAnsi="Times New Roman" w:cs="Times New Roman" w:hint="eastAsia"/>
                <w:kern w:val="0"/>
                <w:sz w:val="21"/>
                <w:szCs w:val="21"/>
              </w:rPr>
              <w:t>C</w:t>
            </w:r>
          </w:p>
        </w:tc>
        <w:tc>
          <w:tcPr>
            <w:tcW w:w="1144" w:type="dxa"/>
            <w:noWrap/>
            <w:vAlign w:val="center"/>
          </w:tcPr>
          <w:p w:rsidR="006A21AF" w:rsidRDefault="002A6B75">
            <w:pPr>
              <w:pStyle w:val="a8"/>
              <w:spacing w:before="0" w:beforeAutospacing="0" w:after="0" w:afterAutospacing="0"/>
              <w:jc w:val="center"/>
              <w:rPr>
                <w:rFonts w:ascii="Times New Roman" w:hAnsi="Times New Roman" w:cs="Times New Roman"/>
                <w:kern w:val="0"/>
                <w:sz w:val="21"/>
                <w:szCs w:val="21"/>
              </w:rPr>
            </w:pPr>
            <w:r>
              <w:rPr>
                <w:rFonts w:ascii="Times New Roman" w:hAnsi="Times New Roman" w:cs="Times New Roman"/>
                <w:kern w:val="0"/>
                <w:sz w:val="21"/>
                <w:szCs w:val="21"/>
              </w:rPr>
              <w:t>0</w:t>
            </w:r>
            <w:r>
              <w:rPr>
                <w:rFonts w:ascii="Times New Roman" w:hAnsi="Times New Roman" w:cs="Times New Roman" w:hint="eastAsia"/>
                <w:kern w:val="0"/>
                <w:sz w:val="21"/>
                <w:szCs w:val="21"/>
              </w:rPr>
              <w:t>20944</w:t>
            </w:r>
          </w:p>
        </w:tc>
        <w:tc>
          <w:tcPr>
            <w:tcW w:w="1697" w:type="dxa"/>
            <w:vMerge/>
            <w:vAlign w:val="center"/>
          </w:tcPr>
          <w:p w:rsidR="006A21AF" w:rsidRDefault="006A21AF">
            <w:pPr>
              <w:pStyle w:val="a8"/>
              <w:spacing w:before="0" w:beforeAutospacing="0" w:after="0" w:afterAutospacing="0"/>
              <w:jc w:val="both"/>
              <w:rPr>
                <w:rFonts w:ascii="Times New Roman" w:hAnsi="Times New Roman" w:cs="Times New Roman"/>
                <w:sz w:val="21"/>
                <w:szCs w:val="21"/>
              </w:rPr>
            </w:pPr>
          </w:p>
        </w:tc>
        <w:tc>
          <w:tcPr>
            <w:tcW w:w="1896" w:type="dxa"/>
            <w:vMerge/>
            <w:vAlign w:val="center"/>
          </w:tcPr>
          <w:p w:rsidR="006A21AF" w:rsidRDefault="006A21AF">
            <w:pPr>
              <w:pStyle w:val="a8"/>
              <w:spacing w:before="0" w:beforeAutospacing="0" w:after="0" w:afterAutospacing="0"/>
              <w:jc w:val="center"/>
              <w:rPr>
                <w:rFonts w:ascii="Times New Roman" w:hAnsi="Times New Roman" w:cs="Times New Roman"/>
                <w:sz w:val="21"/>
                <w:szCs w:val="21"/>
              </w:rPr>
            </w:pPr>
          </w:p>
        </w:tc>
      </w:tr>
      <w:tr w:rsidR="00343090" w:rsidTr="00343090">
        <w:trPr>
          <w:trHeight w:val="351"/>
          <w:jc w:val="center"/>
        </w:trPr>
        <w:tc>
          <w:tcPr>
            <w:tcW w:w="0" w:type="auto"/>
            <w:vMerge w:val="restart"/>
            <w:vAlign w:val="center"/>
          </w:tcPr>
          <w:p w:rsidR="006A21AF" w:rsidRDefault="002A6B75">
            <w:pPr>
              <w:pStyle w:val="a8"/>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3</w:t>
            </w:r>
          </w:p>
        </w:tc>
        <w:tc>
          <w:tcPr>
            <w:tcW w:w="3181" w:type="dxa"/>
            <w:noWrap/>
            <w:vAlign w:val="center"/>
          </w:tcPr>
          <w:p w:rsidR="006A21AF" w:rsidRDefault="00343090">
            <w:pPr>
              <w:pStyle w:val="a8"/>
              <w:spacing w:before="0" w:beforeAutospacing="0" w:after="0" w:afterAutospacing="0"/>
              <w:jc w:val="center"/>
              <w:rPr>
                <w:rFonts w:ascii="Times New Roman" w:hAnsi="Times New Roman" w:cs="Times New Roman"/>
                <w:sz w:val="21"/>
                <w:szCs w:val="21"/>
              </w:rPr>
            </w:pPr>
            <w:r w:rsidRPr="00343090">
              <w:rPr>
                <w:rFonts w:ascii="Times New Roman" w:hAnsi="Times New Roman" w:cs="Times New Roman" w:hint="eastAsia"/>
                <w:kern w:val="0"/>
                <w:sz w:val="21"/>
                <w:szCs w:val="21"/>
              </w:rPr>
              <w:t>鹏扬中债</w:t>
            </w:r>
            <w:r w:rsidRPr="00343090">
              <w:rPr>
                <w:rFonts w:ascii="Times New Roman" w:hAnsi="Times New Roman" w:cs="Times New Roman" w:hint="eastAsia"/>
                <w:kern w:val="0"/>
                <w:sz w:val="21"/>
                <w:szCs w:val="21"/>
              </w:rPr>
              <w:t>3-5</w:t>
            </w:r>
            <w:r w:rsidRPr="00343090">
              <w:rPr>
                <w:rFonts w:ascii="Times New Roman" w:hAnsi="Times New Roman" w:cs="Times New Roman" w:hint="eastAsia"/>
                <w:kern w:val="0"/>
                <w:sz w:val="21"/>
                <w:szCs w:val="21"/>
              </w:rPr>
              <w:t>年国开债指数</w:t>
            </w:r>
            <w:r w:rsidRPr="00343090">
              <w:rPr>
                <w:rFonts w:ascii="Times New Roman" w:hAnsi="Times New Roman" w:cs="Times New Roman" w:hint="eastAsia"/>
                <w:kern w:val="0"/>
                <w:sz w:val="21"/>
                <w:szCs w:val="21"/>
              </w:rPr>
              <w:t>A</w:t>
            </w:r>
          </w:p>
        </w:tc>
        <w:tc>
          <w:tcPr>
            <w:tcW w:w="1144" w:type="dxa"/>
            <w:noWrap/>
            <w:vAlign w:val="center"/>
          </w:tcPr>
          <w:p w:rsidR="006A21AF" w:rsidRDefault="002A6B75">
            <w:pPr>
              <w:pStyle w:val="a8"/>
              <w:spacing w:before="0" w:beforeAutospacing="0" w:after="0" w:afterAutospacing="0"/>
              <w:jc w:val="center"/>
              <w:rPr>
                <w:rFonts w:ascii="Times New Roman" w:hAnsi="Times New Roman" w:cs="Times New Roman"/>
                <w:sz w:val="21"/>
                <w:szCs w:val="21"/>
              </w:rPr>
            </w:pPr>
            <w:r>
              <w:rPr>
                <w:rFonts w:ascii="Times New Roman" w:hAnsi="Times New Roman" w:cs="Times New Roman"/>
                <w:kern w:val="0"/>
                <w:sz w:val="21"/>
                <w:szCs w:val="21"/>
              </w:rPr>
              <w:t>0</w:t>
            </w:r>
            <w:r>
              <w:rPr>
                <w:rFonts w:ascii="Times New Roman" w:hAnsi="Times New Roman" w:cs="Times New Roman" w:hint="eastAsia"/>
                <w:kern w:val="0"/>
                <w:sz w:val="21"/>
                <w:szCs w:val="21"/>
              </w:rPr>
              <w:t>14101</w:t>
            </w:r>
          </w:p>
        </w:tc>
        <w:tc>
          <w:tcPr>
            <w:tcW w:w="1697" w:type="dxa"/>
            <w:vMerge/>
            <w:vAlign w:val="center"/>
          </w:tcPr>
          <w:p w:rsidR="006A21AF" w:rsidRDefault="006A21AF">
            <w:pPr>
              <w:pStyle w:val="a8"/>
              <w:spacing w:before="0" w:beforeAutospacing="0" w:after="0" w:afterAutospacing="0"/>
              <w:jc w:val="both"/>
              <w:rPr>
                <w:rFonts w:ascii="Times New Roman" w:hAnsi="Times New Roman" w:cs="Times New Roman"/>
                <w:sz w:val="21"/>
                <w:szCs w:val="21"/>
              </w:rPr>
            </w:pPr>
          </w:p>
        </w:tc>
        <w:tc>
          <w:tcPr>
            <w:tcW w:w="1896" w:type="dxa"/>
            <w:vMerge/>
            <w:vAlign w:val="center"/>
          </w:tcPr>
          <w:p w:rsidR="006A21AF" w:rsidRDefault="006A21AF">
            <w:pPr>
              <w:pStyle w:val="a8"/>
              <w:spacing w:before="0" w:beforeAutospacing="0" w:after="0" w:afterAutospacing="0"/>
              <w:jc w:val="center"/>
              <w:rPr>
                <w:rFonts w:ascii="Times New Roman" w:hAnsi="Times New Roman" w:cs="Times New Roman"/>
                <w:sz w:val="21"/>
                <w:szCs w:val="21"/>
              </w:rPr>
            </w:pPr>
          </w:p>
        </w:tc>
      </w:tr>
      <w:tr w:rsidR="00343090" w:rsidTr="00343090">
        <w:trPr>
          <w:trHeight w:val="351"/>
          <w:jc w:val="center"/>
        </w:trPr>
        <w:tc>
          <w:tcPr>
            <w:tcW w:w="0" w:type="auto"/>
            <w:vMerge/>
            <w:vAlign w:val="center"/>
          </w:tcPr>
          <w:p w:rsidR="006A21AF" w:rsidRDefault="006A21AF">
            <w:pPr>
              <w:pStyle w:val="a8"/>
              <w:spacing w:before="0" w:beforeAutospacing="0" w:after="0" w:afterAutospacing="0"/>
              <w:jc w:val="center"/>
              <w:rPr>
                <w:rFonts w:ascii="Times New Roman" w:hAnsi="Times New Roman" w:cs="Times New Roman"/>
                <w:sz w:val="21"/>
                <w:szCs w:val="21"/>
              </w:rPr>
            </w:pPr>
          </w:p>
        </w:tc>
        <w:tc>
          <w:tcPr>
            <w:tcW w:w="3181" w:type="dxa"/>
            <w:noWrap/>
            <w:vAlign w:val="center"/>
          </w:tcPr>
          <w:p w:rsidR="006A21AF" w:rsidRDefault="00343090">
            <w:pPr>
              <w:pStyle w:val="a8"/>
              <w:spacing w:before="0" w:beforeAutospacing="0" w:after="0" w:afterAutospacing="0"/>
              <w:jc w:val="center"/>
              <w:rPr>
                <w:rFonts w:ascii="Times New Roman" w:hAnsi="Times New Roman" w:cs="Times New Roman"/>
                <w:sz w:val="21"/>
                <w:szCs w:val="21"/>
              </w:rPr>
            </w:pPr>
            <w:r w:rsidRPr="00343090">
              <w:rPr>
                <w:rFonts w:ascii="Times New Roman" w:hAnsi="Times New Roman" w:cs="Times New Roman" w:hint="eastAsia"/>
                <w:kern w:val="0"/>
                <w:sz w:val="21"/>
                <w:szCs w:val="21"/>
              </w:rPr>
              <w:t>鹏扬中债</w:t>
            </w:r>
            <w:r w:rsidRPr="00343090">
              <w:rPr>
                <w:rFonts w:ascii="Times New Roman" w:hAnsi="Times New Roman" w:cs="Times New Roman" w:hint="eastAsia"/>
                <w:kern w:val="0"/>
                <w:sz w:val="21"/>
                <w:szCs w:val="21"/>
              </w:rPr>
              <w:t>3-5</w:t>
            </w:r>
            <w:r w:rsidRPr="00343090">
              <w:rPr>
                <w:rFonts w:ascii="Times New Roman" w:hAnsi="Times New Roman" w:cs="Times New Roman" w:hint="eastAsia"/>
                <w:kern w:val="0"/>
                <w:sz w:val="21"/>
                <w:szCs w:val="21"/>
              </w:rPr>
              <w:t>年国开债指数</w:t>
            </w:r>
            <w:r w:rsidR="002A6B75">
              <w:rPr>
                <w:rFonts w:ascii="Times New Roman" w:hAnsi="Times New Roman" w:cs="Times New Roman" w:hint="eastAsia"/>
                <w:kern w:val="0"/>
                <w:sz w:val="21"/>
                <w:szCs w:val="21"/>
              </w:rPr>
              <w:t>C</w:t>
            </w:r>
          </w:p>
        </w:tc>
        <w:tc>
          <w:tcPr>
            <w:tcW w:w="1144" w:type="dxa"/>
            <w:noWrap/>
            <w:vAlign w:val="center"/>
          </w:tcPr>
          <w:p w:rsidR="006A21AF" w:rsidRDefault="002A6B75">
            <w:pPr>
              <w:pStyle w:val="a8"/>
              <w:spacing w:before="0" w:beforeAutospacing="0" w:after="0" w:afterAutospacing="0"/>
              <w:jc w:val="center"/>
              <w:rPr>
                <w:rFonts w:ascii="Times New Roman" w:hAnsi="Times New Roman" w:cs="Times New Roman"/>
                <w:sz w:val="21"/>
                <w:szCs w:val="21"/>
              </w:rPr>
            </w:pPr>
            <w:r>
              <w:rPr>
                <w:rFonts w:ascii="Times New Roman" w:hAnsi="Times New Roman" w:cs="Times New Roman"/>
                <w:kern w:val="0"/>
                <w:sz w:val="21"/>
                <w:szCs w:val="21"/>
              </w:rPr>
              <w:t>0</w:t>
            </w:r>
            <w:r>
              <w:rPr>
                <w:rFonts w:ascii="Times New Roman" w:hAnsi="Times New Roman" w:cs="Times New Roman" w:hint="eastAsia"/>
                <w:kern w:val="0"/>
                <w:sz w:val="21"/>
                <w:szCs w:val="21"/>
              </w:rPr>
              <w:t>14102</w:t>
            </w:r>
          </w:p>
        </w:tc>
        <w:tc>
          <w:tcPr>
            <w:tcW w:w="1697" w:type="dxa"/>
            <w:vMerge/>
            <w:vAlign w:val="center"/>
          </w:tcPr>
          <w:p w:rsidR="006A21AF" w:rsidRDefault="006A21AF">
            <w:pPr>
              <w:pStyle w:val="a8"/>
              <w:spacing w:before="0" w:beforeAutospacing="0" w:after="0" w:afterAutospacing="0"/>
              <w:jc w:val="both"/>
              <w:rPr>
                <w:rFonts w:ascii="Times New Roman" w:hAnsi="Times New Roman" w:cs="Times New Roman"/>
                <w:sz w:val="21"/>
                <w:szCs w:val="21"/>
              </w:rPr>
            </w:pPr>
          </w:p>
        </w:tc>
        <w:tc>
          <w:tcPr>
            <w:tcW w:w="1896" w:type="dxa"/>
            <w:vMerge/>
            <w:vAlign w:val="center"/>
          </w:tcPr>
          <w:p w:rsidR="006A21AF" w:rsidRDefault="006A21AF">
            <w:pPr>
              <w:pStyle w:val="a8"/>
              <w:spacing w:before="0" w:beforeAutospacing="0" w:after="0" w:afterAutospacing="0"/>
              <w:jc w:val="center"/>
              <w:rPr>
                <w:rFonts w:ascii="Times New Roman" w:hAnsi="Times New Roman" w:cs="Times New Roman"/>
                <w:sz w:val="21"/>
                <w:szCs w:val="21"/>
              </w:rPr>
            </w:pPr>
          </w:p>
        </w:tc>
      </w:tr>
    </w:tbl>
    <w:p w:rsidR="006A21AF" w:rsidRDefault="002A6B75" w:rsidP="000475ED">
      <w:pPr>
        <w:spacing w:beforeLines="100" w:after="0" w:line="360" w:lineRule="auto"/>
        <w:ind w:firstLineChars="200" w:firstLine="420"/>
        <w:outlineLvl w:val="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二</w:t>
      </w:r>
      <w:r>
        <w:rPr>
          <w:rFonts w:ascii="Times New Roman" w:eastAsia="宋体" w:hAnsi="Times New Roman" w:cs="Times New Roman"/>
          <w:sz w:val="21"/>
          <w:szCs w:val="21"/>
          <w:lang w:eastAsia="zh-CN"/>
        </w:rPr>
        <w:t>、重要提示</w:t>
      </w:r>
    </w:p>
    <w:p w:rsidR="006A21AF" w:rsidRDefault="002A6B75">
      <w:pPr>
        <w:spacing w:after="0" w:line="360" w:lineRule="auto"/>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w:t>
      </w:r>
      <w:r>
        <w:rPr>
          <w:rFonts w:ascii="Times New Roman" w:eastAsia="宋体" w:hAnsi="Times New Roman" w:cs="Times New Roman"/>
          <w:sz w:val="21"/>
          <w:szCs w:val="21"/>
          <w:lang w:eastAsia="zh-CN"/>
        </w:rPr>
        <w:t>、投资者在</w:t>
      </w:r>
      <w:r>
        <w:rPr>
          <w:rFonts w:ascii="Times New Roman" w:eastAsia="宋体" w:hAnsi="Times New Roman" w:cs="Times New Roman" w:hint="eastAsia"/>
          <w:sz w:val="21"/>
          <w:szCs w:val="21"/>
          <w:lang w:eastAsia="zh-CN"/>
        </w:rPr>
        <w:t>联泰基金</w:t>
      </w:r>
      <w:r>
        <w:rPr>
          <w:rFonts w:ascii="Times New Roman" w:eastAsia="宋体" w:hAnsi="Times New Roman" w:cs="Times New Roman"/>
          <w:sz w:val="21"/>
          <w:szCs w:val="21"/>
          <w:lang w:eastAsia="zh-CN"/>
        </w:rPr>
        <w:t>办理基金的投资事务，具体费率计算、办理规则及程序以</w:t>
      </w:r>
      <w:r>
        <w:rPr>
          <w:rFonts w:ascii="Times New Roman" w:eastAsia="宋体" w:hAnsi="Times New Roman" w:cs="Times New Roman" w:hint="eastAsia"/>
          <w:sz w:val="21"/>
          <w:szCs w:val="21"/>
          <w:lang w:eastAsia="zh-CN"/>
        </w:rPr>
        <w:t>联泰基金</w:t>
      </w:r>
      <w:r>
        <w:rPr>
          <w:rFonts w:ascii="Times New Roman" w:eastAsia="宋体" w:hAnsi="Times New Roman" w:cs="Times New Roman"/>
          <w:sz w:val="21"/>
          <w:szCs w:val="21"/>
          <w:lang w:eastAsia="zh-CN"/>
        </w:rPr>
        <w:t>的安排和规定为准。基金的原费率，参见上述基金的《基金合同》、更新的《招募说明书》、更新的《产品资料概要》及本公司发布的最新相关公告。</w:t>
      </w:r>
    </w:p>
    <w:p w:rsidR="006A21AF" w:rsidRDefault="002A6B75">
      <w:pPr>
        <w:spacing w:after="0" w:line="360" w:lineRule="auto"/>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2</w:t>
      </w:r>
      <w:r>
        <w:rPr>
          <w:rFonts w:ascii="Times New Roman" w:eastAsia="宋体" w:hAnsi="Times New Roman" w:cs="Times New Roman"/>
          <w:sz w:val="21"/>
          <w:szCs w:val="21"/>
          <w:lang w:eastAsia="zh-CN"/>
        </w:rPr>
        <w:t>、本优惠活动仅适用于我司产品在</w:t>
      </w:r>
      <w:r>
        <w:rPr>
          <w:rFonts w:ascii="Times New Roman" w:eastAsia="宋体" w:hAnsi="Times New Roman" w:cs="Times New Roman" w:hint="eastAsia"/>
          <w:sz w:val="21"/>
          <w:szCs w:val="21"/>
          <w:lang w:eastAsia="zh-CN"/>
        </w:rPr>
        <w:t>联泰基金</w:t>
      </w:r>
      <w:r>
        <w:rPr>
          <w:rFonts w:ascii="Times New Roman" w:eastAsia="宋体" w:hAnsi="Times New Roman" w:cs="Times New Roman"/>
          <w:sz w:val="21"/>
          <w:szCs w:val="21"/>
          <w:lang w:eastAsia="zh-CN"/>
        </w:rPr>
        <w:t>的申购及定投申购费率</w:t>
      </w:r>
      <w:r w:rsidR="00A066D4">
        <w:rPr>
          <w:rFonts w:ascii="Times New Roman" w:eastAsia="宋体" w:hAnsi="Times New Roman" w:cs="Times New Roman" w:hint="eastAsia"/>
          <w:sz w:val="21"/>
          <w:szCs w:val="21"/>
          <w:lang w:eastAsia="zh-CN"/>
        </w:rPr>
        <w:t>，</w:t>
      </w:r>
      <w:r w:rsidR="00A066D4" w:rsidRPr="00A066D4">
        <w:rPr>
          <w:rFonts w:ascii="Times New Roman" w:eastAsia="宋体" w:hAnsi="Times New Roman" w:cs="Times New Roman" w:hint="eastAsia"/>
          <w:sz w:val="21"/>
          <w:szCs w:val="21"/>
          <w:lang w:eastAsia="zh-CN"/>
        </w:rPr>
        <w:t>不包括基金赎回、转换业务等其他业务的手续费</w:t>
      </w:r>
      <w:r>
        <w:rPr>
          <w:rFonts w:ascii="Times New Roman" w:eastAsia="宋体" w:hAnsi="Times New Roman" w:cs="Times New Roman"/>
          <w:sz w:val="21"/>
          <w:szCs w:val="21"/>
          <w:lang w:eastAsia="zh-CN"/>
        </w:rPr>
        <w:t>。</w:t>
      </w:r>
    </w:p>
    <w:p w:rsidR="006A21AF" w:rsidRDefault="002A6B75">
      <w:pPr>
        <w:spacing w:after="0" w:line="360" w:lineRule="auto"/>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3</w:t>
      </w:r>
      <w:r>
        <w:rPr>
          <w:rFonts w:ascii="Times New Roman" w:eastAsia="宋体" w:hAnsi="Times New Roman" w:cs="Times New Roman"/>
          <w:sz w:val="21"/>
          <w:szCs w:val="21"/>
          <w:lang w:eastAsia="zh-CN"/>
        </w:rPr>
        <w:t>、费率优惠活动解释权归销售机构所有，敬请投资者留意</w:t>
      </w:r>
      <w:r>
        <w:rPr>
          <w:rFonts w:ascii="Times New Roman" w:eastAsia="宋体" w:hAnsi="Times New Roman" w:cs="Times New Roman" w:hint="eastAsia"/>
          <w:sz w:val="21"/>
          <w:szCs w:val="21"/>
          <w:lang w:eastAsia="zh-CN"/>
        </w:rPr>
        <w:t>上述</w:t>
      </w:r>
      <w:r>
        <w:rPr>
          <w:rFonts w:ascii="Times New Roman" w:eastAsia="宋体" w:hAnsi="Times New Roman" w:cs="Times New Roman"/>
          <w:sz w:val="21"/>
          <w:szCs w:val="21"/>
          <w:lang w:eastAsia="zh-CN"/>
        </w:rPr>
        <w:t>销售机构的有关公告。</w:t>
      </w:r>
    </w:p>
    <w:p w:rsidR="006A21AF" w:rsidRDefault="002A6B75" w:rsidP="000475ED">
      <w:pPr>
        <w:spacing w:beforeLines="50" w:after="0" w:line="360" w:lineRule="auto"/>
        <w:ind w:firstLineChars="200" w:firstLine="420"/>
        <w:outlineLvl w:val="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三</w:t>
      </w:r>
      <w:r>
        <w:rPr>
          <w:rFonts w:ascii="Times New Roman" w:eastAsia="宋体" w:hAnsi="Times New Roman" w:cs="Times New Roman"/>
          <w:sz w:val="21"/>
          <w:szCs w:val="21"/>
          <w:lang w:eastAsia="zh-CN"/>
        </w:rPr>
        <w:t>、咨询途径</w:t>
      </w:r>
    </w:p>
    <w:p w:rsidR="006A21AF" w:rsidRDefault="002A6B75">
      <w:pPr>
        <w:spacing w:after="0" w:line="360" w:lineRule="auto"/>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投资者可通过以下途径咨询有关详情：</w:t>
      </w:r>
    </w:p>
    <w:p w:rsidR="006A21AF" w:rsidRDefault="002A6B75">
      <w:pPr>
        <w:spacing w:after="0" w:line="360" w:lineRule="auto"/>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w:t>
      </w:r>
      <w:r>
        <w:rPr>
          <w:rFonts w:ascii="Times New Roman" w:eastAsia="宋体" w:hAnsi="Times New Roman" w:cs="Times New Roman"/>
          <w:sz w:val="21"/>
          <w:szCs w:val="21"/>
          <w:lang w:eastAsia="zh-CN"/>
        </w:rPr>
        <w:t>、</w:t>
      </w:r>
      <w:r>
        <w:rPr>
          <w:rFonts w:ascii="Times New Roman" w:eastAsia="宋体" w:hAnsi="Times New Roman" w:cs="宋体" w:hint="eastAsia"/>
          <w:sz w:val="21"/>
          <w:szCs w:val="21"/>
          <w:lang w:eastAsia="zh-CN"/>
        </w:rPr>
        <w:t>上海联泰基金销售有限公司</w:t>
      </w:r>
    </w:p>
    <w:p w:rsidR="006A21AF" w:rsidRDefault="002A6B75">
      <w:pPr>
        <w:spacing w:after="0" w:line="360" w:lineRule="auto"/>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客服电话：</w:t>
      </w:r>
      <w:r>
        <w:rPr>
          <w:rFonts w:ascii="Times New Roman" w:eastAsia="宋体" w:hAnsi="Times New Roman" w:cs="Times New Roman" w:hint="eastAsia"/>
          <w:sz w:val="21"/>
          <w:szCs w:val="21"/>
          <w:lang w:eastAsia="zh-CN"/>
        </w:rPr>
        <w:t>021-52822063</w:t>
      </w:r>
    </w:p>
    <w:p w:rsidR="006A21AF" w:rsidRDefault="002A6B75">
      <w:pPr>
        <w:spacing w:after="0" w:line="360" w:lineRule="auto"/>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网址</w:t>
      </w:r>
      <w:r w:rsidR="00A066D4">
        <w:rPr>
          <w:rFonts w:ascii="Times New Roman" w:eastAsia="宋体" w:hAnsi="Times New Roman" w:cs="Times New Roman" w:hint="eastAsia"/>
          <w:sz w:val="21"/>
          <w:szCs w:val="21"/>
          <w:lang w:eastAsia="zh-CN"/>
        </w:rPr>
        <w:t>：</w:t>
      </w:r>
      <w:r>
        <w:rPr>
          <w:rFonts w:ascii="Times New Roman" w:eastAsia="宋体" w:hAnsi="Times New Roman" w:cs="Times New Roman" w:hint="eastAsia"/>
          <w:sz w:val="21"/>
          <w:szCs w:val="21"/>
          <w:lang w:eastAsia="zh-CN"/>
        </w:rPr>
        <w:t>www.66liantai.com/</w:t>
      </w:r>
    </w:p>
    <w:p w:rsidR="006A21AF" w:rsidRDefault="002A6B75">
      <w:pPr>
        <w:spacing w:after="0" w:line="360" w:lineRule="auto"/>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2</w:t>
      </w:r>
      <w:r>
        <w:rPr>
          <w:rFonts w:ascii="Times New Roman" w:eastAsia="宋体" w:hAnsi="Times New Roman" w:cs="Times New Roman"/>
          <w:sz w:val="21"/>
          <w:szCs w:val="21"/>
          <w:lang w:eastAsia="zh-CN"/>
        </w:rPr>
        <w:t>、鹏扬基金管理有限公司</w:t>
      </w:r>
    </w:p>
    <w:p w:rsidR="006A21AF" w:rsidRDefault="002A6B75">
      <w:pPr>
        <w:spacing w:after="0" w:line="360" w:lineRule="auto"/>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客服电话：</w:t>
      </w:r>
      <w:r>
        <w:rPr>
          <w:rFonts w:ascii="Times New Roman" w:eastAsia="宋体" w:hAnsi="Times New Roman" w:cs="Times New Roman"/>
          <w:sz w:val="21"/>
          <w:szCs w:val="21"/>
          <w:lang w:eastAsia="zh-CN"/>
        </w:rPr>
        <w:t>400-968-6688</w:t>
      </w:r>
    </w:p>
    <w:p w:rsidR="006A21AF" w:rsidRDefault="002A6B75">
      <w:pPr>
        <w:spacing w:after="0" w:line="360" w:lineRule="auto"/>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网址：</w:t>
      </w:r>
      <w:r>
        <w:rPr>
          <w:rFonts w:ascii="Times New Roman" w:eastAsia="宋体" w:hAnsi="Times New Roman" w:cs="Times New Roman"/>
          <w:sz w:val="21"/>
          <w:szCs w:val="21"/>
          <w:lang w:eastAsia="zh-CN"/>
        </w:rPr>
        <w:t>www.pyamc.com</w:t>
      </w:r>
    </w:p>
    <w:p w:rsidR="006A21AF" w:rsidRDefault="002A6B75" w:rsidP="000475ED">
      <w:pPr>
        <w:spacing w:beforeLines="50" w:after="0" w:line="360" w:lineRule="auto"/>
        <w:ind w:firstLineChars="200" w:firstLine="420"/>
        <w:outlineLvl w:val="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四</w:t>
      </w:r>
      <w:r>
        <w:rPr>
          <w:rFonts w:ascii="Times New Roman" w:eastAsia="宋体" w:hAnsi="Times New Roman" w:cs="Times New Roman"/>
          <w:sz w:val="21"/>
          <w:szCs w:val="21"/>
          <w:lang w:eastAsia="zh-CN"/>
        </w:rPr>
        <w:t>、风险提示</w:t>
      </w:r>
    </w:p>
    <w:p w:rsidR="006A21AF" w:rsidRDefault="002A6B75">
      <w:pPr>
        <w:spacing w:after="0" w:line="360" w:lineRule="auto"/>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本公司承诺以诚实信用、勤勉尽责的原则管理和运用基金资产，但不保证基金一定盈利，也不保证最低收益。基金的过往业绩及其净值高低并不预示其未来业绩表现。销售机构根据法规要求对投资者类别、风险承受能力和基金的风险等级进行划分，并提出适当性匹配意见。</w:t>
      </w:r>
      <w:r>
        <w:rPr>
          <w:rFonts w:ascii="Times New Roman" w:eastAsia="宋体" w:hAnsi="Times New Roman" w:cs="Times New Roman"/>
          <w:sz w:val="21"/>
          <w:szCs w:val="21"/>
          <w:lang w:eastAsia="zh-CN"/>
        </w:rPr>
        <w:lastRenderedPageBreak/>
        <w:t>投资者投资本公司管理的基金时，应认真阅读基金合同、招募说明书（更新）、产品资料概要（更新）等法律文件，全面认识基金的风险收益特征和产品特性，在了解产品情况、听取销售机构适当性匹配意见的基础上，充分考虑自身的风险承受能力、投资期限和投资目标，理性判断市场，谨慎做出投资决策。基金管理人提醒投资者基金投资的</w:t>
      </w: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买者自负</w:t>
      </w: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原则，在做出投资决策后，基金运营状况与基金净值变化引致的投资风险，由投资者自行负担。请投资者严格遵守反洗钱相关法律法规的规定，切实履行反洗钱义务。</w:t>
      </w:r>
    </w:p>
    <w:p w:rsidR="006A21AF" w:rsidRDefault="002A6B75" w:rsidP="000475ED">
      <w:pPr>
        <w:spacing w:beforeLines="100" w:afterLines="100" w:line="360" w:lineRule="auto"/>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特此公告。</w:t>
      </w:r>
    </w:p>
    <w:p w:rsidR="006A21AF" w:rsidRDefault="002A6B75">
      <w:pPr>
        <w:pStyle w:val="a8"/>
        <w:spacing w:before="0" w:beforeAutospacing="0" w:after="0" w:afterAutospacing="0" w:line="360" w:lineRule="auto"/>
        <w:jc w:val="right"/>
        <w:rPr>
          <w:rFonts w:ascii="Times New Roman" w:hAnsi="Times New Roman" w:cs="Times New Roman"/>
          <w:color w:val="000000"/>
          <w:sz w:val="21"/>
          <w:szCs w:val="21"/>
        </w:rPr>
      </w:pPr>
      <w:r>
        <w:rPr>
          <w:rFonts w:ascii="Times New Roman" w:hAnsi="Times New Roman" w:cs="Times New Roman"/>
          <w:color w:val="000000"/>
          <w:sz w:val="21"/>
          <w:szCs w:val="21"/>
        </w:rPr>
        <w:t>鹏扬基金管理有限公司</w:t>
      </w:r>
    </w:p>
    <w:p w:rsidR="006A21AF" w:rsidRDefault="002A6B75">
      <w:pPr>
        <w:pStyle w:val="a8"/>
        <w:spacing w:before="0" w:beforeAutospacing="0" w:after="0" w:afterAutospacing="0" w:line="360" w:lineRule="auto"/>
        <w:jc w:val="right"/>
        <w:rPr>
          <w:rFonts w:ascii="Times New Roman" w:hAnsi="Times New Roman" w:cs="Times New Roman"/>
          <w:color w:val="000000"/>
          <w:sz w:val="21"/>
          <w:szCs w:val="21"/>
        </w:rPr>
      </w:pPr>
      <w:r>
        <w:rPr>
          <w:rFonts w:ascii="Times New Roman" w:hAnsi="Times New Roman" w:cs="Times New Roman"/>
          <w:color w:val="000000"/>
          <w:sz w:val="21"/>
          <w:szCs w:val="21"/>
        </w:rPr>
        <w:t>20</w:t>
      </w:r>
      <w:r>
        <w:rPr>
          <w:rFonts w:ascii="Times New Roman" w:hAnsi="Times New Roman" w:cs="Times New Roman" w:hint="eastAsia"/>
          <w:color w:val="000000"/>
          <w:sz w:val="21"/>
          <w:szCs w:val="21"/>
        </w:rPr>
        <w:t>25</w:t>
      </w:r>
      <w:r>
        <w:rPr>
          <w:rFonts w:ascii="Times New Roman" w:hAnsi="Times New Roman" w:cs="Times New Roman"/>
          <w:color w:val="000000"/>
          <w:sz w:val="21"/>
          <w:szCs w:val="21"/>
        </w:rPr>
        <w:t>年</w:t>
      </w:r>
      <w:r>
        <w:rPr>
          <w:rFonts w:ascii="Times New Roman" w:hAnsi="Times New Roman" w:cs="Times New Roman" w:hint="eastAsia"/>
          <w:color w:val="000000"/>
          <w:sz w:val="21"/>
          <w:szCs w:val="21"/>
        </w:rPr>
        <w:t>10</w:t>
      </w:r>
      <w:r>
        <w:rPr>
          <w:rFonts w:ascii="Times New Roman" w:hAnsi="Times New Roman" w:cs="Times New Roman"/>
          <w:color w:val="000000"/>
          <w:sz w:val="21"/>
          <w:szCs w:val="21"/>
        </w:rPr>
        <w:t>月</w:t>
      </w:r>
      <w:r>
        <w:rPr>
          <w:rFonts w:ascii="Times New Roman" w:hAnsi="Times New Roman" w:cs="Times New Roman" w:hint="eastAsia"/>
          <w:color w:val="000000"/>
          <w:sz w:val="21"/>
          <w:szCs w:val="21"/>
        </w:rPr>
        <w:t>16</w:t>
      </w:r>
      <w:r>
        <w:rPr>
          <w:rFonts w:ascii="Times New Roman" w:hAnsi="Times New Roman" w:cs="Times New Roman"/>
          <w:color w:val="000000"/>
          <w:sz w:val="21"/>
          <w:szCs w:val="21"/>
        </w:rPr>
        <w:t>日</w:t>
      </w:r>
    </w:p>
    <w:sectPr w:rsidR="006A21AF" w:rsidSect="00AD68E9">
      <w:type w:val="continuous"/>
      <w:pgSz w:w="11920" w:h="16840"/>
      <w:pgMar w:top="1559" w:right="1678" w:bottom="1412" w:left="167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F4C" w:rsidRDefault="008E7F4C">
      <w:pPr>
        <w:spacing w:line="240" w:lineRule="auto"/>
      </w:pPr>
      <w:r>
        <w:separator/>
      </w:r>
    </w:p>
  </w:endnote>
  <w:endnote w:type="continuationSeparator" w:id="0">
    <w:p w:rsidR="008E7F4C" w:rsidRDefault="008E7F4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F4C" w:rsidRDefault="008E7F4C">
      <w:pPr>
        <w:spacing w:after="0"/>
      </w:pPr>
      <w:r>
        <w:separator/>
      </w:r>
    </w:p>
  </w:footnote>
  <w:footnote w:type="continuationSeparator" w:id="0">
    <w:p w:rsidR="008E7F4C" w:rsidRDefault="008E7F4C">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
  <w:rsids>
    <w:rsidRoot w:val="00133F02"/>
    <w:rsid w:val="00001C85"/>
    <w:rsid w:val="00011958"/>
    <w:rsid w:val="0001545F"/>
    <w:rsid w:val="00016025"/>
    <w:rsid w:val="00040675"/>
    <w:rsid w:val="000475ED"/>
    <w:rsid w:val="000534B0"/>
    <w:rsid w:val="000546AC"/>
    <w:rsid w:val="000549EB"/>
    <w:rsid w:val="000625AC"/>
    <w:rsid w:val="000626CE"/>
    <w:rsid w:val="00070A3B"/>
    <w:rsid w:val="00081CD2"/>
    <w:rsid w:val="000903D1"/>
    <w:rsid w:val="00090CB1"/>
    <w:rsid w:val="000B6C69"/>
    <w:rsid w:val="000D7A78"/>
    <w:rsid w:val="000D7A7C"/>
    <w:rsid w:val="000F09D6"/>
    <w:rsid w:val="001032D0"/>
    <w:rsid w:val="00105015"/>
    <w:rsid w:val="00106E86"/>
    <w:rsid w:val="001154D0"/>
    <w:rsid w:val="001201FC"/>
    <w:rsid w:val="001232E7"/>
    <w:rsid w:val="00123444"/>
    <w:rsid w:val="00133F02"/>
    <w:rsid w:val="00135203"/>
    <w:rsid w:val="00136C75"/>
    <w:rsid w:val="00144CFF"/>
    <w:rsid w:val="001457B6"/>
    <w:rsid w:val="00146161"/>
    <w:rsid w:val="00177788"/>
    <w:rsid w:val="001777DF"/>
    <w:rsid w:val="001844FB"/>
    <w:rsid w:val="00190952"/>
    <w:rsid w:val="001932F0"/>
    <w:rsid w:val="00194BD2"/>
    <w:rsid w:val="001A0EAC"/>
    <w:rsid w:val="001A506E"/>
    <w:rsid w:val="001A6E18"/>
    <w:rsid w:val="001B2ED6"/>
    <w:rsid w:val="001B584E"/>
    <w:rsid w:val="001C27BA"/>
    <w:rsid w:val="001C3422"/>
    <w:rsid w:val="001C697C"/>
    <w:rsid w:val="001E5559"/>
    <w:rsid w:val="001F1FD3"/>
    <w:rsid w:val="00210A4E"/>
    <w:rsid w:val="00211ED4"/>
    <w:rsid w:val="00217766"/>
    <w:rsid w:val="00222184"/>
    <w:rsid w:val="002236AC"/>
    <w:rsid w:val="002241C3"/>
    <w:rsid w:val="002244A1"/>
    <w:rsid w:val="002362D9"/>
    <w:rsid w:val="0024428A"/>
    <w:rsid w:val="002556C7"/>
    <w:rsid w:val="002671A5"/>
    <w:rsid w:val="0027204F"/>
    <w:rsid w:val="0029408D"/>
    <w:rsid w:val="00296976"/>
    <w:rsid w:val="002A6B75"/>
    <w:rsid w:val="002B116C"/>
    <w:rsid w:val="002B2370"/>
    <w:rsid w:val="002C0E6B"/>
    <w:rsid w:val="002C265B"/>
    <w:rsid w:val="002E5712"/>
    <w:rsid w:val="003060A1"/>
    <w:rsid w:val="003072E1"/>
    <w:rsid w:val="00316490"/>
    <w:rsid w:val="00325F06"/>
    <w:rsid w:val="00341532"/>
    <w:rsid w:val="00343090"/>
    <w:rsid w:val="00344D34"/>
    <w:rsid w:val="0036192F"/>
    <w:rsid w:val="0036483B"/>
    <w:rsid w:val="00365469"/>
    <w:rsid w:val="00371D62"/>
    <w:rsid w:val="00372AA7"/>
    <w:rsid w:val="00374569"/>
    <w:rsid w:val="003750E3"/>
    <w:rsid w:val="00377AF0"/>
    <w:rsid w:val="003842DF"/>
    <w:rsid w:val="00384835"/>
    <w:rsid w:val="00394A64"/>
    <w:rsid w:val="003B089A"/>
    <w:rsid w:val="003B13FC"/>
    <w:rsid w:val="003B274E"/>
    <w:rsid w:val="003C2BD5"/>
    <w:rsid w:val="003C2CB2"/>
    <w:rsid w:val="003C48E0"/>
    <w:rsid w:val="003E408C"/>
    <w:rsid w:val="003E64AE"/>
    <w:rsid w:val="003F0470"/>
    <w:rsid w:val="003F109B"/>
    <w:rsid w:val="004016B9"/>
    <w:rsid w:val="004049ED"/>
    <w:rsid w:val="00413B55"/>
    <w:rsid w:val="00430E22"/>
    <w:rsid w:val="00443E30"/>
    <w:rsid w:val="004526ED"/>
    <w:rsid w:val="00453FD1"/>
    <w:rsid w:val="004551CA"/>
    <w:rsid w:val="00460BC3"/>
    <w:rsid w:val="004636A3"/>
    <w:rsid w:val="00485BEA"/>
    <w:rsid w:val="004A4B0C"/>
    <w:rsid w:val="004A4E2F"/>
    <w:rsid w:val="004A6A48"/>
    <w:rsid w:val="004B3451"/>
    <w:rsid w:val="004C75F6"/>
    <w:rsid w:val="004D38A5"/>
    <w:rsid w:val="004E02D0"/>
    <w:rsid w:val="004E0635"/>
    <w:rsid w:val="004F6575"/>
    <w:rsid w:val="005030B1"/>
    <w:rsid w:val="00504E48"/>
    <w:rsid w:val="00514053"/>
    <w:rsid w:val="00524005"/>
    <w:rsid w:val="005311B4"/>
    <w:rsid w:val="0054271B"/>
    <w:rsid w:val="005524E4"/>
    <w:rsid w:val="005532E9"/>
    <w:rsid w:val="00554160"/>
    <w:rsid w:val="00563541"/>
    <w:rsid w:val="00566940"/>
    <w:rsid w:val="0056709B"/>
    <w:rsid w:val="00573648"/>
    <w:rsid w:val="00573F23"/>
    <w:rsid w:val="00577045"/>
    <w:rsid w:val="00577B20"/>
    <w:rsid w:val="0058448C"/>
    <w:rsid w:val="005C1A02"/>
    <w:rsid w:val="005C7330"/>
    <w:rsid w:val="005D3F4A"/>
    <w:rsid w:val="005F03D6"/>
    <w:rsid w:val="005F3224"/>
    <w:rsid w:val="005F3840"/>
    <w:rsid w:val="005F52CF"/>
    <w:rsid w:val="005F7899"/>
    <w:rsid w:val="00605A44"/>
    <w:rsid w:val="006224B7"/>
    <w:rsid w:val="0062322A"/>
    <w:rsid w:val="00626C08"/>
    <w:rsid w:val="00641D62"/>
    <w:rsid w:val="00645D6E"/>
    <w:rsid w:val="00666EB0"/>
    <w:rsid w:val="00672237"/>
    <w:rsid w:val="00682AFA"/>
    <w:rsid w:val="00684C61"/>
    <w:rsid w:val="00687C83"/>
    <w:rsid w:val="00690259"/>
    <w:rsid w:val="00690B42"/>
    <w:rsid w:val="006966FF"/>
    <w:rsid w:val="006A00F1"/>
    <w:rsid w:val="006A21AF"/>
    <w:rsid w:val="006A4F59"/>
    <w:rsid w:val="006A65F7"/>
    <w:rsid w:val="006A71F2"/>
    <w:rsid w:val="006B1459"/>
    <w:rsid w:val="006B573D"/>
    <w:rsid w:val="006C1D60"/>
    <w:rsid w:val="006C3F55"/>
    <w:rsid w:val="006C54B2"/>
    <w:rsid w:val="006D6181"/>
    <w:rsid w:val="006D6281"/>
    <w:rsid w:val="006E2B77"/>
    <w:rsid w:val="006E46AF"/>
    <w:rsid w:val="006E7547"/>
    <w:rsid w:val="006F0E52"/>
    <w:rsid w:val="006F1AE0"/>
    <w:rsid w:val="006F1D89"/>
    <w:rsid w:val="00704E11"/>
    <w:rsid w:val="007126CD"/>
    <w:rsid w:val="007165AC"/>
    <w:rsid w:val="00720257"/>
    <w:rsid w:val="00726E10"/>
    <w:rsid w:val="0072790E"/>
    <w:rsid w:val="00744672"/>
    <w:rsid w:val="00750867"/>
    <w:rsid w:val="00752100"/>
    <w:rsid w:val="00756927"/>
    <w:rsid w:val="00760ACB"/>
    <w:rsid w:val="00763444"/>
    <w:rsid w:val="00794E89"/>
    <w:rsid w:val="007A778A"/>
    <w:rsid w:val="007B3BD7"/>
    <w:rsid w:val="007C2892"/>
    <w:rsid w:val="007C6829"/>
    <w:rsid w:val="007D4D9A"/>
    <w:rsid w:val="007E11FD"/>
    <w:rsid w:val="007E6A29"/>
    <w:rsid w:val="007F03A8"/>
    <w:rsid w:val="007F1187"/>
    <w:rsid w:val="00802157"/>
    <w:rsid w:val="00805E1A"/>
    <w:rsid w:val="008073DB"/>
    <w:rsid w:val="00813F95"/>
    <w:rsid w:val="00833B5E"/>
    <w:rsid w:val="00840E5A"/>
    <w:rsid w:val="00845EA1"/>
    <w:rsid w:val="00846052"/>
    <w:rsid w:val="00851AA4"/>
    <w:rsid w:val="00852195"/>
    <w:rsid w:val="00871329"/>
    <w:rsid w:val="00871E3B"/>
    <w:rsid w:val="00877C2B"/>
    <w:rsid w:val="00892082"/>
    <w:rsid w:val="008A6269"/>
    <w:rsid w:val="008C3B55"/>
    <w:rsid w:val="008D5AE2"/>
    <w:rsid w:val="008E2B6D"/>
    <w:rsid w:val="008E2ECC"/>
    <w:rsid w:val="008E30DB"/>
    <w:rsid w:val="008E7DC9"/>
    <w:rsid w:val="008E7F4C"/>
    <w:rsid w:val="008F09C0"/>
    <w:rsid w:val="008F5C2D"/>
    <w:rsid w:val="00904CE2"/>
    <w:rsid w:val="009101A6"/>
    <w:rsid w:val="00922145"/>
    <w:rsid w:val="009250D6"/>
    <w:rsid w:val="00925164"/>
    <w:rsid w:val="009320C4"/>
    <w:rsid w:val="00940E16"/>
    <w:rsid w:val="0094189F"/>
    <w:rsid w:val="00942877"/>
    <w:rsid w:val="00964BDB"/>
    <w:rsid w:val="009663DB"/>
    <w:rsid w:val="0096666F"/>
    <w:rsid w:val="0097015F"/>
    <w:rsid w:val="009831E0"/>
    <w:rsid w:val="0098652D"/>
    <w:rsid w:val="00990553"/>
    <w:rsid w:val="009943E8"/>
    <w:rsid w:val="00996124"/>
    <w:rsid w:val="009A1FF4"/>
    <w:rsid w:val="009A6A92"/>
    <w:rsid w:val="009A7DC1"/>
    <w:rsid w:val="009B30AA"/>
    <w:rsid w:val="009C3885"/>
    <w:rsid w:val="009C50B0"/>
    <w:rsid w:val="009D0EBD"/>
    <w:rsid w:val="009D5359"/>
    <w:rsid w:val="009D7DFF"/>
    <w:rsid w:val="009D7EEA"/>
    <w:rsid w:val="009F581C"/>
    <w:rsid w:val="00A06251"/>
    <w:rsid w:val="00A066D4"/>
    <w:rsid w:val="00A103E6"/>
    <w:rsid w:val="00A23C47"/>
    <w:rsid w:val="00A25624"/>
    <w:rsid w:val="00A4198E"/>
    <w:rsid w:val="00A42783"/>
    <w:rsid w:val="00A479D1"/>
    <w:rsid w:val="00A5324A"/>
    <w:rsid w:val="00A55A8E"/>
    <w:rsid w:val="00A56152"/>
    <w:rsid w:val="00A57BE9"/>
    <w:rsid w:val="00A6149E"/>
    <w:rsid w:val="00A66FAE"/>
    <w:rsid w:val="00A7532D"/>
    <w:rsid w:val="00A808D7"/>
    <w:rsid w:val="00A92F64"/>
    <w:rsid w:val="00A97660"/>
    <w:rsid w:val="00AA4BE8"/>
    <w:rsid w:val="00AB5E62"/>
    <w:rsid w:val="00AC6D8E"/>
    <w:rsid w:val="00AD68E9"/>
    <w:rsid w:val="00AE421A"/>
    <w:rsid w:val="00AF3553"/>
    <w:rsid w:val="00B10FEB"/>
    <w:rsid w:val="00B11DE5"/>
    <w:rsid w:val="00B16CA5"/>
    <w:rsid w:val="00B24CA4"/>
    <w:rsid w:val="00B256AB"/>
    <w:rsid w:val="00B26076"/>
    <w:rsid w:val="00B26E6A"/>
    <w:rsid w:val="00B271CC"/>
    <w:rsid w:val="00B41BBB"/>
    <w:rsid w:val="00B420D8"/>
    <w:rsid w:val="00B440ED"/>
    <w:rsid w:val="00B44200"/>
    <w:rsid w:val="00B44419"/>
    <w:rsid w:val="00B51D01"/>
    <w:rsid w:val="00B53B82"/>
    <w:rsid w:val="00B60BD7"/>
    <w:rsid w:val="00B6180D"/>
    <w:rsid w:val="00B735F3"/>
    <w:rsid w:val="00B81614"/>
    <w:rsid w:val="00B81A2B"/>
    <w:rsid w:val="00B926C9"/>
    <w:rsid w:val="00BA2F74"/>
    <w:rsid w:val="00BA7305"/>
    <w:rsid w:val="00BB206B"/>
    <w:rsid w:val="00BB603B"/>
    <w:rsid w:val="00BD5D2E"/>
    <w:rsid w:val="00BE423D"/>
    <w:rsid w:val="00BF0087"/>
    <w:rsid w:val="00BF0322"/>
    <w:rsid w:val="00BF3007"/>
    <w:rsid w:val="00BF40A7"/>
    <w:rsid w:val="00BF4874"/>
    <w:rsid w:val="00C13A5E"/>
    <w:rsid w:val="00C32C97"/>
    <w:rsid w:val="00C4120E"/>
    <w:rsid w:val="00C428D0"/>
    <w:rsid w:val="00C54161"/>
    <w:rsid w:val="00C60F45"/>
    <w:rsid w:val="00C61803"/>
    <w:rsid w:val="00C82B88"/>
    <w:rsid w:val="00C83EDA"/>
    <w:rsid w:val="00C86C6A"/>
    <w:rsid w:val="00C90C55"/>
    <w:rsid w:val="00CA7296"/>
    <w:rsid w:val="00CB0239"/>
    <w:rsid w:val="00CC10E2"/>
    <w:rsid w:val="00CC661E"/>
    <w:rsid w:val="00CC7BA5"/>
    <w:rsid w:val="00CD076C"/>
    <w:rsid w:val="00CD55AF"/>
    <w:rsid w:val="00CE16C9"/>
    <w:rsid w:val="00CF0705"/>
    <w:rsid w:val="00D219D9"/>
    <w:rsid w:val="00D33572"/>
    <w:rsid w:val="00D40A64"/>
    <w:rsid w:val="00D40F31"/>
    <w:rsid w:val="00D640AA"/>
    <w:rsid w:val="00D6517C"/>
    <w:rsid w:val="00D77CA7"/>
    <w:rsid w:val="00D874C8"/>
    <w:rsid w:val="00D9490C"/>
    <w:rsid w:val="00D9493E"/>
    <w:rsid w:val="00DB4ED5"/>
    <w:rsid w:val="00DB7B5E"/>
    <w:rsid w:val="00DC1142"/>
    <w:rsid w:val="00DE0AAB"/>
    <w:rsid w:val="00DE318C"/>
    <w:rsid w:val="00E26E65"/>
    <w:rsid w:val="00E35E45"/>
    <w:rsid w:val="00E502BC"/>
    <w:rsid w:val="00E50394"/>
    <w:rsid w:val="00E567FA"/>
    <w:rsid w:val="00E60636"/>
    <w:rsid w:val="00E65716"/>
    <w:rsid w:val="00E72464"/>
    <w:rsid w:val="00E77D06"/>
    <w:rsid w:val="00E84A2B"/>
    <w:rsid w:val="00E94AEB"/>
    <w:rsid w:val="00EA2304"/>
    <w:rsid w:val="00EA7D9D"/>
    <w:rsid w:val="00ED79C0"/>
    <w:rsid w:val="00EE2E26"/>
    <w:rsid w:val="00EE5855"/>
    <w:rsid w:val="00EE7CE2"/>
    <w:rsid w:val="00EF7076"/>
    <w:rsid w:val="00F024E3"/>
    <w:rsid w:val="00F04EBA"/>
    <w:rsid w:val="00F05AF4"/>
    <w:rsid w:val="00F12231"/>
    <w:rsid w:val="00F12308"/>
    <w:rsid w:val="00F126BD"/>
    <w:rsid w:val="00F12E9D"/>
    <w:rsid w:val="00F132AC"/>
    <w:rsid w:val="00F20FAC"/>
    <w:rsid w:val="00F35AA9"/>
    <w:rsid w:val="00F4084C"/>
    <w:rsid w:val="00F561D4"/>
    <w:rsid w:val="00F577DE"/>
    <w:rsid w:val="00F65495"/>
    <w:rsid w:val="00F83E22"/>
    <w:rsid w:val="00F91873"/>
    <w:rsid w:val="00FA4404"/>
    <w:rsid w:val="00FA6E47"/>
    <w:rsid w:val="00FC1628"/>
    <w:rsid w:val="00FC7F1B"/>
    <w:rsid w:val="00FD2CCC"/>
    <w:rsid w:val="00FE1FDA"/>
    <w:rsid w:val="00FE791E"/>
    <w:rsid w:val="00FE7B94"/>
    <w:rsid w:val="20674B9C"/>
    <w:rsid w:val="2FAD4F24"/>
    <w:rsid w:val="5EB326CE"/>
    <w:rsid w:val="65CC10BF"/>
    <w:rsid w:val="6E056B89"/>
    <w:rsid w:val="709F08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8E9"/>
    <w:pPr>
      <w:widowControl w:val="0"/>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AD68E9"/>
  </w:style>
  <w:style w:type="paragraph" w:styleId="a4">
    <w:name w:val="Date"/>
    <w:basedOn w:val="a"/>
    <w:next w:val="a"/>
    <w:link w:val="Char0"/>
    <w:uiPriority w:val="99"/>
    <w:semiHidden/>
    <w:unhideWhenUsed/>
    <w:qFormat/>
    <w:rsid w:val="00AD68E9"/>
    <w:pPr>
      <w:ind w:leftChars="2500" w:left="100"/>
    </w:pPr>
  </w:style>
  <w:style w:type="paragraph" w:styleId="a5">
    <w:name w:val="Balloon Text"/>
    <w:basedOn w:val="a"/>
    <w:link w:val="Char1"/>
    <w:uiPriority w:val="99"/>
    <w:semiHidden/>
    <w:unhideWhenUsed/>
    <w:qFormat/>
    <w:rsid w:val="00AD68E9"/>
    <w:pPr>
      <w:spacing w:after="0" w:line="240" w:lineRule="auto"/>
    </w:pPr>
    <w:rPr>
      <w:sz w:val="18"/>
      <w:szCs w:val="18"/>
    </w:rPr>
  </w:style>
  <w:style w:type="paragraph" w:styleId="a6">
    <w:name w:val="footer"/>
    <w:basedOn w:val="a"/>
    <w:link w:val="Char2"/>
    <w:uiPriority w:val="99"/>
    <w:unhideWhenUsed/>
    <w:rsid w:val="00AD68E9"/>
    <w:pPr>
      <w:tabs>
        <w:tab w:val="center" w:pos="4153"/>
        <w:tab w:val="right" w:pos="8306"/>
      </w:tabs>
      <w:snapToGrid w:val="0"/>
      <w:spacing w:line="240" w:lineRule="auto"/>
    </w:pPr>
    <w:rPr>
      <w:sz w:val="18"/>
      <w:szCs w:val="18"/>
    </w:rPr>
  </w:style>
  <w:style w:type="paragraph" w:styleId="a7">
    <w:name w:val="header"/>
    <w:basedOn w:val="a"/>
    <w:link w:val="Char3"/>
    <w:uiPriority w:val="99"/>
    <w:unhideWhenUsed/>
    <w:qFormat/>
    <w:rsid w:val="00AD68E9"/>
    <w:pPr>
      <w:pBdr>
        <w:bottom w:val="single" w:sz="6" w:space="1" w:color="auto"/>
      </w:pBdr>
      <w:tabs>
        <w:tab w:val="center" w:pos="4153"/>
        <w:tab w:val="right" w:pos="8306"/>
      </w:tabs>
      <w:snapToGrid w:val="0"/>
      <w:spacing w:line="240" w:lineRule="auto"/>
      <w:jc w:val="center"/>
    </w:pPr>
    <w:rPr>
      <w:sz w:val="18"/>
      <w:szCs w:val="18"/>
    </w:rPr>
  </w:style>
  <w:style w:type="paragraph" w:styleId="a8">
    <w:name w:val="Normal (Web)"/>
    <w:basedOn w:val="a"/>
    <w:uiPriority w:val="99"/>
    <w:unhideWhenUsed/>
    <w:qFormat/>
    <w:rsid w:val="00AD68E9"/>
    <w:pPr>
      <w:widowControl/>
      <w:spacing w:before="100" w:beforeAutospacing="1" w:after="100" w:afterAutospacing="1" w:line="240" w:lineRule="auto"/>
    </w:pPr>
    <w:rPr>
      <w:rFonts w:ascii="宋体" w:eastAsia="宋体" w:hAnsi="宋体" w:cs="宋体"/>
      <w:sz w:val="24"/>
      <w:szCs w:val="24"/>
      <w:lang w:eastAsia="zh-CN"/>
    </w:rPr>
  </w:style>
  <w:style w:type="paragraph" w:styleId="a9">
    <w:name w:val="annotation subject"/>
    <w:basedOn w:val="a3"/>
    <w:next w:val="a3"/>
    <w:link w:val="Char4"/>
    <w:uiPriority w:val="99"/>
    <w:semiHidden/>
    <w:unhideWhenUsed/>
    <w:rsid w:val="00AD68E9"/>
    <w:rPr>
      <w:b/>
      <w:bCs/>
    </w:rPr>
  </w:style>
  <w:style w:type="table" w:styleId="aa">
    <w:name w:val="Table Grid"/>
    <w:basedOn w:val="a1"/>
    <w:uiPriority w:val="59"/>
    <w:qFormat/>
    <w:rsid w:val="00AD68E9"/>
    <w:rPr>
      <w:kern w:val="2"/>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qFormat/>
    <w:rsid w:val="00AD68E9"/>
    <w:rPr>
      <w:color w:val="0000FF" w:themeColor="hyperlink"/>
      <w:u w:val="single"/>
    </w:rPr>
  </w:style>
  <w:style w:type="character" w:styleId="ac">
    <w:name w:val="annotation reference"/>
    <w:basedOn w:val="a0"/>
    <w:uiPriority w:val="99"/>
    <w:semiHidden/>
    <w:unhideWhenUsed/>
    <w:qFormat/>
    <w:rsid w:val="00AD68E9"/>
    <w:rPr>
      <w:sz w:val="21"/>
      <w:szCs w:val="21"/>
    </w:rPr>
  </w:style>
  <w:style w:type="character" w:customStyle="1" w:styleId="Char3">
    <w:name w:val="页眉 Char"/>
    <w:basedOn w:val="a0"/>
    <w:link w:val="a7"/>
    <w:uiPriority w:val="99"/>
    <w:qFormat/>
    <w:rsid w:val="00AD68E9"/>
    <w:rPr>
      <w:sz w:val="18"/>
      <w:szCs w:val="18"/>
    </w:rPr>
  </w:style>
  <w:style w:type="character" w:customStyle="1" w:styleId="Char2">
    <w:name w:val="页脚 Char"/>
    <w:basedOn w:val="a0"/>
    <w:link w:val="a6"/>
    <w:uiPriority w:val="99"/>
    <w:qFormat/>
    <w:rsid w:val="00AD68E9"/>
    <w:rPr>
      <w:sz w:val="18"/>
      <w:szCs w:val="18"/>
    </w:rPr>
  </w:style>
  <w:style w:type="paragraph" w:styleId="ad">
    <w:name w:val="List Paragraph"/>
    <w:basedOn w:val="a"/>
    <w:uiPriority w:val="34"/>
    <w:qFormat/>
    <w:rsid w:val="00AD68E9"/>
    <w:pPr>
      <w:ind w:firstLineChars="200" w:firstLine="420"/>
    </w:pPr>
  </w:style>
  <w:style w:type="character" w:customStyle="1" w:styleId="Char1">
    <w:name w:val="批注框文本 Char"/>
    <w:basedOn w:val="a0"/>
    <w:link w:val="a5"/>
    <w:uiPriority w:val="99"/>
    <w:semiHidden/>
    <w:qFormat/>
    <w:rsid w:val="00AD68E9"/>
    <w:rPr>
      <w:sz w:val="18"/>
      <w:szCs w:val="18"/>
    </w:rPr>
  </w:style>
  <w:style w:type="paragraph" w:customStyle="1" w:styleId="1">
    <w:name w:val="修订1"/>
    <w:hidden/>
    <w:uiPriority w:val="99"/>
    <w:semiHidden/>
    <w:qFormat/>
    <w:rsid w:val="00AD68E9"/>
    <w:rPr>
      <w:sz w:val="22"/>
      <w:szCs w:val="22"/>
      <w:lang w:eastAsia="en-US"/>
    </w:rPr>
  </w:style>
  <w:style w:type="character" w:customStyle="1" w:styleId="Char0">
    <w:name w:val="日期 Char"/>
    <w:basedOn w:val="a0"/>
    <w:link w:val="a4"/>
    <w:uiPriority w:val="99"/>
    <w:semiHidden/>
    <w:rsid w:val="00AD68E9"/>
  </w:style>
  <w:style w:type="character" w:customStyle="1" w:styleId="Char">
    <w:name w:val="批注文字 Char"/>
    <w:basedOn w:val="a0"/>
    <w:link w:val="a3"/>
    <w:uiPriority w:val="99"/>
    <w:semiHidden/>
    <w:qFormat/>
    <w:rsid w:val="00AD68E9"/>
  </w:style>
  <w:style w:type="character" w:customStyle="1" w:styleId="Char4">
    <w:name w:val="批注主题 Char"/>
    <w:basedOn w:val="Char"/>
    <w:link w:val="a9"/>
    <w:uiPriority w:val="99"/>
    <w:semiHidden/>
    <w:qFormat/>
    <w:rsid w:val="00AD68E9"/>
    <w:rPr>
      <w:b/>
      <w:bCs/>
    </w:rPr>
  </w:style>
  <w:style w:type="paragraph" w:customStyle="1" w:styleId="Default">
    <w:name w:val="Default"/>
    <w:qFormat/>
    <w:rsid w:val="00AD68E9"/>
    <w:pPr>
      <w:widowControl w:val="0"/>
      <w:autoSpaceDE w:val="0"/>
      <w:autoSpaceDN w:val="0"/>
      <w:adjustRightInd w:val="0"/>
    </w:pPr>
    <w:rPr>
      <w:rFonts w:ascii="宋体" w:eastAsia="宋体" w:cs="宋体"/>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1BDEE-5763-47C4-B7BB-B137DF0C4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175</Words>
  <Characters>1001</Characters>
  <Application>Microsoft Office Word</Application>
  <DocSecurity>4</DocSecurity>
  <Lines>8</Lines>
  <Paragraphs>2</Paragraphs>
  <ScaleCrop>false</ScaleCrop>
  <Company/>
  <LinksUpToDate>false</LinksUpToDate>
  <CharactersWithSpaces>1174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卢春玲</dc:creator>
  <cp:lastModifiedBy>ZHONGM</cp:lastModifiedBy>
  <cp:revision>2</cp:revision>
  <dcterms:created xsi:type="dcterms:W3CDTF">2025-10-15T16:01:00Z</dcterms:created>
  <dcterms:modified xsi:type="dcterms:W3CDTF">2025-10-15T16:01:00Z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2017-06-07T00:00:00Z</vt:filetime>
  </property>
  <property fmtid="{D5CDD505-2E9C-101B-9397-08002B2CF9AE}" pid="3" name="LastSaved">
    <vt:filetime>2017-07-11T00:00:00Z</vt:filetime>
  </property>
  <property fmtid="{D5CDD505-2E9C-101B-9397-08002B2CF9AE}" pid="4" name="KSOProductBuildVer">
    <vt:lpwstr>2052-12.1.0.22529</vt:lpwstr>
  </property>
  <property fmtid="{D5CDD505-2E9C-101B-9397-08002B2CF9AE}" pid="5" name="ICV">
    <vt:lpwstr>2D98327A114C478BB4A1A7EAA269FF17_13</vt:lpwstr>
  </property>
  <property fmtid="{D5CDD505-2E9C-101B-9397-08002B2CF9AE}" pid="6" name="KSOTemplateDocerSaveRecord">
    <vt:lpwstr>eyJoZGlkIjoiZmZjZmU0MjgyNTMzNmUyNDNlOTVhNmMxZGMzMTdlM2YiLCJ1c2VySWQiOiI0NjU1Nzg5MjkifQ==</vt:lpwstr>
  </property>
</Properties>
</file>