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332" w:rsidRDefault="00252F50">
      <w:pPr>
        <w:spacing w:after="240"/>
        <w:jc w:val="center"/>
        <w:rPr>
          <w:lang w:eastAsia="zh-CN"/>
        </w:rPr>
      </w:pPr>
      <w:bookmarkStart w:id="0" w:name="_GoBack"/>
      <w:bookmarkEnd w:id="0"/>
      <w:r>
        <w:rPr>
          <w:rFonts w:ascii="宋体" w:eastAsia="宋体" w:hAnsi="宋体" w:cs="宋体"/>
          <w:b/>
          <w:bCs/>
          <w:sz w:val="48"/>
          <w:szCs w:val="48"/>
          <w:lang w:eastAsia="zh-CN"/>
        </w:rPr>
        <w:t>鹏华中证沪港深科技龙头指数证券投资基金（LOF）基金经理变更公告</w:t>
      </w:r>
    </w:p>
    <w:p w:rsidR="00734332" w:rsidRDefault="00252F50">
      <w:pPr>
        <w:spacing w:after="240"/>
        <w:rPr>
          <w:lang w:eastAsia="zh-CN"/>
        </w:rPr>
      </w:pPr>
      <w:r>
        <w:rPr>
          <w:rFonts w:eastAsia="Times New Roman"/>
          <w:lang w:eastAsia="zh-CN"/>
        </w:rPr>
        <w:t> </w:t>
      </w:r>
    </w:p>
    <w:p w:rsidR="00734332" w:rsidRDefault="00252F50">
      <w:pPr>
        <w:spacing w:after="240"/>
        <w:rPr>
          <w:lang w:eastAsia="zh-CN"/>
        </w:rPr>
      </w:pPr>
      <w:r>
        <w:rPr>
          <w:rFonts w:ascii="宋体" w:eastAsia="宋体" w:hAnsi="宋体" w:cs="宋体"/>
          <w:b/>
          <w:bCs/>
          <w:sz w:val="30"/>
          <w:szCs w:val="30"/>
          <w:lang w:eastAsia="zh-CN"/>
        </w:rPr>
        <w:t> </w:t>
      </w:r>
    </w:p>
    <w:p w:rsidR="00734332" w:rsidRDefault="00252F50">
      <w:pPr>
        <w:spacing w:after="240"/>
        <w:rPr>
          <w:lang w:eastAsia="zh-CN"/>
        </w:rPr>
      </w:pPr>
      <w:r>
        <w:rPr>
          <w:rFonts w:ascii="宋体" w:eastAsia="宋体" w:hAnsi="宋体" w:cs="宋体"/>
          <w:b/>
          <w:bCs/>
          <w:sz w:val="30"/>
          <w:szCs w:val="30"/>
          <w:lang w:eastAsia="zh-CN"/>
        </w:rPr>
        <w:t> </w:t>
      </w:r>
    </w:p>
    <w:p w:rsidR="00734332" w:rsidRDefault="00252F50">
      <w:pPr>
        <w:spacing w:after="240"/>
        <w:rPr>
          <w:lang w:eastAsia="zh-CN"/>
        </w:rPr>
      </w:pPr>
      <w:r>
        <w:rPr>
          <w:rFonts w:ascii="宋体" w:eastAsia="宋体" w:hAnsi="宋体" w:cs="宋体"/>
          <w:b/>
          <w:bCs/>
          <w:sz w:val="30"/>
          <w:szCs w:val="30"/>
          <w:lang w:eastAsia="zh-CN"/>
        </w:rPr>
        <w:t> </w:t>
      </w:r>
    </w:p>
    <w:p w:rsidR="00734332" w:rsidRDefault="00252F50">
      <w:pPr>
        <w:spacing w:after="240"/>
        <w:rPr>
          <w:lang w:eastAsia="zh-CN"/>
        </w:rPr>
      </w:pPr>
      <w:r>
        <w:rPr>
          <w:rFonts w:ascii="宋体" w:eastAsia="宋体" w:hAnsi="宋体" w:cs="宋体"/>
          <w:b/>
          <w:bCs/>
          <w:sz w:val="30"/>
          <w:szCs w:val="30"/>
          <w:lang w:eastAsia="zh-CN"/>
        </w:rPr>
        <w:t> </w:t>
      </w:r>
    </w:p>
    <w:p w:rsidR="00734332" w:rsidRDefault="00252F50">
      <w:pPr>
        <w:spacing w:after="240"/>
        <w:rPr>
          <w:lang w:eastAsia="zh-CN"/>
        </w:rPr>
      </w:pPr>
      <w:r>
        <w:rPr>
          <w:rFonts w:ascii="宋体" w:eastAsia="宋体" w:hAnsi="宋体" w:cs="宋体"/>
          <w:b/>
          <w:bCs/>
          <w:sz w:val="30"/>
          <w:szCs w:val="30"/>
          <w:lang w:eastAsia="zh-CN"/>
        </w:rPr>
        <w:t> </w:t>
      </w:r>
    </w:p>
    <w:p w:rsidR="00734332" w:rsidRDefault="00252F50">
      <w:pPr>
        <w:spacing w:after="240"/>
        <w:rPr>
          <w:lang w:eastAsia="zh-CN"/>
        </w:rPr>
      </w:pPr>
      <w:r>
        <w:rPr>
          <w:rFonts w:eastAsia="Times New Roman"/>
          <w:lang w:eastAsia="zh-CN"/>
        </w:rPr>
        <w:t> </w:t>
      </w:r>
    </w:p>
    <w:p w:rsidR="00734332" w:rsidRDefault="00252F50">
      <w:pPr>
        <w:spacing w:after="240"/>
        <w:rPr>
          <w:lang w:eastAsia="zh-CN"/>
        </w:rPr>
      </w:pPr>
      <w:r>
        <w:rPr>
          <w:rFonts w:eastAsia="Times New Roman"/>
          <w:lang w:eastAsia="zh-CN"/>
        </w:rPr>
        <w:t> </w:t>
      </w:r>
    </w:p>
    <w:p w:rsidR="00734332" w:rsidRDefault="00252F50">
      <w:pPr>
        <w:spacing w:before="240" w:after="240"/>
        <w:rPr>
          <w:lang w:eastAsia="zh-CN"/>
        </w:rPr>
      </w:pPr>
      <w:r>
        <w:rPr>
          <w:rFonts w:eastAsia="Times New Roman"/>
          <w:lang w:eastAsia="zh-CN"/>
        </w:rPr>
        <w:t> </w:t>
      </w:r>
    </w:p>
    <w:p w:rsidR="00734332" w:rsidRDefault="00252F50">
      <w:pPr>
        <w:spacing w:after="240"/>
        <w:rPr>
          <w:lang w:eastAsia="zh-CN"/>
        </w:rPr>
      </w:pPr>
      <w:r>
        <w:rPr>
          <w:rFonts w:ascii="宋体" w:eastAsia="宋体" w:hAnsi="宋体" w:cs="宋体"/>
          <w:b/>
          <w:bCs/>
          <w:sz w:val="30"/>
          <w:szCs w:val="30"/>
          <w:lang w:eastAsia="zh-CN"/>
        </w:rPr>
        <w:t> </w:t>
      </w:r>
    </w:p>
    <w:p w:rsidR="00734332" w:rsidRDefault="00252F50">
      <w:pPr>
        <w:spacing w:after="240"/>
        <w:rPr>
          <w:lang w:eastAsia="zh-CN"/>
        </w:rPr>
      </w:pPr>
      <w:r>
        <w:rPr>
          <w:rFonts w:ascii="宋体" w:eastAsia="宋体" w:hAnsi="宋体" w:cs="宋体"/>
          <w:b/>
          <w:bCs/>
          <w:sz w:val="30"/>
          <w:szCs w:val="30"/>
          <w:lang w:eastAsia="zh-CN"/>
        </w:rPr>
        <w:t> </w:t>
      </w:r>
    </w:p>
    <w:p w:rsidR="00734332" w:rsidRDefault="00252F50">
      <w:pPr>
        <w:spacing w:after="240"/>
        <w:rPr>
          <w:lang w:eastAsia="zh-CN"/>
        </w:rPr>
      </w:pPr>
      <w:r>
        <w:rPr>
          <w:rFonts w:ascii="宋体" w:eastAsia="宋体" w:hAnsi="宋体" w:cs="宋体"/>
          <w:b/>
          <w:bCs/>
          <w:sz w:val="30"/>
          <w:szCs w:val="30"/>
          <w:lang w:eastAsia="zh-CN"/>
        </w:rPr>
        <w:t> </w:t>
      </w:r>
    </w:p>
    <w:p w:rsidR="00734332" w:rsidRDefault="00252F50">
      <w:pPr>
        <w:spacing w:after="240"/>
        <w:rPr>
          <w:lang w:eastAsia="zh-CN"/>
        </w:rPr>
      </w:pPr>
      <w:r>
        <w:rPr>
          <w:rFonts w:ascii="宋体" w:eastAsia="宋体" w:hAnsi="宋体" w:cs="宋体"/>
          <w:b/>
          <w:bCs/>
          <w:sz w:val="30"/>
          <w:szCs w:val="30"/>
          <w:lang w:eastAsia="zh-CN"/>
        </w:rPr>
        <w:t> </w:t>
      </w:r>
    </w:p>
    <w:p w:rsidR="00734332" w:rsidRDefault="00252F50">
      <w:pPr>
        <w:spacing w:after="240"/>
        <w:rPr>
          <w:lang w:eastAsia="zh-CN"/>
        </w:rPr>
      </w:pPr>
      <w:r>
        <w:rPr>
          <w:rFonts w:ascii="宋体" w:eastAsia="宋体" w:hAnsi="宋体" w:cs="宋体"/>
          <w:b/>
          <w:bCs/>
          <w:sz w:val="30"/>
          <w:szCs w:val="30"/>
          <w:lang w:eastAsia="zh-CN"/>
        </w:rPr>
        <w:t> </w:t>
      </w:r>
    </w:p>
    <w:p w:rsidR="00734332" w:rsidRDefault="00252F50">
      <w:pPr>
        <w:spacing w:after="240"/>
        <w:rPr>
          <w:lang w:eastAsia="zh-CN"/>
        </w:rPr>
      </w:pPr>
      <w:r>
        <w:rPr>
          <w:rFonts w:ascii="宋体" w:eastAsia="宋体" w:hAnsi="宋体" w:cs="宋体"/>
          <w:b/>
          <w:bCs/>
          <w:sz w:val="30"/>
          <w:szCs w:val="30"/>
          <w:lang w:eastAsia="zh-CN"/>
        </w:rPr>
        <w:t> </w:t>
      </w:r>
    </w:p>
    <w:p w:rsidR="00734332" w:rsidRDefault="00252F50">
      <w:pPr>
        <w:spacing w:after="240"/>
        <w:rPr>
          <w:lang w:eastAsia="zh-CN"/>
        </w:rPr>
      </w:pPr>
      <w:r>
        <w:rPr>
          <w:rFonts w:ascii="宋体" w:eastAsia="宋体" w:hAnsi="宋体" w:cs="宋体"/>
          <w:b/>
          <w:bCs/>
          <w:sz w:val="30"/>
          <w:szCs w:val="30"/>
          <w:lang w:eastAsia="zh-CN"/>
        </w:rPr>
        <w:t> </w:t>
      </w:r>
    </w:p>
    <w:p w:rsidR="00734332" w:rsidRDefault="00252F50">
      <w:pPr>
        <w:spacing w:after="240"/>
        <w:rPr>
          <w:lang w:eastAsia="zh-CN"/>
        </w:rPr>
      </w:pPr>
      <w:r>
        <w:rPr>
          <w:rFonts w:eastAsia="Times New Roman"/>
          <w:lang w:eastAsia="zh-CN"/>
        </w:rPr>
        <w:t> </w:t>
      </w:r>
    </w:p>
    <w:p w:rsidR="00734332" w:rsidRDefault="00252F50">
      <w:pPr>
        <w:spacing w:after="240"/>
        <w:rPr>
          <w:lang w:eastAsia="zh-CN"/>
        </w:rPr>
      </w:pPr>
      <w:r>
        <w:rPr>
          <w:rFonts w:eastAsia="Times New Roman"/>
          <w:lang w:eastAsia="zh-CN"/>
        </w:rPr>
        <w:t> </w:t>
      </w:r>
    </w:p>
    <w:p w:rsidR="00734332" w:rsidRDefault="00252F50">
      <w:pPr>
        <w:spacing w:after="240"/>
        <w:rPr>
          <w:lang w:eastAsia="zh-CN"/>
        </w:rPr>
      </w:pPr>
      <w:r>
        <w:rPr>
          <w:rFonts w:eastAsia="Times New Roman"/>
          <w:lang w:eastAsia="zh-CN"/>
        </w:rPr>
        <w:t> </w:t>
      </w:r>
    </w:p>
    <w:p w:rsidR="00734332" w:rsidRDefault="00252F50">
      <w:pPr>
        <w:spacing w:after="240"/>
        <w:jc w:val="center"/>
      </w:pPr>
      <w:r>
        <w:rPr>
          <w:rFonts w:ascii="宋体" w:eastAsia="宋体" w:hAnsi="宋体" w:cs="宋体"/>
          <w:b/>
          <w:bCs/>
          <w:sz w:val="28"/>
          <w:szCs w:val="28"/>
          <w:lang w:eastAsia="zh-CN"/>
        </w:rPr>
        <w:t>公告送出日期：2025年10月16日</w:t>
      </w:r>
    </w:p>
    <w:p w:rsidR="00734332" w:rsidRDefault="00252F50">
      <w:pPr>
        <w:sectPr w:rsidR="00734332">
          <w:footerReference w:type="default" r:id="rId6"/>
          <w:pgSz w:w="11906" w:h="16838"/>
          <w:pgMar w:top="1440" w:right="1800" w:bottom="1440" w:left="1800" w:header="708" w:footer="708" w:gutter="0"/>
          <w:cols w:space="708"/>
          <w:docGrid w:linePitch="360"/>
        </w:sectPr>
      </w:pPr>
      <w:r>
        <w:rPr>
          <w:rFonts w:eastAsia="Times New Roman"/>
          <w:vanish/>
          <w:lang w:eastAsia="zh-CN"/>
        </w:rPr>
        <w:t> </w:t>
      </w:r>
    </w:p>
    <w:p w:rsidR="00734332" w:rsidRDefault="00252F50">
      <w:pPr>
        <w:pStyle w:val="2"/>
        <w:keepNext w:val="0"/>
        <w:spacing w:before="150" w:after="150"/>
        <w:rPr>
          <w:rFonts w:ascii="Times New Roman" w:hAnsi="Times New Roman" w:cs="Times New Roman"/>
          <w:sz w:val="36"/>
          <w:szCs w:val="36"/>
        </w:rPr>
      </w:pPr>
      <w:r>
        <w:rPr>
          <w:rFonts w:ascii="宋体" w:eastAsia="宋体" w:hAnsi="宋体" w:cs="宋体"/>
          <w:i w:val="0"/>
          <w:iCs w:val="0"/>
          <w:sz w:val="21"/>
          <w:szCs w:val="21"/>
          <w:lang w:eastAsia="zh-CN"/>
        </w:rPr>
        <w:lastRenderedPageBreak/>
        <w:t>1.公告基本信息</w:t>
      </w:r>
    </w:p>
    <w:tbl>
      <w:tblPr>
        <w:tblW w:w="8295" w:type="dxa"/>
        <w:tblInd w:w="1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131"/>
        <w:gridCol w:w="4164"/>
      </w:tblGrid>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rPr>
            </w:pPr>
            <w:r>
              <w:rPr>
                <w:rFonts w:ascii="宋体" w:eastAsia="宋体" w:hAnsi="宋体" w:cs="宋体"/>
                <w:color w:val="000000"/>
                <w:sz w:val="21"/>
                <w:szCs w:val="21"/>
                <w:lang w:eastAsia="zh-CN"/>
              </w:rPr>
              <w:t>基金名称</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鹏华中证沪港深科技龙头指数证券投资基金（LOF）</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rPr>
            </w:pPr>
            <w:r>
              <w:rPr>
                <w:rFonts w:ascii="宋体" w:eastAsia="宋体" w:hAnsi="宋体" w:cs="宋体"/>
                <w:color w:val="000000"/>
                <w:sz w:val="21"/>
                <w:szCs w:val="21"/>
                <w:lang w:eastAsia="zh-CN"/>
              </w:rPr>
              <w:t>基金简称</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鹏华中证沪港深科技龙头指数（LOF）</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rPr>
            </w:pPr>
            <w:r>
              <w:rPr>
                <w:rFonts w:ascii="宋体" w:eastAsia="宋体" w:hAnsi="宋体" w:cs="宋体"/>
                <w:color w:val="000000"/>
                <w:sz w:val="21"/>
                <w:szCs w:val="21"/>
                <w:lang w:eastAsia="zh-CN"/>
              </w:rPr>
              <w:t>场内简称</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rPr>
            </w:pPr>
            <w:r>
              <w:rPr>
                <w:rFonts w:ascii="宋体" w:eastAsia="宋体" w:hAnsi="宋体" w:cs="宋体"/>
                <w:color w:val="000000"/>
                <w:sz w:val="21"/>
                <w:szCs w:val="21"/>
                <w:lang w:eastAsia="zh-CN"/>
              </w:rPr>
              <w:t>科技LOF</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rPr>
            </w:pPr>
            <w:r>
              <w:rPr>
                <w:rFonts w:ascii="宋体" w:eastAsia="宋体" w:hAnsi="宋体" w:cs="宋体"/>
                <w:color w:val="000000"/>
                <w:sz w:val="21"/>
                <w:szCs w:val="21"/>
                <w:lang w:eastAsia="zh-CN"/>
              </w:rPr>
              <w:t>基金主代码</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rPr>
            </w:pPr>
            <w:r>
              <w:rPr>
                <w:rFonts w:ascii="宋体" w:eastAsia="宋体" w:hAnsi="宋体" w:cs="宋体"/>
                <w:color w:val="000000"/>
                <w:sz w:val="21"/>
                <w:szCs w:val="21"/>
                <w:lang w:eastAsia="zh-CN"/>
              </w:rPr>
              <w:t>160646</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rPr>
            </w:pPr>
            <w:r>
              <w:rPr>
                <w:rFonts w:ascii="宋体" w:eastAsia="宋体" w:hAnsi="宋体" w:cs="宋体"/>
                <w:color w:val="000000"/>
                <w:sz w:val="21"/>
                <w:szCs w:val="21"/>
                <w:lang w:eastAsia="zh-CN"/>
              </w:rPr>
              <w:t>基金管理人名称</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鹏华基金管理有限公司</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rPr>
            </w:pPr>
            <w:r>
              <w:rPr>
                <w:rFonts w:ascii="宋体" w:eastAsia="宋体" w:hAnsi="宋体" w:cs="宋体"/>
                <w:color w:val="000000"/>
                <w:sz w:val="21"/>
                <w:szCs w:val="21"/>
                <w:lang w:eastAsia="zh-CN"/>
              </w:rPr>
              <w:t>公告依据</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《公开募集证券投资基金信息披露管理办法》、《基金管理公司投资管理人员管理指导意见》等相关法规的规定。</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rPr>
            </w:pPr>
            <w:r>
              <w:rPr>
                <w:rFonts w:ascii="宋体" w:eastAsia="宋体" w:hAnsi="宋体" w:cs="宋体"/>
                <w:color w:val="000000"/>
                <w:sz w:val="21"/>
                <w:szCs w:val="21"/>
                <w:lang w:eastAsia="zh-CN"/>
              </w:rPr>
              <w:t>基金经理变更类型</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增聘基金经理，基金经理离任</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rPr>
            </w:pPr>
            <w:r>
              <w:rPr>
                <w:rFonts w:ascii="宋体" w:eastAsia="宋体" w:hAnsi="宋体" w:cs="宋体"/>
                <w:color w:val="000000"/>
                <w:sz w:val="21"/>
                <w:szCs w:val="21"/>
                <w:lang w:eastAsia="zh-CN"/>
              </w:rPr>
              <w:t>新任基金经理姓名</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rPr>
            </w:pPr>
            <w:r>
              <w:rPr>
                <w:rFonts w:ascii="宋体" w:eastAsia="宋体" w:hAnsi="宋体" w:cs="宋体"/>
                <w:color w:val="000000"/>
                <w:sz w:val="21"/>
                <w:szCs w:val="21"/>
                <w:lang w:eastAsia="zh-CN"/>
              </w:rPr>
              <w:t>钟成亮</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共同管理本基金的其他基金经理姓名</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rPr>
            </w:pPr>
            <w:r>
              <w:rPr>
                <w:rFonts w:ascii="宋体" w:eastAsia="宋体" w:hAnsi="宋体" w:cs="宋体"/>
                <w:color w:val="000000"/>
                <w:sz w:val="21"/>
                <w:szCs w:val="21"/>
                <w:lang w:eastAsia="zh-CN"/>
              </w:rPr>
              <w:t>-</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rPr>
            </w:pPr>
            <w:r>
              <w:rPr>
                <w:rFonts w:ascii="宋体" w:eastAsia="宋体" w:hAnsi="宋体" w:cs="宋体"/>
                <w:color w:val="000000"/>
                <w:sz w:val="21"/>
                <w:szCs w:val="21"/>
                <w:lang w:eastAsia="zh-CN"/>
              </w:rPr>
              <w:t>离任基金经理姓名</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rsidP="00581A79">
            <w:pPr>
              <w:rPr>
                <w:rFonts w:ascii="宋体" w:eastAsia="宋体" w:hAnsi="宋体" w:cs="宋体"/>
                <w:color w:val="000000"/>
                <w:sz w:val="21"/>
                <w:szCs w:val="21"/>
              </w:rPr>
            </w:pPr>
            <w:r>
              <w:rPr>
                <w:rFonts w:ascii="宋体" w:eastAsia="宋体" w:hAnsi="宋体" w:cs="宋体"/>
                <w:color w:val="000000"/>
                <w:sz w:val="21"/>
                <w:szCs w:val="21"/>
                <w:lang w:eastAsia="zh-CN"/>
              </w:rPr>
              <w:t>闫冬</w:t>
            </w:r>
          </w:p>
        </w:tc>
      </w:tr>
    </w:tbl>
    <w:p w:rsidR="00734332" w:rsidRDefault="00252F50">
      <w:pPr>
        <w:spacing w:line="360" w:lineRule="auto"/>
        <w:rPr>
          <w:rFonts w:ascii="宋体" w:eastAsia="宋体" w:hAnsi="宋体" w:cs="宋体"/>
          <w:sz w:val="21"/>
          <w:szCs w:val="21"/>
        </w:rPr>
      </w:pPr>
      <w:r>
        <w:rPr>
          <w:rFonts w:ascii="宋体" w:eastAsia="宋体" w:hAnsi="宋体" w:cs="宋体"/>
          <w:sz w:val="21"/>
          <w:szCs w:val="21"/>
          <w:lang w:eastAsia="zh-CN"/>
        </w:rPr>
        <w:t>注： -</w:t>
      </w:r>
    </w:p>
    <w:p w:rsidR="00734332" w:rsidRDefault="00252F50">
      <w:pPr>
        <w:pStyle w:val="2"/>
        <w:keepNext w:val="0"/>
        <w:spacing w:before="150" w:after="150"/>
        <w:rPr>
          <w:rFonts w:ascii="Times New Roman" w:hAnsi="Times New Roman" w:cs="Times New Roman"/>
          <w:sz w:val="36"/>
          <w:szCs w:val="36"/>
          <w:lang w:eastAsia="zh-CN"/>
        </w:rPr>
      </w:pPr>
      <w:r>
        <w:rPr>
          <w:rFonts w:ascii="宋体" w:eastAsia="宋体" w:hAnsi="宋体" w:cs="宋体"/>
          <w:i w:val="0"/>
          <w:iCs w:val="0"/>
          <w:sz w:val="21"/>
          <w:szCs w:val="21"/>
          <w:lang w:eastAsia="zh-CN"/>
        </w:rPr>
        <w:t>2.新任基金经理的相关信息</w:t>
      </w:r>
    </w:p>
    <w:tbl>
      <w:tblPr>
        <w:tblW w:w="8295" w:type="dxa"/>
        <w:tblInd w:w="1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775"/>
        <w:gridCol w:w="1130"/>
        <w:gridCol w:w="1130"/>
        <w:gridCol w:w="1130"/>
        <w:gridCol w:w="1130"/>
      </w:tblGrid>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新任基金经理姓名</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钟成亮</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任职日期</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2025年10月16日</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证券从业年限</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10年</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证券投资管理从业年限</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4年</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过往从业经历</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钟成亮先生，国籍中国，理学硕士，10年证券从业经验。曾任中国工商银行深圳市分行职员。2015年09月加盟鹏华基金管理有限公司，历任市场发展部渠道经理、渠道主管、渠道总监助理，基金投资顾问部总经理助理，量化及衍生品投资部资深量化研究员，现担任指数与量化投资部基金经理。钟成亮具备基金从业资格。</w:t>
            </w:r>
          </w:p>
        </w:tc>
      </w:tr>
      <w:tr w:rsidR="00734332">
        <w:trPr>
          <w:trHeight w:val="360"/>
        </w:trPr>
        <w:tc>
          <w:tcPr>
            <w:tcW w:w="4380" w:type="dxa"/>
            <w:vMerge w:val="restart"/>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其中：管理过公募基金的名称及期间</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基金主代码</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基金名称</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任职日期</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离任日期</w:t>
            </w:r>
          </w:p>
        </w:tc>
      </w:tr>
      <w:tr w:rsidR="00734332">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4332" w:rsidRDefault="00734332">
            <w:pPr>
              <w:rPr>
                <w:rFonts w:ascii="宋体" w:eastAsia="宋体" w:hAnsi="宋体" w:cs="宋体"/>
                <w:color w:val="000000"/>
                <w:sz w:val="21"/>
                <w:szCs w:val="21"/>
              </w:rPr>
            </w:pP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是否曾被监管机构予以行政处罚或采取行政监管措施</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否</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是否已取得基金从业资格</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是</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取得的其他相关从业资格</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否</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国籍</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中国</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学历、学位</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硕士研究生</w:t>
            </w:r>
          </w:p>
        </w:tc>
      </w:tr>
      <w:tr w:rsidR="00734332">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是否已按规定在中国基金业协会注册/登记</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是</w:t>
            </w:r>
          </w:p>
        </w:tc>
      </w:tr>
    </w:tbl>
    <w:p w:rsidR="00734332" w:rsidRDefault="00252F50">
      <w:pPr>
        <w:spacing w:line="360" w:lineRule="auto"/>
        <w:rPr>
          <w:rFonts w:ascii="宋体" w:eastAsia="宋体" w:hAnsi="宋体" w:cs="宋体"/>
          <w:sz w:val="21"/>
          <w:szCs w:val="21"/>
          <w:lang w:eastAsia="zh-CN"/>
        </w:rPr>
      </w:pPr>
      <w:r>
        <w:rPr>
          <w:rFonts w:ascii="宋体" w:eastAsia="宋体" w:hAnsi="宋体" w:cs="宋体"/>
          <w:sz w:val="21"/>
          <w:szCs w:val="21"/>
          <w:lang w:eastAsia="zh-CN"/>
        </w:rPr>
        <w:lastRenderedPageBreak/>
        <w:t xml:space="preserve">注：1. 任职日期和离任日期均指公司作出决定后正式对外公告之日；担任新成立基金基金经理的，任职日期为基金合同生效日。 </w:t>
      </w:r>
    </w:p>
    <w:p w:rsidR="00734332" w:rsidRDefault="00252F50">
      <w:pPr>
        <w:spacing w:line="360" w:lineRule="auto"/>
        <w:rPr>
          <w:rFonts w:ascii="宋体" w:eastAsia="宋体" w:hAnsi="宋体" w:cs="宋体"/>
          <w:sz w:val="21"/>
          <w:szCs w:val="21"/>
          <w:lang w:eastAsia="zh-CN"/>
        </w:rPr>
      </w:pPr>
      <w:r>
        <w:rPr>
          <w:rFonts w:ascii="宋体" w:eastAsia="宋体" w:hAnsi="宋体" w:cs="宋体"/>
          <w:sz w:val="21"/>
          <w:szCs w:val="21"/>
          <w:lang w:eastAsia="zh-CN"/>
        </w:rPr>
        <w:t>2. 证券从业的含义遵从行业协会关于从业人员资格管理办法的相关规定。</w:t>
      </w:r>
    </w:p>
    <w:p w:rsidR="00734332" w:rsidRDefault="00252F50">
      <w:pPr>
        <w:pStyle w:val="2"/>
        <w:keepNext w:val="0"/>
        <w:spacing w:before="150" w:after="150"/>
        <w:rPr>
          <w:rFonts w:ascii="Times New Roman" w:hAnsi="Times New Roman" w:cs="Times New Roman"/>
          <w:sz w:val="36"/>
          <w:szCs w:val="36"/>
          <w:lang w:eastAsia="zh-CN"/>
        </w:rPr>
      </w:pPr>
      <w:r>
        <w:rPr>
          <w:rFonts w:ascii="宋体" w:eastAsia="宋体" w:hAnsi="宋体" w:cs="宋体"/>
          <w:i w:val="0"/>
          <w:iCs w:val="0"/>
          <w:sz w:val="21"/>
          <w:szCs w:val="21"/>
          <w:lang w:eastAsia="zh-CN"/>
        </w:rPr>
        <w:t>3.离任基金经理的相关信息</w:t>
      </w:r>
    </w:p>
    <w:tbl>
      <w:tblPr>
        <w:tblW w:w="8295" w:type="dxa"/>
        <w:tblInd w:w="1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564"/>
        <w:gridCol w:w="3731"/>
      </w:tblGrid>
      <w:tr w:rsidR="00734332">
        <w:trPr>
          <w:trHeight w:val="360"/>
        </w:trPr>
        <w:tc>
          <w:tcPr>
            <w:tcW w:w="483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离任基金经理姓名</w:t>
            </w:r>
          </w:p>
        </w:tc>
        <w:tc>
          <w:tcPr>
            <w:tcW w:w="393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闫冬</w:t>
            </w:r>
          </w:p>
        </w:tc>
      </w:tr>
      <w:tr w:rsidR="00734332">
        <w:trPr>
          <w:trHeight w:val="360"/>
        </w:trPr>
        <w:tc>
          <w:tcPr>
            <w:tcW w:w="483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离任原因</w:t>
            </w:r>
          </w:p>
        </w:tc>
        <w:tc>
          <w:tcPr>
            <w:tcW w:w="393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公司工作安排</w:t>
            </w:r>
          </w:p>
        </w:tc>
      </w:tr>
      <w:tr w:rsidR="00734332">
        <w:trPr>
          <w:trHeight w:val="360"/>
        </w:trPr>
        <w:tc>
          <w:tcPr>
            <w:tcW w:w="483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离任日期</w:t>
            </w:r>
          </w:p>
        </w:tc>
        <w:tc>
          <w:tcPr>
            <w:tcW w:w="393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2025年10月16日</w:t>
            </w:r>
          </w:p>
        </w:tc>
      </w:tr>
      <w:tr w:rsidR="00734332">
        <w:trPr>
          <w:trHeight w:val="360"/>
        </w:trPr>
        <w:tc>
          <w:tcPr>
            <w:tcW w:w="483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是否转任本公司其他工作岗位</w:t>
            </w:r>
          </w:p>
        </w:tc>
        <w:tc>
          <w:tcPr>
            <w:tcW w:w="393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否</w:t>
            </w:r>
          </w:p>
        </w:tc>
      </w:tr>
      <w:tr w:rsidR="00734332">
        <w:trPr>
          <w:trHeight w:val="360"/>
        </w:trPr>
        <w:tc>
          <w:tcPr>
            <w:tcW w:w="483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是否已按规定在中国基金业协会办理变更手续</w:t>
            </w:r>
          </w:p>
        </w:tc>
        <w:tc>
          <w:tcPr>
            <w:tcW w:w="393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是</w:t>
            </w:r>
          </w:p>
        </w:tc>
      </w:tr>
      <w:tr w:rsidR="00734332">
        <w:trPr>
          <w:trHeight w:val="360"/>
        </w:trPr>
        <w:tc>
          <w:tcPr>
            <w:tcW w:w="483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是否已按规定在中国基金业协会办理注销手续</w:t>
            </w:r>
          </w:p>
        </w:tc>
        <w:tc>
          <w:tcPr>
            <w:tcW w:w="393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hideMark/>
          </w:tcPr>
          <w:p w:rsidR="00734332" w:rsidRDefault="00252F50">
            <w:pPr>
              <w:rPr>
                <w:rFonts w:ascii="宋体" w:eastAsia="宋体" w:hAnsi="宋体" w:cs="宋体"/>
                <w:color w:val="000000"/>
                <w:sz w:val="21"/>
                <w:szCs w:val="21"/>
              </w:rPr>
            </w:pPr>
            <w:r>
              <w:rPr>
                <w:rFonts w:ascii="宋体" w:eastAsia="宋体" w:hAnsi="宋体" w:cs="宋体"/>
                <w:color w:val="000000"/>
                <w:sz w:val="21"/>
                <w:szCs w:val="21"/>
                <w:lang w:eastAsia="zh-CN"/>
              </w:rPr>
              <w:t>否</w:t>
            </w:r>
          </w:p>
        </w:tc>
      </w:tr>
    </w:tbl>
    <w:p w:rsidR="00734332" w:rsidRDefault="00252F50">
      <w:pPr>
        <w:spacing w:line="360" w:lineRule="auto"/>
        <w:rPr>
          <w:rFonts w:ascii="宋体" w:eastAsia="宋体" w:hAnsi="宋体" w:cs="宋体"/>
          <w:sz w:val="21"/>
          <w:szCs w:val="21"/>
          <w:lang w:eastAsia="zh-CN"/>
        </w:rPr>
      </w:pPr>
      <w:r>
        <w:rPr>
          <w:rFonts w:ascii="宋体" w:eastAsia="宋体" w:hAnsi="宋体" w:cs="宋体"/>
          <w:sz w:val="21"/>
          <w:szCs w:val="21"/>
          <w:lang w:eastAsia="zh-CN"/>
        </w:rPr>
        <w:t>注：闫冬仍担任鹏华中证800地产指数型证券投资基金（LOF）、鹏华中证A股资源产业指数型证券投资基金（LOF）、鹏华中证光伏产业交易型开放式指数证券投资基金发起式联接基金、鹏华上证科创板新能源交易型开放式指数证券投资基金、鹏华国证有色金属行业交易型开放式指数证券投资基金发起式联接基金、鹏华国证石油天然气交易型开放式指数证券投资基金联接基金、鹏华国证石油天然气交易型开放式指数证券投资基金、鹏华中证光伏产业交易型开放式指数证券投资基金、鹏华中证细分化工产业主题交易型开放式指数证券投资基金、鹏华国证有色金属行业交易型开放式指数证券投资基金、鹏华中证内地低碳经济主题交易型开放式指数证券投资基金、鹏华中证内地低碳经济主题交易型开放式指数证券投资基金联接基金、鹏华中证细分化工产业主题交易型开放式指数证券投资基金联接基金、鹏华国证钢铁行业指数型证券投资基金（LOF）、鹏华中证全指公用事业交易型开放式指数证券投资基金、鹏华上证科创板新能源交易型开放式指数证券投资基金发起式联接基金、鹏华创业板新能源交易型开放式指数证券投资基金、鹏华标普港股通低波红利交易型开放式指数证券投资基金的基金经理。</w:t>
      </w:r>
    </w:p>
    <w:p w:rsidR="00734332" w:rsidRDefault="00252F50">
      <w:pPr>
        <w:pStyle w:val="2"/>
        <w:keepNext w:val="0"/>
        <w:spacing w:before="150" w:after="150"/>
        <w:rPr>
          <w:rFonts w:ascii="Times New Roman" w:hAnsi="Times New Roman" w:cs="Times New Roman"/>
          <w:sz w:val="36"/>
          <w:szCs w:val="36"/>
          <w:lang w:eastAsia="zh-CN"/>
        </w:rPr>
      </w:pPr>
      <w:r>
        <w:rPr>
          <w:rFonts w:ascii="宋体" w:eastAsia="宋体" w:hAnsi="宋体" w:cs="宋体"/>
          <w:i w:val="0"/>
          <w:iCs w:val="0"/>
          <w:sz w:val="21"/>
          <w:szCs w:val="21"/>
          <w:lang w:eastAsia="zh-CN"/>
        </w:rPr>
        <w:t>4.其他需要说明的事项</w:t>
      </w:r>
    </w:p>
    <w:p w:rsidR="00734332" w:rsidRDefault="00252F50">
      <w:pPr>
        <w:spacing w:line="360" w:lineRule="auto"/>
        <w:ind w:firstLine="420"/>
        <w:rPr>
          <w:lang w:eastAsia="zh-CN"/>
        </w:rPr>
      </w:pPr>
      <w:r>
        <w:rPr>
          <w:rFonts w:ascii="宋体" w:eastAsia="宋体" w:hAnsi="宋体" w:cs="宋体"/>
          <w:sz w:val="21"/>
          <w:szCs w:val="21"/>
          <w:lang w:eastAsia="zh-CN"/>
        </w:rPr>
        <w:t>上述事项已按规定向中国证券投资基金业协会办理相关手续。</w:t>
      </w:r>
    </w:p>
    <w:p w:rsidR="00734332" w:rsidRDefault="00252F50">
      <w:pPr>
        <w:spacing w:line="360" w:lineRule="auto"/>
        <w:ind w:firstLine="420"/>
        <w:rPr>
          <w:lang w:eastAsia="zh-CN"/>
        </w:rPr>
      </w:pPr>
      <w:r>
        <w:rPr>
          <w:rFonts w:ascii="宋体" w:eastAsia="宋体" w:hAnsi="宋体" w:cs="宋体"/>
          <w:lang w:eastAsia="zh-CN"/>
        </w:rPr>
        <w:t> </w:t>
      </w:r>
    </w:p>
    <w:p w:rsidR="00734332" w:rsidRDefault="00252F50">
      <w:pPr>
        <w:spacing w:line="360" w:lineRule="auto"/>
        <w:ind w:firstLine="420"/>
        <w:rPr>
          <w:lang w:eastAsia="zh-CN"/>
        </w:rPr>
      </w:pPr>
      <w:r>
        <w:rPr>
          <w:rFonts w:ascii="宋体" w:eastAsia="宋体" w:hAnsi="宋体" w:cs="宋体"/>
          <w:lang w:eastAsia="zh-CN"/>
        </w:rPr>
        <w:t> </w:t>
      </w:r>
    </w:p>
    <w:p w:rsidR="00734332" w:rsidRDefault="00252F50">
      <w:pPr>
        <w:spacing w:line="360" w:lineRule="auto"/>
        <w:jc w:val="right"/>
        <w:rPr>
          <w:lang w:eastAsia="zh-CN"/>
        </w:rPr>
      </w:pPr>
      <w:r>
        <w:rPr>
          <w:rFonts w:ascii="宋体" w:eastAsia="宋体" w:hAnsi="宋体" w:cs="宋体"/>
          <w:sz w:val="21"/>
          <w:szCs w:val="21"/>
          <w:lang w:eastAsia="zh-CN"/>
        </w:rPr>
        <w:t>鹏华基金管理有限公司</w:t>
      </w:r>
    </w:p>
    <w:p w:rsidR="00734332" w:rsidRDefault="00252F50">
      <w:pPr>
        <w:spacing w:line="360" w:lineRule="auto"/>
        <w:jc w:val="right"/>
        <w:rPr>
          <w:lang w:eastAsia="zh-CN"/>
        </w:rPr>
      </w:pPr>
      <w:r>
        <w:rPr>
          <w:rFonts w:ascii="宋体" w:eastAsia="宋体" w:hAnsi="宋体" w:cs="宋体"/>
          <w:sz w:val="21"/>
          <w:szCs w:val="21"/>
          <w:lang w:eastAsia="zh-CN"/>
        </w:rPr>
        <w:t>2025年10月16日</w:t>
      </w:r>
    </w:p>
    <w:p w:rsidR="00A77B3E" w:rsidRDefault="00A77B3E">
      <w:pPr>
        <w:rPr>
          <w:lang w:eastAsia="zh-CN"/>
        </w:rPr>
      </w:pPr>
    </w:p>
    <w:sectPr w:rsidR="00A77B3E" w:rsidSect="006C0F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BA9" w:rsidRDefault="00104BA9">
      <w:r>
        <w:separator/>
      </w:r>
    </w:p>
  </w:endnote>
  <w:endnote w:type="continuationSeparator" w:id="0">
    <w:p w:rsidR="00104BA9" w:rsidRDefault="00104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332" w:rsidRDefault="006C0F11">
    <w:pPr>
      <w:jc w:val="center"/>
    </w:pPr>
    <w:r>
      <w:rPr>
        <w:rFonts w:ascii="宋体" w:eastAsia="宋体" w:hAnsi="宋体" w:cs="宋体"/>
        <w:sz w:val="18"/>
      </w:rPr>
      <w:fldChar w:fldCharType="begin"/>
    </w:r>
    <w:r w:rsidR="00252F50">
      <w:rPr>
        <w:rFonts w:ascii="宋体" w:eastAsia="宋体" w:hAnsi="宋体" w:cs="宋体"/>
        <w:sz w:val="18"/>
        <w:lang w:eastAsia="zh-CN"/>
      </w:rPr>
      <w:instrText xml:space="preserve"> PAGE </w:instrText>
    </w:r>
    <w:r>
      <w:rPr>
        <w:rFonts w:ascii="宋体" w:eastAsia="宋体" w:hAnsi="宋体" w:cs="宋体"/>
        <w:sz w:val="18"/>
      </w:rPr>
      <w:fldChar w:fldCharType="separate"/>
    </w:r>
    <w:r w:rsidR="001E77AF">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BA9" w:rsidRDefault="00104BA9">
      <w:r>
        <w:separator/>
      </w:r>
    </w:p>
  </w:footnote>
  <w:footnote w:type="continuationSeparator" w:id="0">
    <w:p w:rsidR="00104BA9" w:rsidRDefault="00104B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04BA9"/>
    <w:rsid w:val="001E77AF"/>
    <w:rsid w:val="00252F50"/>
    <w:rsid w:val="00581A79"/>
    <w:rsid w:val="006C0F11"/>
    <w:rsid w:val="00734332"/>
    <w:rsid w:val="009A1212"/>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F11"/>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 w:type="paragraph" w:styleId="a3">
    <w:name w:val="header"/>
    <w:basedOn w:val="a"/>
    <w:link w:val="Char"/>
    <w:unhideWhenUsed/>
    <w:rsid w:val="009A12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A1212"/>
    <w:rPr>
      <w:sz w:val="18"/>
      <w:szCs w:val="18"/>
    </w:rPr>
  </w:style>
  <w:style w:type="paragraph" w:styleId="a4">
    <w:name w:val="footer"/>
    <w:basedOn w:val="a"/>
    <w:link w:val="Char0"/>
    <w:unhideWhenUsed/>
    <w:rsid w:val="009A1212"/>
    <w:pPr>
      <w:tabs>
        <w:tab w:val="center" w:pos="4153"/>
        <w:tab w:val="right" w:pos="8306"/>
      </w:tabs>
      <w:snapToGrid w:val="0"/>
    </w:pPr>
    <w:rPr>
      <w:sz w:val="18"/>
      <w:szCs w:val="18"/>
    </w:rPr>
  </w:style>
  <w:style w:type="character" w:customStyle="1" w:styleId="Char0">
    <w:name w:val="页脚 Char"/>
    <w:basedOn w:val="a0"/>
    <w:link w:val="a4"/>
    <w:rsid w:val="009A121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1270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2025-10-14T06:43:00Z</cp:lastPrinted>
  <dcterms:created xsi:type="dcterms:W3CDTF">2025-10-15T16:01:00Z</dcterms:created>
  <dcterms:modified xsi:type="dcterms:W3CDTF">2025-10-15T16:01:00Z</dcterms:modified>
</cp:coreProperties>
</file>