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F96" w:rsidRDefault="008442B6">
      <w:pPr>
        <w:spacing w:line="360" w:lineRule="auto"/>
        <w:jc w:val="center"/>
        <w:rPr>
          <w:rFonts w:asciiTheme="minorEastAsia" w:hAnsiTheme="minorEastAsia"/>
          <w:b/>
          <w:bCs/>
          <w:sz w:val="24"/>
        </w:rPr>
      </w:pPr>
      <w:r>
        <w:rPr>
          <w:rFonts w:asciiTheme="minorEastAsia" w:hAnsiTheme="minorEastAsia" w:hint="eastAsia"/>
          <w:b/>
          <w:bCs/>
          <w:sz w:val="24"/>
        </w:rPr>
        <w:t>渤海汇金证券资产管理有限公司关于旗下部分基金增加</w:t>
      </w:r>
      <w:r>
        <w:rPr>
          <w:rFonts w:asciiTheme="minorEastAsia" w:hAnsiTheme="minorEastAsia" w:hint="eastAsia"/>
          <w:b/>
          <w:bCs/>
          <w:sz w:val="24"/>
        </w:rPr>
        <w:t>福克斯（北京）基金销售有限公司</w:t>
      </w:r>
      <w:r>
        <w:rPr>
          <w:rFonts w:asciiTheme="minorEastAsia" w:hAnsiTheme="minorEastAsia" w:hint="eastAsia"/>
          <w:b/>
          <w:bCs/>
          <w:sz w:val="24"/>
        </w:rPr>
        <w:t>为代销机构并参与基金费率优惠活动的公告</w:t>
      </w:r>
    </w:p>
    <w:p w:rsidR="008F5F96" w:rsidRDefault="008F5F96">
      <w:pPr>
        <w:spacing w:line="360" w:lineRule="auto"/>
        <w:rPr>
          <w:rFonts w:asciiTheme="minorEastAsia" w:hAnsiTheme="minorEastAsia"/>
          <w:b/>
          <w:bCs/>
          <w:sz w:val="24"/>
        </w:rPr>
      </w:pP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根据渤海汇金证券资产管理有限公司（</w:t>
      </w:r>
      <w:bookmarkStart w:id="0" w:name="_GoBack"/>
      <w:bookmarkEnd w:id="0"/>
      <w:r>
        <w:rPr>
          <w:rFonts w:asciiTheme="minorEastAsia" w:hAnsiTheme="minorEastAsia" w:hint="eastAsia"/>
          <w:sz w:val="24"/>
        </w:rPr>
        <w:t>以下简称“本公司”）与福克斯（北京）基金销售有限公司（以下简称“</w:t>
      </w:r>
      <w:r>
        <w:rPr>
          <w:rFonts w:asciiTheme="minorEastAsia" w:hAnsiTheme="minorEastAsia" w:hint="eastAsia"/>
          <w:sz w:val="24"/>
        </w:rPr>
        <w:t>福克斯基金</w:t>
      </w:r>
      <w:r>
        <w:rPr>
          <w:rFonts w:asciiTheme="minorEastAsia" w:hAnsiTheme="minorEastAsia" w:hint="eastAsia"/>
          <w:sz w:val="24"/>
        </w:rPr>
        <w:t>”）签署的基金销售代理服务协议，自</w:t>
      </w:r>
      <w:r>
        <w:rPr>
          <w:rFonts w:asciiTheme="minorEastAsia" w:hAnsiTheme="minorEastAsia" w:hint="eastAsia"/>
          <w:sz w:val="24"/>
        </w:rPr>
        <w:t>202</w:t>
      </w:r>
      <w:r>
        <w:rPr>
          <w:rFonts w:asciiTheme="minorEastAsia" w:hAnsiTheme="minorEastAsia" w:hint="eastAsia"/>
          <w:sz w:val="24"/>
        </w:rPr>
        <w:t>5</w:t>
      </w:r>
      <w:r>
        <w:rPr>
          <w:rFonts w:asciiTheme="minorEastAsia" w:hAnsiTheme="minorEastAsia"/>
          <w:sz w:val="24"/>
        </w:rPr>
        <w:t>年</w:t>
      </w:r>
      <w:r>
        <w:rPr>
          <w:rFonts w:asciiTheme="minorEastAsia" w:hAnsiTheme="minorEastAsia" w:hint="eastAsia"/>
          <w:sz w:val="24"/>
        </w:rPr>
        <w:t>10</w:t>
      </w:r>
      <w:r>
        <w:rPr>
          <w:rFonts w:asciiTheme="minorEastAsia" w:hAnsiTheme="minorEastAsia"/>
          <w:sz w:val="24"/>
        </w:rPr>
        <w:t>月</w:t>
      </w:r>
      <w:r>
        <w:rPr>
          <w:rFonts w:asciiTheme="minorEastAsia" w:hAnsiTheme="minorEastAsia" w:hint="eastAsia"/>
          <w:sz w:val="24"/>
        </w:rPr>
        <w:t>17</w:t>
      </w:r>
      <w:r>
        <w:rPr>
          <w:rFonts w:asciiTheme="minorEastAsia" w:hAnsiTheme="minorEastAsia"/>
          <w:sz w:val="24"/>
        </w:rPr>
        <w:t>日起，本公司增加</w:t>
      </w:r>
      <w:r>
        <w:rPr>
          <w:rFonts w:asciiTheme="minorEastAsia" w:hAnsiTheme="minorEastAsia" w:hint="eastAsia"/>
          <w:sz w:val="24"/>
        </w:rPr>
        <w:t>福克斯基金</w:t>
      </w:r>
      <w:r>
        <w:rPr>
          <w:rFonts w:asciiTheme="minorEastAsia" w:hAnsiTheme="minorEastAsia"/>
          <w:sz w:val="24"/>
        </w:rPr>
        <w:t>为本公司旗下部分基金的</w:t>
      </w:r>
      <w:r>
        <w:rPr>
          <w:rFonts w:asciiTheme="minorEastAsia" w:hAnsiTheme="minorEastAsia" w:hint="eastAsia"/>
          <w:sz w:val="24"/>
        </w:rPr>
        <w:t>代销</w:t>
      </w:r>
      <w:r>
        <w:rPr>
          <w:rFonts w:asciiTheme="minorEastAsia" w:hAnsiTheme="minorEastAsia"/>
          <w:sz w:val="24"/>
        </w:rPr>
        <w:t>机构</w:t>
      </w:r>
      <w:r>
        <w:rPr>
          <w:rFonts w:asciiTheme="minorEastAsia" w:hAnsiTheme="minorEastAsia" w:hint="eastAsia"/>
          <w:sz w:val="24"/>
        </w:rPr>
        <w:t>，</w:t>
      </w:r>
      <w:r>
        <w:rPr>
          <w:rFonts w:asciiTheme="minorEastAsia" w:hAnsiTheme="minorEastAsia"/>
          <w:sz w:val="24"/>
        </w:rPr>
        <w:t>同时参加其费率优惠活动，现将有关事项公告如下：</w:t>
      </w:r>
    </w:p>
    <w:p w:rsidR="008F5F96" w:rsidRDefault="008442B6">
      <w:pPr>
        <w:spacing w:line="360" w:lineRule="auto"/>
        <w:ind w:firstLineChars="200" w:firstLine="480"/>
        <w:outlineLvl w:val="0"/>
        <w:rPr>
          <w:rFonts w:asciiTheme="minorEastAsia" w:hAnsiTheme="minorEastAsia"/>
          <w:sz w:val="24"/>
        </w:rPr>
      </w:pPr>
      <w:r>
        <w:rPr>
          <w:rFonts w:asciiTheme="minorEastAsia" w:hAnsiTheme="minorEastAsia"/>
          <w:sz w:val="24"/>
        </w:rPr>
        <w:t>一、适用基金及业务范围</w:t>
      </w:r>
    </w:p>
    <w:tbl>
      <w:tblPr>
        <w:tblStyle w:val="a7"/>
        <w:tblW w:w="8688" w:type="dxa"/>
        <w:jc w:val="center"/>
        <w:tblLook w:val="04A0"/>
      </w:tblPr>
      <w:tblGrid>
        <w:gridCol w:w="748"/>
        <w:gridCol w:w="6420"/>
        <w:gridCol w:w="1520"/>
      </w:tblGrid>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序号</w:t>
            </w:r>
          </w:p>
        </w:tc>
        <w:tc>
          <w:tcPr>
            <w:tcW w:w="6420"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基金名称</w:t>
            </w:r>
          </w:p>
        </w:tc>
        <w:tc>
          <w:tcPr>
            <w:tcW w:w="1520"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基金代码</w:t>
            </w:r>
          </w:p>
        </w:tc>
      </w:tr>
      <w:tr w:rsidR="008F5F96">
        <w:trPr>
          <w:trHeight w:val="747"/>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1</w:t>
            </w:r>
          </w:p>
        </w:tc>
        <w:tc>
          <w:tcPr>
            <w:tcW w:w="6420" w:type="dxa"/>
          </w:tcPr>
          <w:p w:rsidR="008F5F96" w:rsidRDefault="008442B6">
            <w:pPr>
              <w:jc w:val="center"/>
              <w:rPr>
                <w:rFonts w:asciiTheme="minorEastAsia" w:hAnsiTheme="minorEastAsia"/>
                <w:sz w:val="24"/>
              </w:rPr>
            </w:pPr>
            <w:r>
              <w:rPr>
                <w:rFonts w:asciiTheme="minorEastAsia" w:hAnsiTheme="minorEastAsia" w:hint="eastAsia"/>
                <w:sz w:val="24"/>
              </w:rPr>
              <w:t>渤海汇金汇享益利率债债券型证券投资基金</w:t>
            </w:r>
          </w:p>
        </w:tc>
        <w:tc>
          <w:tcPr>
            <w:tcW w:w="1520" w:type="dxa"/>
          </w:tcPr>
          <w:p w:rsidR="008F5F96" w:rsidRDefault="008442B6">
            <w:pPr>
              <w:tabs>
                <w:tab w:val="left" w:pos="217"/>
                <w:tab w:val="center" w:pos="711"/>
              </w:tabs>
              <w:jc w:val="left"/>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hint="eastAsia"/>
                <w:sz w:val="24"/>
              </w:rPr>
              <w:t xml:space="preserve">018676 </w:t>
            </w:r>
          </w:p>
          <w:p w:rsidR="008F5F96" w:rsidRDefault="008442B6">
            <w:pPr>
              <w:rPr>
                <w:rFonts w:asciiTheme="minorEastAsia" w:hAnsiTheme="minorEastAsia"/>
                <w:sz w:val="24"/>
              </w:rPr>
            </w:pPr>
            <w:r>
              <w:rPr>
                <w:rFonts w:asciiTheme="minorEastAsia" w:hAnsiTheme="minorEastAsia" w:hint="eastAsia"/>
                <w:sz w:val="24"/>
              </w:rPr>
              <w:t>C</w:t>
            </w:r>
            <w:r>
              <w:rPr>
                <w:rFonts w:asciiTheme="minorEastAsia" w:hAnsiTheme="minorEastAsia" w:hint="eastAsia"/>
                <w:sz w:val="24"/>
              </w:rPr>
              <w:t>类：</w:t>
            </w:r>
            <w:r>
              <w:rPr>
                <w:rFonts w:asciiTheme="minorEastAsia" w:hAnsiTheme="minorEastAsia" w:hint="eastAsia"/>
                <w:sz w:val="24"/>
              </w:rPr>
              <w:t>018677</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2</w:t>
            </w:r>
          </w:p>
        </w:tc>
        <w:tc>
          <w:tcPr>
            <w:tcW w:w="6420" w:type="dxa"/>
          </w:tcPr>
          <w:p w:rsidR="008F5F96" w:rsidRDefault="008442B6">
            <w:pPr>
              <w:jc w:val="center"/>
              <w:rPr>
                <w:rFonts w:asciiTheme="minorEastAsia" w:hAnsiTheme="minorEastAsia"/>
                <w:sz w:val="24"/>
              </w:rPr>
            </w:pPr>
            <w:r>
              <w:rPr>
                <w:rFonts w:asciiTheme="minorEastAsia" w:hAnsiTheme="minorEastAsia" w:hint="eastAsia"/>
                <w:sz w:val="24"/>
              </w:rPr>
              <w:t>渤海汇金汇鑫益</w:t>
            </w:r>
            <w:r>
              <w:rPr>
                <w:rFonts w:asciiTheme="minorEastAsia" w:hAnsiTheme="minorEastAsia" w:hint="eastAsia"/>
                <w:sz w:val="24"/>
              </w:rPr>
              <w:t>3</w:t>
            </w:r>
            <w:r>
              <w:rPr>
                <w:rFonts w:asciiTheme="minorEastAsia" w:hAnsiTheme="minorEastAsia" w:hint="eastAsia"/>
                <w:sz w:val="24"/>
              </w:rPr>
              <w:t>个月定期开放债券型发起式证券投资基金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016026</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3</w:t>
            </w:r>
          </w:p>
        </w:tc>
        <w:tc>
          <w:tcPr>
            <w:tcW w:w="6420" w:type="dxa"/>
          </w:tcPr>
          <w:p w:rsidR="008F5F96" w:rsidRDefault="008442B6">
            <w:pPr>
              <w:jc w:val="center"/>
              <w:rPr>
                <w:rFonts w:asciiTheme="minorEastAsia" w:hAnsiTheme="minorEastAsia"/>
                <w:sz w:val="24"/>
              </w:rPr>
            </w:pPr>
            <w:r>
              <w:rPr>
                <w:rFonts w:asciiTheme="minorEastAsia" w:hAnsiTheme="minorEastAsia" w:hint="eastAsia"/>
                <w:sz w:val="24"/>
              </w:rPr>
              <w:t>渤海汇金汇添益</w:t>
            </w:r>
            <w:r>
              <w:rPr>
                <w:rFonts w:asciiTheme="minorEastAsia" w:hAnsiTheme="minorEastAsia" w:hint="eastAsia"/>
                <w:sz w:val="24"/>
              </w:rPr>
              <w:t>3</w:t>
            </w:r>
            <w:r>
              <w:rPr>
                <w:rFonts w:asciiTheme="minorEastAsia" w:hAnsiTheme="minorEastAsia" w:hint="eastAsia"/>
                <w:sz w:val="24"/>
              </w:rPr>
              <w:t>个月定期开放债券型发起式证券投资基金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005428</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4</w:t>
            </w:r>
          </w:p>
        </w:tc>
        <w:tc>
          <w:tcPr>
            <w:tcW w:w="6420" w:type="dxa"/>
          </w:tcPr>
          <w:p w:rsidR="008F5F96" w:rsidRDefault="008442B6">
            <w:pPr>
              <w:jc w:val="center"/>
              <w:rPr>
                <w:rFonts w:asciiTheme="minorEastAsia" w:hAnsiTheme="minorEastAsia"/>
                <w:sz w:val="24"/>
              </w:rPr>
            </w:pPr>
            <w:r>
              <w:rPr>
                <w:rFonts w:asciiTheme="minorEastAsia" w:hAnsiTheme="minorEastAsia" w:hint="eastAsia"/>
                <w:sz w:val="24"/>
              </w:rPr>
              <w:t>渤海汇金汇增利</w:t>
            </w:r>
            <w:r>
              <w:rPr>
                <w:rFonts w:asciiTheme="minorEastAsia" w:hAnsiTheme="minorEastAsia" w:hint="eastAsia"/>
                <w:sz w:val="24"/>
              </w:rPr>
              <w:t>3</w:t>
            </w:r>
            <w:r>
              <w:rPr>
                <w:rFonts w:asciiTheme="minorEastAsia" w:hAnsiTheme="minorEastAsia" w:hint="eastAsia"/>
                <w:sz w:val="24"/>
              </w:rPr>
              <w:t>个月定期开放债券型发起式证券投资基金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005427</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5</w:t>
            </w:r>
          </w:p>
        </w:tc>
        <w:tc>
          <w:tcPr>
            <w:tcW w:w="6420" w:type="dxa"/>
          </w:tcPr>
          <w:p w:rsidR="008F5F96" w:rsidRDefault="008442B6">
            <w:pPr>
              <w:jc w:val="center"/>
              <w:rPr>
                <w:rFonts w:asciiTheme="minorEastAsia" w:hAnsiTheme="minorEastAsia"/>
                <w:sz w:val="24"/>
              </w:rPr>
            </w:pPr>
            <w:r>
              <w:rPr>
                <w:rFonts w:ascii="宋体" w:eastAsia="宋体" w:hAnsi="宋体" w:cs="宋体"/>
                <w:color w:val="000000"/>
                <w:sz w:val="24"/>
                <w:shd w:val="clear" w:color="auto" w:fill="FFFFFF"/>
              </w:rPr>
              <w:t>渤海汇金汇添金货币市场基金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hint="eastAsia"/>
                <w:sz w:val="24"/>
              </w:rPr>
              <w:t>004786</w:t>
            </w:r>
          </w:p>
          <w:p w:rsidR="008F5F96" w:rsidRDefault="008442B6">
            <w:pPr>
              <w:rPr>
                <w:rFonts w:asciiTheme="minorEastAsia" w:hAnsiTheme="minorEastAsia"/>
                <w:sz w:val="24"/>
              </w:rPr>
            </w:pPr>
            <w:r>
              <w:rPr>
                <w:rFonts w:asciiTheme="minorEastAsia" w:hAnsiTheme="minorEastAsia" w:hint="eastAsia"/>
                <w:sz w:val="24"/>
              </w:rPr>
              <w:t>B</w:t>
            </w:r>
            <w:r>
              <w:rPr>
                <w:rFonts w:asciiTheme="minorEastAsia" w:hAnsiTheme="minorEastAsia" w:hint="eastAsia"/>
                <w:sz w:val="24"/>
              </w:rPr>
              <w:t>类：</w:t>
            </w:r>
            <w:r>
              <w:rPr>
                <w:rFonts w:asciiTheme="minorEastAsia" w:hAnsiTheme="minorEastAsia" w:hint="eastAsia"/>
                <w:sz w:val="24"/>
              </w:rPr>
              <w:t>004787</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6</w:t>
            </w:r>
          </w:p>
        </w:tc>
        <w:tc>
          <w:tcPr>
            <w:tcW w:w="6420" w:type="dxa"/>
          </w:tcPr>
          <w:p w:rsidR="008F5F96" w:rsidRDefault="008442B6">
            <w:pPr>
              <w:jc w:val="center"/>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渤海汇金</w:t>
            </w:r>
            <w:r>
              <w:rPr>
                <w:rFonts w:ascii="宋体" w:eastAsia="宋体" w:hAnsi="宋体" w:cs="宋体"/>
                <w:color w:val="000000"/>
                <w:sz w:val="24"/>
                <w:shd w:val="clear" w:color="auto" w:fill="FFFFFF"/>
              </w:rPr>
              <w:t>2</w:t>
            </w:r>
            <w:r>
              <w:rPr>
                <w:rFonts w:ascii="宋体" w:eastAsia="宋体" w:hAnsi="宋体" w:cs="宋体"/>
                <w:color w:val="000000"/>
                <w:sz w:val="24"/>
                <w:shd w:val="clear" w:color="auto" w:fill="FFFFFF"/>
              </w:rPr>
              <w:t>个月滚动持有债券型发起式证券投资基金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hint="eastAsia"/>
                <w:sz w:val="24"/>
              </w:rPr>
              <w:t>021112 C</w:t>
            </w:r>
            <w:r>
              <w:rPr>
                <w:rFonts w:asciiTheme="minorEastAsia" w:hAnsiTheme="minorEastAsia" w:hint="eastAsia"/>
                <w:sz w:val="24"/>
              </w:rPr>
              <w:t>类：</w:t>
            </w:r>
            <w:r>
              <w:rPr>
                <w:rFonts w:asciiTheme="minorEastAsia" w:hAnsiTheme="minorEastAsia" w:hint="eastAsia"/>
                <w:sz w:val="24"/>
              </w:rPr>
              <w:t>021113</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7</w:t>
            </w:r>
          </w:p>
        </w:tc>
        <w:tc>
          <w:tcPr>
            <w:tcW w:w="6420" w:type="dxa"/>
          </w:tcPr>
          <w:p w:rsidR="008F5F96" w:rsidRDefault="008442B6">
            <w:pPr>
              <w:jc w:val="cente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渤海汇金</w:t>
            </w:r>
            <w:r>
              <w:rPr>
                <w:rFonts w:ascii="宋体" w:eastAsia="宋体" w:hAnsi="宋体" w:cs="宋体" w:hint="eastAsia"/>
                <w:color w:val="000000"/>
                <w:sz w:val="24"/>
                <w:shd w:val="clear" w:color="auto" w:fill="FFFFFF"/>
              </w:rPr>
              <w:t>1</w:t>
            </w:r>
            <w:r>
              <w:rPr>
                <w:rFonts w:ascii="宋体" w:eastAsia="宋体" w:hAnsi="宋体" w:cs="宋体" w:hint="eastAsia"/>
                <w:color w:val="000000"/>
                <w:sz w:val="24"/>
                <w:shd w:val="clear" w:color="auto" w:fill="FFFFFF"/>
              </w:rPr>
              <w:t>个月持有期债券型发起式证券投资基金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hint="eastAsia"/>
                <w:sz w:val="24"/>
              </w:rPr>
              <w:t>022362</w:t>
            </w:r>
          </w:p>
          <w:p w:rsidR="008F5F96" w:rsidRDefault="008442B6">
            <w:pPr>
              <w:rPr>
                <w:rFonts w:asciiTheme="minorEastAsia" w:hAnsiTheme="minorEastAsia"/>
                <w:sz w:val="24"/>
              </w:rPr>
            </w:pPr>
            <w:r>
              <w:rPr>
                <w:rFonts w:asciiTheme="minorEastAsia" w:hAnsiTheme="minorEastAsia" w:hint="eastAsia"/>
                <w:sz w:val="24"/>
              </w:rPr>
              <w:t>C</w:t>
            </w:r>
            <w:r>
              <w:rPr>
                <w:rFonts w:asciiTheme="minorEastAsia" w:hAnsiTheme="minorEastAsia" w:hint="eastAsia"/>
                <w:sz w:val="24"/>
              </w:rPr>
              <w:t>类：</w:t>
            </w:r>
            <w:r>
              <w:rPr>
                <w:rFonts w:asciiTheme="minorEastAsia" w:hAnsiTheme="minorEastAsia" w:hint="eastAsia"/>
                <w:sz w:val="24"/>
              </w:rPr>
              <w:t>022363</w:t>
            </w:r>
          </w:p>
        </w:tc>
      </w:tr>
      <w:tr w:rsidR="008F5F96">
        <w:trPr>
          <w:jc w:val="center"/>
        </w:trPr>
        <w:tc>
          <w:tcPr>
            <w:tcW w:w="748" w:type="dxa"/>
          </w:tcPr>
          <w:p w:rsidR="008F5F96" w:rsidRDefault="008442B6">
            <w:pPr>
              <w:spacing w:line="360" w:lineRule="auto"/>
              <w:jc w:val="center"/>
              <w:rPr>
                <w:rFonts w:asciiTheme="minorEastAsia" w:hAnsiTheme="minorEastAsia"/>
                <w:sz w:val="24"/>
              </w:rPr>
            </w:pPr>
            <w:r>
              <w:rPr>
                <w:rFonts w:asciiTheme="minorEastAsia" w:hAnsiTheme="minorEastAsia" w:hint="eastAsia"/>
                <w:sz w:val="24"/>
              </w:rPr>
              <w:t>8</w:t>
            </w:r>
          </w:p>
        </w:tc>
        <w:tc>
          <w:tcPr>
            <w:tcW w:w="6420" w:type="dxa"/>
          </w:tcPr>
          <w:p w:rsidR="008F5F96" w:rsidRDefault="008442B6">
            <w:pPr>
              <w:jc w:val="cente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渤海汇金鑫泉平衡混合型发起式证券投资基金</w:t>
            </w:r>
          </w:p>
        </w:tc>
        <w:tc>
          <w:tcPr>
            <w:tcW w:w="1520" w:type="dxa"/>
          </w:tcPr>
          <w:p w:rsidR="008F5F96" w:rsidRDefault="008442B6">
            <w:pP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hint="eastAsia"/>
                <w:sz w:val="24"/>
              </w:rPr>
              <w:t>023959</w:t>
            </w:r>
          </w:p>
          <w:p w:rsidR="008F5F96" w:rsidRDefault="008442B6">
            <w:pPr>
              <w:rPr>
                <w:rFonts w:asciiTheme="minorEastAsia" w:hAnsiTheme="minorEastAsia"/>
                <w:sz w:val="24"/>
              </w:rPr>
            </w:pPr>
            <w:r>
              <w:rPr>
                <w:rFonts w:asciiTheme="minorEastAsia" w:hAnsiTheme="minorEastAsia" w:hint="eastAsia"/>
                <w:sz w:val="24"/>
              </w:rPr>
              <w:t>C</w:t>
            </w:r>
            <w:r>
              <w:rPr>
                <w:rFonts w:asciiTheme="minorEastAsia" w:hAnsiTheme="minorEastAsia" w:hint="eastAsia"/>
                <w:sz w:val="24"/>
              </w:rPr>
              <w:t>类：</w:t>
            </w:r>
            <w:r>
              <w:rPr>
                <w:rFonts w:asciiTheme="minorEastAsia" w:hAnsiTheme="minorEastAsia" w:hint="eastAsia"/>
                <w:sz w:val="24"/>
              </w:rPr>
              <w:t>023960</w:t>
            </w:r>
          </w:p>
        </w:tc>
      </w:tr>
    </w:tbl>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自</w:t>
      </w:r>
      <w:r>
        <w:rPr>
          <w:rFonts w:asciiTheme="minorEastAsia" w:hAnsiTheme="minorEastAsia" w:hint="eastAsia"/>
          <w:sz w:val="24"/>
        </w:rPr>
        <w:t>202</w:t>
      </w:r>
      <w:r>
        <w:rPr>
          <w:rFonts w:asciiTheme="minorEastAsia" w:hAnsiTheme="minorEastAsia" w:hint="eastAsia"/>
          <w:sz w:val="24"/>
        </w:rPr>
        <w:t>5</w:t>
      </w:r>
      <w:r>
        <w:rPr>
          <w:rFonts w:asciiTheme="minorEastAsia" w:hAnsiTheme="minorEastAsia" w:hint="eastAsia"/>
          <w:sz w:val="24"/>
        </w:rPr>
        <w:t>年</w:t>
      </w:r>
      <w:r>
        <w:rPr>
          <w:rFonts w:asciiTheme="minorEastAsia" w:hAnsiTheme="minorEastAsia" w:hint="eastAsia"/>
          <w:sz w:val="24"/>
        </w:rPr>
        <w:t>10</w:t>
      </w:r>
      <w:r>
        <w:rPr>
          <w:rFonts w:asciiTheme="minorEastAsia" w:hAnsiTheme="minorEastAsia" w:hint="eastAsia"/>
          <w:sz w:val="24"/>
        </w:rPr>
        <w:t>月</w:t>
      </w:r>
      <w:r>
        <w:rPr>
          <w:rFonts w:asciiTheme="minorEastAsia" w:hAnsiTheme="minorEastAsia" w:hint="eastAsia"/>
          <w:sz w:val="24"/>
        </w:rPr>
        <w:t>17</w:t>
      </w:r>
      <w:r>
        <w:rPr>
          <w:rFonts w:asciiTheme="minorEastAsia" w:hAnsiTheme="minorEastAsia" w:hint="eastAsia"/>
          <w:sz w:val="24"/>
        </w:rPr>
        <w:t>日起，投资者可在</w:t>
      </w:r>
      <w:r>
        <w:rPr>
          <w:rFonts w:asciiTheme="minorEastAsia" w:hAnsiTheme="minorEastAsia" w:hint="eastAsia"/>
          <w:sz w:val="24"/>
        </w:rPr>
        <w:t>福克斯基金</w:t>
      </w:r>
      <w:r>
        <w:rPr>
          <w:rFonts w:asciiTheme="minorEastAsia" w:hAnsiTheme="minorEastAsia" w:hint="eastAsia"/>
          <w:sz w:val="24"/>
        </w:rPr>
        <w:t>的营业网点办理上述基金的开户、申购、赎回、定投等业务，进行相关信息查询并享受相应的售后服务。具体办理程序请遵循代销机构的规定。</w:t>
      </w:r>
    </w:p>
    <w:p w:rsidR="008F5F96" w:rsidRDefault="008442B6">
      <w:pPr>
        <w:spacing w:line="360" w:lineRule="auto"/>
        <w:ind w:leftChars="200" w:left="420"/>
        <w:outlineLvl w:val="0"/>
        <w:rPr>
          <w:rFonts w:asciiTheme="minorEastAsia" w:hAnsiTheme="minorEastAsia"/>
          <w:sz w:val="24"/>
        </w:rPr>
      </w:pPr>
      <w:r>
        <w:rPr>
          <w:rFonts w:asciiTheme="minorEastAsia" w:hAnsiTheme="minorEastAsia"/>
          <w:sz w:val="24"/>
        </w:rPr>
        <w:t>二、费率优惠活动具体安排</w:t>
      </w:r>
      <w:r>
        <w:rPr>
          <w:rFonts w:asciiTheme="minorEastAsia" w:hAnsiTheme="minorEastAsia"/>
          <w:sz w:val="24"/>
        </w:rPr>
        <w:t xml:space="preserve"> </w:t>
      </w:r>
      <w:r>
        <w:rPr>
          <w:rFonts w:asciiTheme="minorEastAsia" w:hAnsiTheme="minorEastAsia"/>
          <w:sz w:val="24"/>
        </w:rPr>
        <w:br/>
        <w:t>1</w:t>
      </w:r>
      <w:r>
        <w:rPr>
          <w:rFonts w:asciiTheme="minorEastAsia" w:hAnsiTheme="minorEastAsia"/>
          <w:sz w:val="24"/>
        </w:rPr>
        <w:t>、费率优惠内容</w:t>
      </w:r>
      <w:r>
        <w:rPr>
          <w:rFonts w:asciiTheme="minorEastAsia" w:hAnsiTheme="minorEastAsia"/>
          <w:sz w:val="24"/>
        </w:rPr>
        <w:t xml:space="preserve"> </w:t>
      </w:r>
    </w:p>
    <w:p w:rsidR="008F5F96" w:rsidRDefault="008442B6">
      <w:pPr>
        <w:spacing w:line="360" w:lineRule="auto"/>
        <w:ind w:firstLineChars="200" w:firstLine="480"/>
        <w:rPr>
          <w:rFonts w:asciiTheme="minorEastAsia" w:hAnsiTheme="minorEastAsia"/>
          <w:sz w:val="24"/>
        </w:rPr>
      </w:pPr>
      <w:r>
        <w:rPr>
          <w:rFonts w:asciiTheme="minorEastAsia" w:hAnsiTheme="minorEastAsia"/>
          <w:sz w:val="24"/>
        </w:rPr>
        <w:t>自</w:t>
      </w:r>
      <w:r>
        <w:rPr>
          <w:rFonts w:asciiTheme="minorEastAsia" w:hAnsiTheme="minorEastAsia"/>
          <w:sz w:val="24"/>
        </w:rPr>
        <w:t>20</w:t>
      </w:r>
      <w:r>
        <w:rPr>
          <w:rFonts w:asciiTheme="minorEastAsia" w:hAnsiTheme="minorEastAsia" w:hint="eastAsia"/>
          <w:sz w:val="24"/>
        </w:rPr>
        <w:t>2</w:t>
      </w:r>
      <w:r>
        <w:rPr>
          <w:rFonts w:asciiTheme="minorEastAsia" w:hAnsiTheme="minorEastAsia" w:hint="eastAsia"/>
          <w:sz w:val="24"/>
        </w:rPr>
        <w:t>5</w:t>
      </w:r>
      <w:r>
        <w:rPr>
          <w:rFonts w:asciiTheme="minorEastAsia" w:hAnsiTheme="minorEastAsia"/>
          <w:sz w:val="24"/>
        </w:rPr>
        <w:t>年</w:t>
      </w:r>
      <w:r>
        <w:rPr>
          <w:rFonts w:asciiTheme="minorEastAsia" w:hAnsiTheme="minorEastAsia" w:hint="eastAsia"/>
          <w:sz w:val="24"/>
        </w:rPr>
        <w:t>10</w:t>
      </w:r>
      <w:r>
        <w:rPr>
          <w:rFonts w:asciiTheme="minorEastAsia" w:hAnsiTheme="minorEastAsia"/>
          <w:sz w:val="24"/>
        </w:rPr>
        <w:t>月</w:t>
      </w:r>
      <w:r>
        <w:rPr>
          <w:rFonts w:asciiTheme="minorEastAsia" w:hAnsiTheme="minorEastAsia" w:hint="eastAsia"/>
          <w:sz w:val="24"/>
        </w:rPr>
        <w:t>17</w:t>
      </w:r>
      <w:r>
        <w:rPr>
          <w:rFonts w:asciiTheme="minorEastAsia" w:hAnsiTheme="minorEastAsia"/>
          <w:sz w:val="24"/>
        </w:rPr>
        <w:t>日起，投资者通过</w:t>
      </w:r>
      <w:r>
        <w:rPr>
          <w:rFonts w:asciiTheme="minorEastAsia" w:hAnsiTheme="minorEastAsia" w:hint="eastAsia"/>
          <w:sz w:val="24"/>
        </w:rPr>
        <w:t>福克斯基金</w:t>
      </w:r>
      <w:r>
        <w:rPr>
          <w:rFonts w:asciiTheme="minorEastAsia" w:hAnsiTheme="minorEastAsia"/>
          <w:sz w:val="24"/>
        </w:rPr>
        <w:t>申购本公司旗下上述基金，申购费率不设折扣限制，具体折扣费率以</w:t>
      </w:r>
      <w:r>
        <w:rPr>
          <w:rFonts w:asciiTheme="minorEastAsia" w:hAnsiTheme="minorEastAsia" w:hint="eastAsia"/>
          <w:sz w:val="24"/>
        </w:rPr>
        <w:t>福克斯基金</w:t>
      </w:r>
      <w:r>
        <w:rPr>
          <w:rFonts w:asciiTheme="minorEastAsia" w:hAnsiTheme="minorEastAsia"/>
          <w:sz w:val="24"/>
        </w:rPr>
        <w:t>所示公告为准，但</w:t>
      </w:r>
      <w:r>
        <w:rPr>
          <w:rFonts w:asciiTheme="minorEastAsia" w:hAnsiTheme="minorEastAsia" w:hint="eastAsia"/>
          <w:sz w:val="24"/>
        </w:rPr>
        <w:t>福克斯基金</w:t>
      </w:r>
      <w:r>
        <w:rPr>
          <w:rFonts w:asciiTheme="minorEastAsia" w:hAnsiTheme="minorEastAsia"/>
          <w:sz w:val="24"/>
        </w:rPr>
        <w:t>不得低于成本销售上述基金。基金原申购费率请详见基金合同、招募说明书（更新）等法律文件，以及本公司发布的最新业务公告。</w:t>
      </w:r>
      <w:r>
        <w:rPr>
          <w:rFonts w:asciiTheme="minorEastAsia" w:hAnsiTheme="minorEastAsia"/>
          <w:sz w:val="24"/>
        </w:rPr>
        <w:t xml:space="preserve">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sz w:val="24"/>
        </w:rPr>
        <w:t>费率优惠期限内，如本公司新增通过</w:t>
      </w:r>
      <w:r>
        <w:rPr>
          <w:rFonts w:asciiTheme="minorEastAsia" w:hAnsiTheme="minorEastAsia" w:hint="eastAsia"/>
          <w:sz w:val="24"/>
        </w:rPr>
        <w:t>福克斯基金</w:t>
      </w:r>
      <w:r>
        <w:rPr>
          <w:rFonts w:asciiTheme="minorEastAsia" w:hAnsiTheme="minorEastAsia" w:hint="eastAsia"/>
          <w:sz w:val="24"/>
        </w:rPr>
        <w:t>销售</w:t>
      </w:r>
      <w:r>
        <w:rPr>
          <w:rFonts w:asciiTheme="minorEastAsia" w:hAnsiTheme="minorEastAsia"/>
          <w:sz w:val="24"/>
        </w:rPr>
        <w:t>的其他旗下基金，则自</w:t>
      </w:r>
      <w:r>
        <w:rPr>
          <w:rFonts w:asciiTheme="minorEastAsia" w:hAnsiTheme="minorEastAsia"/>
          <w:sz w:val="24"/>
        </w:rPr>
        <w:lastRenderedPageBreak/>
        <w:t>该基金在</w:t>
      </w:r>
      <w:r>
        <w:rPr>
          <w:rFonts w:asciiTheme="minorEastAsia" w:hAnsiTheme="minorEastAsia" w:hint="eastAsia"/>
          <w:sz w:val="24"/>
        </w:rPr>
        <w:t>福克斯基金券</w:t>
      </w:r>
      <w:r>
        <w:rPr>
          <w:rFonts w:asciiTheme="minorEastAsia" w:hAnsiTheme="minorEastAsia"/>
          <w:sz w:val="24"/>
        </w:rPr>
        <w:t>开放申（认）购当日起，将同时开通该基金上述优惠活动。</w:t>
      </w:r>
      <w:r>
        <w:rPr>
          <w:rFonts w:asciiTheme="minorEastAsia" w:hAnsiTheme="minorEastAsia"/>
          <w:sz w:val="24"/>
        </w:rPr>
        <w:t xml:space="preserve"> </w:t>
      </w:r>
      <w:r>
        <w:rPr>
          <w:rFonts w:asciiTheme="minorEastAsia" w:hAnsiTheme="minorEastAsia"/>
          <w:sz w:val="24"/>
        </w:rPr>
        <w:br/>
        <w:t xml:space="preserve">    2</w:t>
      </w:r>
      <w:r>
        <w:rPr>
          <w:rFonts w:asciiTheme="minorEastAsia" w:hAnsiTheme="minorEastAsia"/>
          <w:sz w:val="24"/>
        </w:rPr>
        <w:t>、费率优惠期限</w:t>
      </w:r>
      <w:r>
        <w:rPr>
          <w:rFonts w:asciiTheme="minorEastAsia" w:hAnsiTheme="minorEastAsia"/>
          <w:sz w:val="24"/>
        </w:rPr>
        <w:t xml:space="preserve">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sz w:val="24"/>
        </w:rPr>
        <w:t>以</w:t>
      </w:r>
      <w:r>
        <w:rPr>
          <w:rFonts w:asciiTheme="minorEastAsia" w:hAnsiTheme="minorEastAsia" w:hint="eastAsia"/>
          <w:sz w:val="24"/>
        </w:rPr>
        <w:t>福克斯基金</w:t>
      </w:r>
      <w:r>
        <w:rPr>
          <w:rFonts w:asciiTheme="minorEastAsia" w:hAnsiTheme="minorEastAsia"/>
          <w:sz w:val="24"/>
        </w:rPr>
        <w:t>所示公告为准。</w:t>
      </w:r>
    </w:p>
    <w:p w:rsidR="008F5F96" w:rsidRDefault="008442B6">
      <w:pPr>
        <w:spacing w:line="360" w:lineRule="auto"/>
        <w:ind w:leftChars="200" w:left="420"/>
        <w:jc w:val="left"/>
        <w:outlineLvl w:val="0"/>
        <w:rPr>
          <w:rFonts w:asciiTheme="minorEastAsia" w:hAnsiTheme="minorEastAsia"/>
          <w:sz w:val="24"/>
        </w:rPr>
      </w:pPr>
      <w:r>
        <w:rPr>
          <w:rFonts w:asciiTheme="minorEastAsia" w:hAnsiTheme="minorEastAsia"/>
          <w:sz w:val="24"/>
        </w:rPr>
        <w:t>三、重要提示</w:t>
      </w:r>
      <w:r>
        <w:rPr>
          <w:rFonts w:asciiTheme="minorEastAsia" w:hAnsiTheme="minorEastAsia"/>
          <w:sz w:val="24"/>
        </w:rPr>
        <w:t xml:space="preserve"> </w:t>
      </w:r>
    </w:p>
    <w:p w:rsidR="008F5F96" w:rsidRDefault="008442B6">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sz w:val="24"/>
        </w:rPr>
        <w:t>、本优惠活动仅适用于本公司旗下基金在</w:t>
      </w:r>
      <w:r>
        <w:rPr>
          <w:rFonts w:asciiTheme="minorEastAsia" w:hAnsiTheme="minorEastAsia" w:hint="eastAsia"/>
          <w:sz w:val="24"/>
        </w:rPr>
        <w:t>福克斯基金</w:t>
      </w:r>
      <w:r>
        <w:rPr>
          <w:rFonts w:asciiTheme="minorEastAsia" w:hAnsiTheme="minorEastAsia"/>
          <w:sz w:val="24"/>
        </w:rPr>
        <w:t>处于正常申购期的基金的前端收费模式的申购手续费及处于基金募集期的基金认购费，不包括基金赎回业务等其他业务的手续费。</w:t>
      </w:r>
      <w:r>
        <w:rPr>
          <w:rFonts w:asciiTheme="minorEastAsia" w:hAnsiTheme="minorEastAsia"/>
          <w:sz w:val="24"/>
        </w:rPr>
        <w:t xml:space="preserve"> </w:t>
      </w:r>
      <w:r>
        <w:rPr>
          <w:rFonts w:asciiTheme="minorEastAsia" w:hAnsiTheme="minorEastAsia"/>
          <w:sz w:val="24"/>
        </w:rPr>
        <w:br/>
        <w:t xml:space="preserve">    2</w:t>
      </w:r>
      <w:r>
        <w:rPr>
          <w:rFonts w:asciiTheme="minorEastAsia" w:hAnsiTheme="minorEastAsia"/>
          <w:sz w:val="24"/>
        </w:rPr>
        <w:t>、费率优惠活动解释权归</w:t>
      </w:r>
      <w:r>
        <w:rPr>
          <w:rFonts w:asciiTheme="minorEastAsia" w:hAnsiTheme="minorEastAsia" w:hint="eastAsia"/>
          <w:sz w:val="24"/>
        </w:rPr>
        <w:t>江海证券</w:t>
      </w:r>
      <w:r>
        <w:rPr>
          <w:rFonts w:asciiTheme="minorEastAsia" w:hAnsiTheme="minorEastAsia"/>
          <w:sz w:val="24"/>
        </w:rPr>
        <w:t>所有，有关优惠活动的具体规定如有变化，敬请投资者留意</w:t>
      </w:r>
      <w:r>
        <w:rPr>
          <w:rFonts w:asciiTheme="minorEastAsia" w:hAnsiTheme="minorEastAsia" w:hint="eastAsia"/>
          <w:sz w:val="24"/>
        </w:rPr>
        <w:t>江海证券</w:t>
      </w:r>
      <w:r>
        <w:rPr>
          <w:rFonts w:asciiTheme="minorEastAsia" w:hAnsiTheme="minorEastAsia"/>
          <w:sz w:val="24"/>
        </w:rPr>
        <w:t>的有关公告。</w:t>
      </w:r>
      <w:r>
        <w:rPr>
          <w:rFonts w:asciiTheme="minorEastAsia" w:hAnsiTheme="minorEastAsia"/>
          <w:sz w:val="24"/>
        </w:rPr>
        <w:t xml:space="preserve"> </w:t>
      </w:r>
      <w:r>
        <w:rPr>
          <w:rFonts w:asciiTheme="minorEastAsia" w:hAnsiTheme="minorEastAsia"/>
          <w:sz w:val="24"/>
        </w:rPr>
        <w:br/>
        <w:t xml:space="preserve">    3</w:t>
      </w:r>
      <w:r>
        <w:rPr>
          <w:rFonts w:asciiTheme="minorEastAsia" w:hAnsiTheme="minorEastAsia"/>
          <w:sz w:val="24"/>
        </w:rPr>
        <w:t>、费率优惠活动期间，业务办理的流程以</w:t>
      </w:r>
      <w:r>
        <w:rPr>
          <w:rFonts w:asciiTheme="minorEastAsia" w:hAnsiTheme="minorEastAsia" w:hint="eastAsia"/>
          <w:sz w:val="24"/>
        </w:rPr>
        <w:t>福克斯基金</w:t>
      </w:r>
      <w:r>
        <w:rPr>
          <w:rFonts w:asciiTheme="minorEastAsia" w:hAnsiTheme="minorEastAsia"/>
          <w:sz w:val="24"/>
        </w:rPr>
        <w:t>的规定为准。投资者欲了解基金的详细情况，请仔细阅读基金的基金合同、招募说明书等法律文件。</w:t>
      </w:r>
      <w:r>
        <w:rPr>
          <w:rFonts w:asciiTheme="minorEastAsia" w:hAnsiTheme="minorEastAsia"/>
          <w:sz w:val="24"/>
        </w:rPr>
        <w:t xml:space="preserve">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sz w:val="24"/>
        </w:rPr>
        <w:t>四、</w:t>
      </w:r>
      <w:r>
        <w:rPr>
          <w:rFonts w:asciiTheme="minorEastAsia" w:hAnsiTheme="minorEastAsia" w:hint="eastAsia"/>
          <w:sz w:val="24"/>
        </w:rPr>
        <w:t>投资者可通过以下途径咨询有关详情：</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、福克斯（北京）基金销售有限公司</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网址</w:t>
      </w:r>
      <w:r>
        <w:rPr>
          <w:rStyle w:val="aa"/>
          <w:rFonts w:hint="eastAsia"/>
          <w:color w:val="0070C0"/>
        </w:rPr>
        <w:t>：</w:t>
      </w:r>
      <w:r>
        <w:rPr>
          <w:rStyle w:val="aa"/>
          <w:rFonts w:asciiTheme="minorEastAsia" w:eastAsia="宋体" w:hAnsiTheme="minorEastAsia" w:cs="Times New Roman" w:hint="eastAsia"/>
          <w:color w:val="0070C0"/>
          <w:sz w:val="24"/>
        </w:rPr>
        <w:t>http://www.haofunds.com/</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hint="eastAsia"/>
          <w:sz w:val="24"/>
        </w:rPr>
        <w:t>:</w:t>
      </w:r>
      <w:r>
        <w:rPr>
          <w:rFonts w:asciiTheme="minorEastAsia" w:hAnsiTheme="minorEastAsia"/>
          <w:sz w:val="24"/>
        </w:rPr>
        <w:t xml:space="preserve"> </w:t>
      </w:r>
      <w:r>
        <w:rPr>
          <w:rFonts w:asciiTheme="minorEastAsia" w:hAnsiTheme="minorEastAsia" w:hint="eastAsia"/>
          <w:sz w:val="24"/>
        </w:rPr>
        <w:t xml:space="preserve">010-65042486 </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、渤海汇金证券资产管理有限公司</w:t>
      </w:r>
    </w:p>
    <w:p w:rsidR="008F5F96" w:rsidRDefault="008442B6">
      <w:pPr>
        <w:spacing w:line="360" w:lineRule="auto"/>
        <w:ind w:firstLineChars="200" w:firstLine="480"/>
        <w:rPr>
          <w:rFonts w:asciiTheme="minorEastAsia" w:hAnsiTheme="minorEastAsia"/>
          <w:color w:val="0070C0"/>
          <w:sz w:val="24"/>
        </w:rPr>
      </w:pPr>
      <w:r>
        <w:rPr>
          <w:rFonts w:asciiTheme="minorEastAsia" w:hAnsiTheme="minorEastAsia" w:hint="eastAsia"/>
          <w:sz w:val="24"/>
        </w:rPr>
        <w:t>网址：</w:t>
      </w:r>
      <w:hyperlink r:id="rId6" w:history="1">
        <w:r>
          <w:rPr>
            <w:rStyle w:val="aa"/>
            <w:rFonts w:asciiTheme="minorEastAsia" w:hAnsiTheme="minorEastAsia"/>
            <w:color w:val="0070C0"/>
            <w:sz w:val="24"/>
          </w:rPr>
          <w:t>http</w:t>
        </w:r>
        <w:r>
          <w:rPr>
            <w:rStyle w:val="aa"/>
            <w:rFonts w:asciiTheme="minorEastAsia" w:hAnsiTheme="minorEastAsia" w:hint="eastAsia"/>
            <w:color w:val="0070C0"/>
            <w:sz w:val="24"/>
          </w:rPr>
          <w:t>s</w:t>
        </w:r>
        <w:r>
          <w:rPr>
            <w:rStyle w:val="aa"/>
            <w:rFonts w:asciiTheme="minorEastAsia" w:hAnsiTheme="minorEastAsia"/>
            <w:color w:val="0070C0"/>
            <w:sz w:val="24"/>
          </w:rPr>
          <w:t>://www.bhhjamc.com/</w:t>
        </w:r>
      </w:hyperlink>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 xml:space="preserve"> 400-651-1717</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投资有风险，投资者根据所持有的基金份额享受基金收益，同时承担相应的投资风险。投资者在投资本基金之前，请仔细阅读本基金的招募说明书和基金合同等信息披露文件，全面认识本基金的风险收益特征和产品特性，并充分考虑自身的风险承受能力，理性判断市场，谨慎做出投资决策，自行承担投资风险。敬请投资者注意投资风险。</w:t>
      </w:r>
    </w:p>
    <w:p w:rsidR="008F5F96" w:rsidRDefault="008442B6">
      <w:pPr>
        <w:spacing w:line="360" w:lineRule="auto"/>
        <w:ind w:firstLineChars="200" w:firstLine="480"/>
        <w:rPr>
          <w:rFonts w:asciiTheme="minorEastAsia" w:hAnsiTheme="minorEastAsia"/>
          <w:sz w:val="24"/>
        </w:rPr>
      </w:pPr>
      <w:r>
        <w:rPr>
          <w:rFonts w:asciiTheme="minorEastAsia" w:hAnsiTheme="minorEastAsia" w:hint="eastAsia"/>
          <w:sz w:val="24"/>
        </w:rPr>
        <w:t>特此公告。</w:t>
      </w:r>
    </w:p>
    <w:p w:rsidR="008F5F96" w:rsidRDefault="008442B6">
      <w:pPr>
        <w:spacing w:line="360" w:lineRule="auto"/>
        <w:ind w:firstLineChars="200" w:firstLine="480"/>
        <w:jc w:val="right"/>
        <w:rPr>
          <w:rFonts w:asciiTheme="minorEastAsia" w:hAnsiTheme="minorEastAsia"/>
          <w:sz w:val="24"/>
        </w:rPr>
      </w:pPr>
      <w:r>
        <w:rPr>
          <w:rFonts w:asciiTheme="minorEastAsia" w:hAnsiTheme="minorEastAsia" w:hint="eastAsia"/>
          <w:sz w:val="24"/>
        </w:rPr>
        <w:t>渤海汇金证券资产管理有限公司</w:t>
      </w:r>
    </w:p>
    <w:p w:rsidR="008F5F96" w:rsidRDefault="008442B6">
      <w:pPr>
        <w:spacing w:line="360" w:lineRule="auto"/>
        <w:ind w:firstLineChars="200" w:firstLine="480"/>
        <w:jc w:val="right"/>
        <w:rPr>
          <w:rFonts w:asciiTheme="minorEastAsia" w:hAnsiTheme="minorEastAsia"/>
          <w:sz w:val="24"/>
        </w:rPr>
      </w:pPr>
      <w:r>
        <w:rPr>
          <w:rFonts w:asciiTheme="minorEastAsia" w:hAnsiTheme="minorEastAsia" w:hint="eastAsia"/>
          <w:sz w:val="24"/>
        </w:rPr>
        <w:lastRenderedPageBreak/>
        <w:t>2</w:t>
      </w:r>
      <w:r>
        <w:rPr>
          <w:rFonts w:asciiTheme="minorEastAsia" w:hAnsiTheme="minorEastAsia"/>
          <w:sz w:val="24"/>
        </w:rPr>
        <w:t>02</w:t>
      </w:r>
      <w:r>
        <w:rPr>
          <w:rFonts w:asciiTheme="minorEastAsia" w:hAnsiTheme="minorEastAsia" w:hint="eastAsia"/>
          <w:sz w:val="24"/>
        </w:rPr>
        <w:t>5</w:t>
      </w:r>
      <w:r>
        <w:rPr>
          <w:rFonts w:asciiTheme="minorEastAsia" w:hAnsiTheme="minorEastAsia" w:hint="eastAsia"/>
          <w:sz w:val="24"/>
        </w:rPr>
        <w:t>年</w:t>
      </w:r>
      <w:r>
        <w:rPr>
          <w:rFonts w:asciiTheme="minorEastAsia" w:hAnsiTheme="minorEastAsia" w:hint="eastAsia"/>
          <w:sz w:val="24"/>
        </w:rPr>
        <w:t>10</w:t>
      </w:r>
      <w:r>
        <w:rPr>
          <w:rFonts w:asciiTheme="minorEastAsia" w:hAnsiTheme="minorEastAsia" w:hint="eastAsia"/>
          <w:sz w:val="24"/>
        </w:rPr>
        <w:t>月</w:t>
      </w:r>
      <w:r>
        <w:rPr>
          <w:rFonts w:asciiTheme="minorEastAsia" w:hAnsiTheme="minorEastAsia" w:hint="eastAsia"/>
          <w:sz w:val="24"/>
        </w:rPr>
        <w:t>16</w:t>
      </w:r>
      <w:r>
        <w:rPr>
          <w:rFonts w:asciiTheme="minorEastAsia" w:hAnsiTheme="minorEastAsia" w:hint="eastAsia"/>
          <w:sz w:val="24"/>
        </w:rPr>
        <w:t>日</w:t>
      </w:r>
    </w:p>
    <w:sectPr w:rsidR="008F5F96" w:rsidSect="008F5F9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F96" w:rsidRDefault="008F5F96" w:rsidP="008F5F96">
      <w:r>
        <w:separator/>
      </w:r>
    </w:p>
  </w:endnote>
  <w:endnote w:type="continuationSeparator" w:id="0">
    <w:p w:rsidR="008F5F96" w:rsidRDefault="008F5F96" w:rsidP="008F5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楷体">
    <w:panose1 w:val="02010600040101010101"/>
    <w:charset w:val="86"/>
    <w:family w:val="auto"/>
    <w:pitch w:val="default"/>
    <w:sig w:usb0="00000287" w:usb1="080F0000" w:usb2="00000000" w:usb3="00000000" w:csb0="0004009F" w:csb1="DFD7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F96" w:rsidRDefault="008F5F96" w:rsidP="008F5F96">
      <w:r>
        <w:separator/>
      </w:r>
    </w:p>
  </w:footnote>
  <w:footnote w:type="continuationSeparator" w:id="0">
    <w:p w:rsidR="008F5F96" w:rsidRDefault="008F5F96" w:rsidP="008F5F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F96" w:rsidRDefault="008442B6">
    <w:pPr>
      <w:pStyle w:val="a6"/>
    </w:pPr>
    <w:r>
      <w:rPr>
        <w:rFonts w:ascii="华文楷体" w:eastAsia="华文楷体" w:hAnsi="华文楷体"/>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2917825" cy="556260"/>
          <wp:effectExtent l="0" t="0" r="0" b="0"/>
          <wp:wrapSquare wrapText="bothSides"/>
          <wp:docPr id="2" name="图片 0" descr="渤海汇金资管logo带sloga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渤海汇金资管logo带slogan-03.png"/>
                  <pic:cNvPicPr>
                    <a:picLocks noChangeAspect="1"/>
                  </pic:cNvPicPr>
                </pic:nvPicPr>
                <pic:blipFill>
                  <a:blip r:embed="rId1"/>
                  <a:stretch>
                    <a:fillRect/>
                  </a:stretch>
                </pic:blipFill>
                <pic:spPr>
                  <a:xfrm>
                    <a:off x="0" y="0"/>
                    <a:ext cx="2917825" cy="556260"/>
                  </a:xfrm>
                  <a:prstGeom prst="rect">
                    <a:avLst/>
                  </a:prstGeom>
                </pic:spPr>
              </pic:pic>
            </a:graphicData>
          </a:graphic>
        </wp:anchor>
      </w:drawing>
    </w:r>
    <w:r>
      <w:rPr>
        <w:rFonts w:hint="eastAsia"/>
      </w:rPr>
      <w:t xml:space="preserve"> </w:t>
    </w:r>
    <w:r>
      <w:t xml:space="preserve">     </w:t>
    </w:r>
    <w:r>
      <w:t xml:space="preserve">              </w:t>
    </w:r>
  </w:p>
  <w:p w:rsidR="008F5F96" w:rsidRDefault="008442B6">
    <w:pPr>
      <w:pStyle w:val="a6"/>
      <w:rPr>
        <w:rFonts w:asciiTheme="minorEastAsia" w:hAnsiTheme="minorEastAsia"/>
      </w:rPr>
    </w:pPr>
    <w:r>
      <w:rPr>
        <w:rFonts w:hint="eastAsia"/>
      </w:rPr>
      <w:t xml:space="preserve">                            </w:t>
    </w:r>
    <w:r>
      <w:t xml:space="preserve">                                                     </w:t>
    </w:r>
    <w:r>
      <w:rPr>
        <w:rFonts w:asciiTheme="minorEastAsia" w:hAnsiTheme="minorEastAsia"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2MjI3Y2NiZDg3NmQ5YTliMDZiYTU2ZWZiMjg1MGIifQ=="/>
  </w:docVars>
  <w:rsids>
    <w:rsidRoot w:val="00193077"/>
    <w:rsid w:val="00000648"/>
    <w:rsid w:val="00004566"/>
    <w:rsid w:val="000155B6"/>
    <w:rsid w:val="00025042"/>
    <w:rsid w:val="00051AB0"/>
    <w:rsid w:val="000930F3"/>
    <w:rsid w:val="000D5D13"/>
    <w:rsid w:val="000F195D"/>
    <w:rsid w:val="001051B3"/>
    <w:rsid w:val="001563F0"/>
    <w:rsid w:val="0016149D"/>
    <w:rsid w:val="001762B2"/>
    <w:rsid w:val="0017797E"/>
    <w:rsid w:val="001802F4"/>
    <w:rsid w:val="001834D2"/>
    <w:rsid w:val="001836D6"/>
    <w:rsid w:val="00193077"/>
    <w:rsid w:val="00193125"/>
    <w:rsid w:val="001B30BD"/>
    <w:rsid w:val="001F54B8"/>
    <w:rsid w:val="0020315D"/>
    <w:rsid w:val="00221C8F"/>
    <w:rsid w:val="00231425"/>
    <w:rsid w:val="00233F55"/>
    <w:rsid w:val="0025137E"/>
    <w:rsid w:val="0027393F"/>
    <w:rsid w:val="00282B95"/>
    <w:rsid w:val="002B15CC"/>
    <w:rsid w:val="002C4422"/>
    <w:rsid w:val="002C5479"/>
    <w:rsid w:val="002D0E47"/>
    <w:rsid w:val="002E1356"/>
    <w:rsid w:val="00312575"/>
    <w:rsid w:val="00327658"/>
    <w:rsid w:val="00342E70"/>
    <w:rsid w:val="003764EA"/>
    <w:rsid w:val="0039232C"/>
    <w:rsid w:val="003A7E27"/>
    <w:rsid w:val="003B10A0"/>
    <w:rsid w:val="003C1726"/>
    <w:rsid w:val="003C4328"/>
    <w:rsid w:val="003D199D"/>
    <w:rsid w:val="003F233F"/>
    <w:rsid w:val="003F4461"/>
    <w:rsid w:val="003F6F79"/>
    <w:rsid w:val="00413138"/>
    <w:rsid w:val="00421B5D"/>
    <w:rsid w:val="00457594"/>
    <w:rsid w:val="00480672"/>
    <w:rsid w:val="004C4143"/>
    <w:rsid w:val="004D49E4"/>
    <w:rsid w:val="004D5187"/>
    <w:rsid w:val="00511678"/>
    <w:rsid w:val="005361A6"/>
    <w:rsid w:val="00544F37"/>
    <w:rsid w:val="00547BBB"/>
    <w:rsid w:val="00556B38"/>
    <w:rsid w:val="005D4F91"/>
    <w:rsid w:val="005E0D1D"/>
    <w:rsid w:val="005E11DA"/>
    <w:rsid w:val="00602EA5"/>
    <w:rsid w:val="00644922"/>
    <w:rsid w:val="0065356F"/>
    <w:rsid w:val="0065786F"/>
    <w:rsid w:val="00697B88"/>
    <w:rsid w:val="006C7ACE"/>
    <w:rsid w:val="006D5DB7"/>
    <w:rsid w:val="006E64B1"/>
    <w:rsid w:val="006E7E76"/>
    <w:rsid w:val="00781099"/>
    <w:rsid w:val="00791EA3"/>
    <w:rsid w:val="007D26F9"/>
    <w:rsid w:val="007F1F18"/>
    <w:rsid w:val="008024BC"/>
    <w:rsid w:val="008333A7"/>
    <w:rsid w:val="008442B6"/>
    <w:rsid w:val="00846FFB"/>
    <w:rsid w:val="00850B8F"/>
    <w:rsid w:val="00855E1E"/>
    <w:rsid w:val="00871654"/>
    <w:rsid w:val="0087475F"/>
    <w:rsid w:val="008B1088"/>
    <w:rsid w:val="008F5F96"/>
    <w:rsid w:val="008F6D18"/>
    <w:rsid w:val="00940FB6"/>
    <w:rsid w:val="0094730E"/>
    <w:rsid w:val="0096026A"/>
    <w:rsid w:val="009C4A59"/>
    <w:rsid w:val="009C6EF1"/>
    <w:rsid w:val="009E33A7"/>
    <w:rsid w:val="009F23C2"/>
    <w:rsid w:val="009F59C7"/>
    <w:rsid w:val="009F7674"/>
    <w:rsid w:val="00A2462F"/>
    <w:rsid w:val="00A33D7A"/>
    <w:rsid w:val="00A42268"/>
    <w:rsid w:val="00A60EE9"/>
    <w:rsid w:val="00A84F5C"/>
    <w:rsid w:val="00A911F0"/>
    <w:rsid w:val="00AA4C5A"/>
    <w:rsid w:val="00AC60F5"/>
    <w:rsid w:val="00AD57AB"/>
    <w:rsid w:val="00AD7681"/>
    <w:rsid w:val="00B10007"/>
    <w:rsid w:val="00B11692"/>
    <w:rsid w:val="00B50DD7"/>
    <w:rsid w:val="00B54D3A"/>
    <w:rsid w:val="00B63AFA"/>
    <w:rsid w:val="00B63C65"/>
    <w:rsid w:val="00BA3070"/>
    <w:rsid w:val="00BC1EAF"/>
    <w:rsid w:val="00BC21CD"/>
    <w:rsid w:val="00BE7B56"/>
    <w:rsid w:val="00C33499"/>
    <w:rsid w:val="00C352C4"/>
    <w:rsid w:val="00C72B4B"/>
    <w:rsid w:val="00C97BCC"/>
    <w:rsid w:val="00CF34B7"/>
    <w:rsid w:val="00CF620D"/>
    <w:rsid w:val="00D4339F"/>
    <w:rsid w:val="00D5274D"/>
    <w:rsid w:val="00D62D9A"/>
    <w:rsid w:val="00D65B39"/>
    <w:rsid w:val="00D92410"/>
    <w:rsid w:val="00DD5504"/>
    <w:rsid w:val="00E05D7B"/>
    <w:rsid w:val="00E16196"/>
    <w:rsid w:val="00E16CA4"/>
    <w:rsid w:val="00E24E12"/>
    <w:rsid w:val="00E461EA"/>
    <w:rsid w:val="00E472CB"/>
    <w:rsid w:val="00EE69D3"/>
    <w:rsid w:val="00EF69F4"/>
    <w:rsid w:val="00F15BC9"/>
    <w:rsid w:val="00F6560C"/>
    <w:rsid w:val="00F6634F"/>
    <w:rsid w:val="00F7146E"/>
    <w:rsid w:val="00F91006"/>
    <w:rsid w:val="00FA1D94"/>
    <w:rsid w:val="00FC4565"/>
    <w:rsid w:val="0844671E"/>
    <w:rsid w:val="095E4588"/>
    <w:rsid w:val="0DBB764E"/>
    <w:rsid w:val="0FBA7221"/>
    <w:rsid w:val="122327D1"/>
    <w:rsid w:val="1A8705CA"/>
    <w:rsid w:val="1C144F29"/>
    <w:rsid w:val="36FB4CC5"/>
    <w:rsid w:val="44A26AF3"/>
    <w:rsid w:val="48F37E32"/>
    <w:rsid w:val="59A70063"/>
    <w:rsid w:val="61445E1F"/>
    <w:rsid w:val="74E447A9"/>
    <w:rsid w:val="76867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Preformatted"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F9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8F5F96"/>
    <w:rPr>
      <w:rFonts w:ascii="Times New Roman" w:hAnsi="Times New Roman" w:cs="Times New Roman"/>
      <w:sz w:val="24"/>
    </w:rPr>
  </w:style>
  <w:style w:type="paragraph" w:styleId="a4">
    <w:name w:val="Balloon Text"/>
    <w:basedOn w:val="a"/>
    <w:link w:val="Char0"/>
    <w:uiPriority w:val="99"/>
    <w:semiHidden/>
    <w:unhideWhenUsed/>
    <w:qFormat/>
    <w:rsid w:val="008F5F96"/>
    <w:rPr>
      <w:sz w:val="18"/>
      <w:szCs w:val="18"/>
    </w:rPr>
  </w:style>
  <w:style w:type="paragraph" w:styleId="a5">
    <w:name w:val="footer"/>
    <w:basedOn w:val="a"/>
    <w:link w:val="Char1"/>
    <w:uiPriority w:val="99"/>
    <w:unhideWhenUsed/>
    <w:qFormat/>
    <w:rsid w:val="008F5F9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F5F9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8F5F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table" w:styleId="a7">
    <w:name w:val="Table Grid"/>
    <w:basedOn w:val="a1"/>
    <w:uiPriority w:val="39"/>
    <w:qFormat/>
    <w:rsid w:val="008F5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8F5F96"/>
    <w:rPr>
      <w:b/>
      <w:bCs/>
    </w:rPr>
  </w:style>
  <w:style w:type="character" w:styleId="a9">
    <w:name w:val="FollowedHyperlink"/>
    <w:basedOn w:val="a0"/>
    <w:uiPriority w:val="99"/>
    <w:semiHidden/>
    <w:unhideWhenUsed/>
    <w:qFormat/>
    <w:rsid w:val="008F5F96"/>
    <w:rPr>
      <w:color w:val="954F72" w:themeColor="followedHyperlink"/>
      <w:u w:val="single"/>
    </w:rPr>
  </w:style>
  <w:style w:type="character" w:styleId="aa">
    <w:name w:val="Hyperlink"/>
    <w:basedOn w:val="a0"/>
    <w:qFormat/>
    <w:rsid w:val="008F5F96"/>
    <w:rPr>
      <w:color w:val="0563C1" w:themeColor="hyperlink"/>
      <w:u w:val="single"/>
    </w:rPr>
  </w:style>
  <w:style w:type="character" w:customStyle="1" w:styleId="Char2">
    <w:name w:val="页眉 Char"/>
    <w:basedOn w:val="a0"/>
    <w:link w:val="a6"/>
    <w:uiPriority w:val="99"/>
    <w:qFormat/>
    <w:rsid w:val="008F5F96"/>
    <w:rPr>
      <w:sz w:val="18"/>
      <w:szCs w:val="18"/>
    </w:rPr>
  </w:style>
  <w:style w:type="character" w:customStyle="1" w:styleId="Char1">
    <w:name w:val="页脚 Char"/>
    <w:basedOn w:val="a0"/>
    <w:link w:val="a5"/>
    <w:uiPriority w:val="99"/>
    <w:qFormat/>
    <w:rsid w:val="008F5F96"/>
    <w:rPr>
      <w:sz w:val="18"/>
      <w:szCs w:val="18"/>
    </w:rPr>
  </w:style>
  <w:style w:type="character" w:customStyle="1" w:styleId="HTMLChar">
    <w:name w:val="HTML 预设格式 Char"/>
    <w:basedOn w:val="a0"/>
    <w:link w:val="HTML"/>
    <w:uiPriority w:val="99"/>
    <w:semiHidden/>
    <w:qFormat/>
    <w:rsid w:val="008F5F96"/>
    <w:rPr>
      <w:rFonts w:ascii="宋体" w:eastAsia="宋体" w:hAnsi="宋体" w:cs="宋体"/>
      <w:kern w:val="0"/>
      <w:sz w:val="24"/>
      <w:szCs w:val="24"/>
    </w:rPr>
  </w:style>
  <w:style w:type="paragraph" w:styleId="ab">
    <w:name w:val="List Paragraph"/>
    <w:basedOn w:val="a"/>
    <w:uiPriority w:val="34"/>
    <w:qFormat/>
    <w:rsid w:val="008F5F96"/>
    <w:pPr>
      <w:ind w:firstLineChars="200" w:firstLine="420"/>
    </w:pPr>
  </w:style>
  <w:style w:type="character" w:customStyle="1" w:styleId="1">
    <w:name w:val="未处理的提及1"/>
    <w:basedOn w:val="a0"/>
    <w:uiPriority w:val="99"/>
    <w:semiHidden/>
    <w:unhideWhenUsed/>
    <w:qFormat/>
    <w:rsid w:val="008F5F96"/>
    <w:rPr>
      <w:color w:val="605E5C"/>
      <w:shd w:val="clear" w:color="auto" w:fill="E1DFDD"/>
    </w:rPr>
  </w:style>
  <w:style w:type="character" w:customStyle="1" w:styleId="Char">
    <w:name w:val="文档结构图 Char"/>
    <w:basedOn w:val="a0"/>
    <w:link w:val="a3"/>
    <w:uiPriority w:val="99"/>
    <w:semiHidden/>
    <w:qFormat/>
    <w:rsid w:val="008F5F96"/>
    <w:rPr>
      <w:rFonts w:ascii="Times New Roman" w:hAnsi="Times New Roman" w:cs="Times New Roman"/>
      <w:sz w:val="24"/>
      <w:szCs w:val="24"/>
    </w:rPr>
  </w:style>
  <w:style w:type="character" w:customStyle="1" w:styleId="UnresolvedMention">
    <w:name w:val="Unresolved Mention"/>
    <w:basedOn w:val="a0"/>
    <w:uiPriority w:val="99"/>
    <w:semiHidden/>
    <w:unhideWhenUsed/>
    <w:qFormat/>
    <w:rsid w:val="008F5F96"/>
    <w:rPr>
      <w:color w:val="605E5C"/>
      <w:shd w:val="clear" w:color="auto" w:fill="E1DFDD"/>
    </w:rPr>
  </w:style>
  <w:style w:type="character" w:customStyle="1" w:styleId="Char0">
    <w:name w:val="批注框文本 Char"/>
    <w:basedOn w:val="a0"/>
    <w:link w:val="a4"/>
    <w:uiPriority w:val="99"/>
    <w:semiHidden/>
    <w:qFormat/>
    <w:rsid w:val="008F5F9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hhj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1374</Characters>
  <Application>Microsoft Office Word</Application>
  <DocSecurity>4</DocSecurity>
  <Lines>11</Lines>
  <Paragraphs>3</Paragraphs>
  <ScaleCrop>false</ScaleCrop>
  <Company>Hewlett-Packard Company</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ZHONGM</cp:lastModifiedBy>
  <cp:revision>2</cp:revision>
  <cp:lastPrinted>2021-03-12T01:16:00Z</cp:lastPrinted>
  <dcterms:created xsi:type="dcterms:W3CDTF">2025-10-15T16:01:00Z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7FE01660AA6A414AA75C25CE86224014_13</vt:lpwstr>
  </property>
  <property fmtid="{D5CDD505-2E9C-101B-9397-08002B2CF9AE}" pid="4" name="KSOTemplateDocerSaveRecord">
    <vt:lpwstr>eyJoZGlkIjoiODU2MjI3Y2NiZDg3NmQ5YTliMDZiYTU2ZWZiMjg1MGIiLCJ1c2VySWQiOiI4MTc5MjY0MzEifQ==</vt:lpwstr>
  </property>
</Properties>
</file>