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69" w:rsidRDefault="00BF2669"/>
    <w:p w:rsidR="0075108A" w:rsidRDefault="0075108A" w:rsidP="0075108A">
      <w:pPr>
        <w:jc w:val="center"/>
        <w:rPr>
          <w:rFonts w:ascii="宋体" w:eastAsia="宋体" w:hAnsi="宋体"/>
          <w:b/>
          <w:sz w:val="28"/>
        </w:rPr>
      </w:pPr>
      <w:r w:rsidRPr="0075108A">
        <w:rPr>
          <w:rFonts w:ascii="宋体" w:eastAsia="宋体" w:hAnsi="宋体" w:hint="eastAsia"/>
          <w:b/>
          <w:sz w:val="28"/>
        </w:rPr>
        <w:t>博时信用债纯债债券型证券投资基金分红公告</w:t>
      </w:r>
    </w:p>
    <w:p w:rsidR="0075108A" w:rsidRDefault="0075108A" w:rsidP="0075108A">
      <w:pPr>
        <w:jc w:val="center"/>
        <w:rPr>
          <w:rFonts w:ascii="宋体" w:eastAsia="宋体" w:hAnsi="宋体"/>
          <w:b/>
          <w:sz w:val="24"/>
        </w:rPr>
      </w:pPr>
      <w:r w:rsidRPr="0075108A">
        <w:rPr>
          <w:rFonts w:ascii="宋体" w:eastAsia="宋体" w:hAnsi="宋体" w:hint="eastAsia"/>
          <w:b/>
          <w:sz w:val="24"/>
        </w:rPr>
        <w:t>公告送出日期：</w:t>
      </w:r>
      <w:r w:rsidRPr="0075108A">
        <w:rPr>
          <w:rFonts w:ascii="宋体" w:eastAsia="宋体" w:hAnsi="宋体"/>
          <w:b/>
          <w:sz w:val="24"/>
        </w:rPr>
        <w:t>2025年10月16日</w:t>
      </w:r>
    </w:p>
    <w:p w:rsidR="0075108A" w:rsidRDefault="0075108A" w:rsidP="0075108A">
      <w:pPr>
        <w:jc w:val="center"/>
        <w:rPr>
          <w:rFonts w:ascii="宋体" w:eastAsia="宋体" w:hAnsi="宋体"/>
          <w:b/>
          <w:sz w:val="24"/>
        </w:rPr>
      </w:pPr>
    </w:p>
    <w:p w:rsidR="0075108A" w:rsidRDefault="0075108A" w:rsidP="0075108A">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1894"/>
        <w:gridCol w:w="1894"/>
        <w:gridCol w:w="1894"/>
      </w:tblGrid>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基金名称</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博时信用债纯债债券型证券投资基金</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基金简称</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博时信用债纯债债券</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基金主代码</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rPr>
              <w:t>050027</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基金合同生效日</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rPr>
              <w:t>2012年9月7日</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基金管理人名称</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博时基金管理有限公司</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基金托管人名称</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中国工商银行股份有限公司</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公告依据</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《中华人民共和国证券投资基金法》、《公开募集证券投资基金运作管理办法》、《博时信用债纯债债券型证券投资基金基金合同》、《博时信用债纯债债券型证券投资基金招募说明书》等</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收益分配基准日</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rPr>
              <w:t>2025年9月30日</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下属基金份额的基金简称</w:t>
            </w:r>
          </w:p>
        </w:tc>
        <w:tc>
          <w:tcPr>
            <w:tcW w:w="1894" w:type="dxa"/>
            <w:vAlign w:val="center"/>
          </w:tcPr>
          <w:p w:rsidR="0075108A" w:rsidRPr="0075108A" w:rsidRDefault="0075108A" w:rsidP="0075108A">
            <w:pPr>
              <w:rPr>
                <w:rFonts w:ascii="宋体" w:eastAsia="宋体" w:hAnsi="宋体"/>
              </w:rPr>
            </w:pPr>
            <w:r>
              <w:rPr>
                <w:rFonts w:ascii="宋体" w:eastAsia="宋体" w:hAnsi="宋体" w:hint="eastAsia"/>
              </w:rPr>
              <w:t>博时信用债纯债债券</w:t>
            </w:r>
            <w:r>
              <w:rPr>
                <w:rFonts w:ascii="宋体" w:eastAsia="宋体" w:hAnsi="宋体"/>
              </w:rPr>
              <w:t>A</w:t>
            </w:r>
          </w:p>
        </w:tc>
        <w:tc>
          <w:tcPr>
            <w:tcW w:w="1894" w:type="dxa"/>
            <w:vAlign w:val="center"/>
          </w:tcPr>
          <w:p w:rsidR="0075108A" w:rsidRPr="0075108A" w:rsidRDefault="0075108A" w:rsidP="0075108A">
            <w:pPr>
              <w:rPr>
                <w:rFonts w:ascii="宋体" w:eastAsia="宋体" w:hAnsi="宋体"/>
              </w:rPr>
            </w:pPr>
            <w:r>
              <w:rPr>
                <w:rFonts w:ascii="宋体" w:eastAsia="宋体" w:hAnsi="宋体" w:hint="eastAsia"/>
              </w:rPr>
              <w:t>博时信用债纯债债券</w:t>
            </w:r>
            <w:r>
              <w:rPr>
                <w:rFonts w:ascii="宋体" w:eastAsia="宋体" w:hAnsi="宋体"/>
              </w:rPr>
              <w:t>B</w:t>
            </w:r>
          </w:p>
        </w:tc>
        <w:tc>
          <w:tcPr>
            <w:tcW w:w="1894" w:type="dxa"/>
            <w:vAlign w:val="center"/>
          </w:tcPr>
          <w:p w:rsidR="0075108A" w:rsidRPr="0075108A" w:rsidRDefault="0075108A" w:rsidP="0075108A">
            <w:pPr>
              <w:rPr>
                <w:rFonts w:ascii="宋体" w:eastAsia="宋体" w:hAnsi="宋体"/>
              </w:rPr>
            </w:pPr>
            <w:r>
              <w:rPr>
                <w:rFonts w:ascii="宋体" w:eastAsia="宋体" w:hAnsi="宋体" w:hint="eastAsia"/>
              </w:rPr>
              <w:t>博时信用债纯债债券</w:t>
            </w:r>
            <w:r>
              <w:rPr>
                <w:rFonts w:ascii="宋体" w:eastAsia="宋体" w:hAnsi="宋体"/>
              </w:rPr>
              <w:t>C</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下属基金份额的交易代码</w:t>
            </w:r>
          </w:p>
        </w:tc>
        <w:tc>
          <w:tcPr>
            <w:tcW w:w="1894" w:type="dxa"/>
            <w:vAlign w:val="center"/>
          </w:tcPr>
          <w:p w:rsidR="0075108A" w:rsidRPr="0075108A" w:rsidRDefault="0075108A" w:rsidP="0075108A">
            <w:pPr>
              <w:rPr>
                <w:rFonts w:ascii="宋体" w:eastAsia="宋体" w:hAnsi="宋体"/>
              </w:rPr>
            </w:pPr>
            <w:r>
              <w:rPr>
                <w:rFonts w:ascii="宋体" w:eastAsia="宋体" w:hAnsi="宋体"/>
              </w:rPr>
              <w:t>050027</w:t>
            </w:r>
          </w:p>
        </w:tc>
        <w:tc>
          <w:tcPr>
            <w:tcW w:w="1894" w:type="dxa"/>
            <w:vAlign w:val="center"/>
          </w:tcPr>
          <w:p w:rsidR="0075108A" w:rsidRPr="0075108A" w:rsidRDefault="0075108A" w:rsidP="0075108A">
            <w:pPr>
              <w:rPr>
                <w:rFonts w:ascii="宋体" w:eastAsia="宋体" w:hAnsi="宋体"/>
              </w:rPr>
            </w:pPr>
            <w:r>
              <w:rPr>
                <w:rFonts w:ascii="宋体" w:eastAsia="宋体" w:hAnsi="宋体"/>
              </w:rPr>
              <w:t>020024</w:t>
            </w:r>
          </w:p>
        </w:tc>
        <w:tc>
          <w:tcPr>
            <w:tcW w:w="1894" w:type="dxa"/>
            <w:vAlign w:val="center"/>
          </w:tcPr>
          <w:p w:rsidR="0075108A" w:rsidRPr="0075108A" w:rsidRDefault="0075108A" w:rsidP="0075108A">
            <w:pPr>
              <w:rPr>
                <w:rFonts w:ascii="宋体" w:eastAsia="宋体" w:hAnsi="宋体"/>
              </w:rPr>
            </w:pPr>
            <w:r>
              <w:rPr>
                <w:rFonts w:ascii="宋体" w:eastAsia="宋体" w:hAnsi="宋体"/>
              </w:rPr>
              <w:t>001661</w:t>
            </w:r>
          </w:p>
        </w:tc>
      </w:tr>
      <w:tr w:rsidR="0075108A" w:rsidTr="0075108A">
        <w:tc>
          <w:tcPr>
            <w:tcW w:w="1420" w:type="dxa"/>
            <w:vMerge w:val="restart"/>
            <w:vAlign w:val="center"/>
          </w:tcPr>
          <w:p w:rsidR="0075108A" w:rsidRPr="0075108A" w:rsidRDefault="0075108A" w:rsidP="0075108A">
            <w:pPr>
              <w:rPr>
                <w:rFonts w:ascii="宋体" w:eastAsia="宋体" w:hAnsi="宋体"/>
              </w:rPr>
            </w:pPr>
            <w:r>
              <w:rPr>
                <w:rFonts w:ascii="宋体" w:eastAsia="宋体" w:hAnsi="宋体" w:hint="eastAsia"/>
              </w:rPr>
              <w:t>截止基准日下属基金份额的相关指标</w:t>
            </w:r>
          </w:p>
        </w:tc>
        <w:tc>
          <w:tcPr>
            <w:tcW w:w="1420" w:type="dxa"/>
            <w:vAlign w:val="center"/>
          </w:tcPr>
          <w:p w:rsidR="0075108A" w:rsidRPr="0075108A" w:rsidRDefault="0075108A" w:rsidP="0075108A">
            <w:pPr>
              <w:rPr>
                <w:rFonts w:ascii="宋体" w:eastAsia="宋体" w:hAnsi="宋体"/>
              </w:rPr>
            </w:pPr>
            <w:r>
              <w:rPr>
                <w:rFonts w:ascii="宋体" w:eastAsia="宋体" w:hAnsi="宋体" w:hint="eastAsia"/>
              </w:rPr>
              <w:t>基准日下属基金份额净值（单位：元）</w:t>
            </w:r>
          </w:p>
        </w:tc>
        <w:tc>
          <w:tcPr>
            <w:tcW w:w="1894" w:type="dxa"/>
            <w:vAlign w:val="center"/>
          </w:tcPr>
          <w:p w:rsidR="0075108A" w:rsidRPr="0075108A" w:rsidRDefault="0075108A" w:rsidP="0075108A">
            <w:pPr>
              <w:rPr>
                <w:rFonts w:ascii="宋体" w:eastAsia="宋体" w:hAnsi="宋体"/>
              </w:rPr>
            </w:pPr>
            <w:r>
              <w:rPr>
                <w:rFonts w:ascii="宋体" w:eastAsia="宋体" w:hAnsi="宋体"/>
              </w:rPr>
              <w:t>1.1157</w:t>
            </w:r>
          </w:p>
        </w:tc>
        <w:tc>
          <w:tcPr>
            <w:tcW w:w="1894" w:type="dxa"/>
            <w:vAlign w:val="center"/>
          </w:tcPr>
          <w:p w:rsidR="0075108A" w:rsidRPr="0075108A" w:rsidRDefault="0075108A" w:rsidP="0075108A">
            <w:pPr>
              <w:rPr>
                <w:rFonts w:ascii="宋体" w:eastAsia="宋体" w:hAnsi="宋体"/>
              </w:rPr>
            </w:pPr>
            <w:r>
              <w:rPr>
                <w:rFonts w:ascii="宋体" w:eastAsia="宋体" w:hAnsi="宋体"/>
              </w:rPr>
              <w:t>1.1155</w:t>
            </w:r>
          </w:p>
        </w:tc>
        <w:tc>
          <w:tcPr>
            <w:tcW w:w="1894" w:type="dxa"/>
            <w:vAlign w:val="center"/>
          </w:tcPr>
          <w:p w:rsidR="0075108A" w:rsidRPr="0075108A" w:rsidRDefault="0075108A" w:rsidP="0075108A">
            <w:pPr>
              <w:rPr>
                <w:rFonts w:ascii="宋体" w:eastAsia="宋体" w:hAnsi="宋体"/>
              </w:rPr>
            </w:pPr>
            <w:r>
              <w:rPr>
                <w:rFonts w:ascii="宋体" w:eastAsia="宋体" w:hAnsi="宋体"/>
              </w:rPr>
              <w:t>1.0616</w:t>
            </w:r>
          </w:p>
        </w:tc>
      </w:tr>
      <w:tr w:rsidR="0075108A" w:rsidTr="0075108A">
        <w:tc>
          <w:tcPr>
            <w:tcW w:w="1420" w:type="dxa"/>
            <w:vMerge/>
            <w:vAlign w:val="center"/>
          </w:tcPr>
          <w:p w:rsidR="0075108A" w:rsidRDefault="0075108A" w:rsidP="0075108A"/>
        </w:tc>
        <w:tc>
          <w:tcPr>
            <w:tcW w:w="1420" w:type="dxa"/>
            <w:vAlign w:val="center"/>
          </w:tcPr>
          <w:p w:rsidR="0075108A" w:rsidRPr="0075108A" w:rsidRDefault="0075108A" w:rsidP="0075108A">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75108A" w:rsidRPr="0075108A" w:rsidRDefault="0075108A" w:rsidP="0075108A">
            <w:pPr>
              <w:rPr>
                <w:rFonts w:ascii="宋体" w:eastAsia="宋体" w:hAnsi="宋体"/>
              </w:rPr>
            </w:pPr>
            <w:r>
              <w:rPr>
                <w:rFonts w:ascii="宋体" w:eastAsia="宋体" w:hAnsi="宋体"/>
              </w:rPr>
              <w:t>81,102,127.18</w:t>
            </w:r>
          </w:p>
        </w:tc>
        <w:tc>
          <w:tcPr>
            <w:tcW w:w="1894" w:type="dxa"/>
            <w:vAlign w:val="center"/>
          </w:tcPr>
          <w:p w:rsidR="0075108A" w:rsidRPr="0075108A" w:rsidRDefault="0075108A" w:rsidP="0075108A">
            <w:pPr>
              <w:rPr>
                <w:rFonts w:ascii="宋体" w:eastAsia="宋体" w:hAnsi="宋体"/>
              </w:rPr>
            </w:pPr>
            <w:r>
              <w:rPr>
                <w:rFonts w:ascii="宋体" w:eastAsia="宋体" w:hAnsi="宋体"/>
              </w:rPr>
              <w:t>8,534,216.93</w:t>
            </w:r>
          </w:p>
        </w:tc>
        <w:tc>
          <w:tcPr>
            <w:tcW w:w="1894" w:type="dxa"/>
            <w:vAlign w:val="center"/>
          </w:tcPr>
          <w:p w:rsidR="0075108A" w:rsidRPr="0075108A" w:rsidRDefault="0075108A" w:rsidP="0075108A">
            <w:pPr>
              <w:rPr>
                <w:rFonts w:ascii="宋体" w:eastAsia="宋体" w:hAnsi="宋体"/>
              </w:rPr>
            </w:pPr>
            <w:r>
              <w:rPr>
                <w:rFonts w:ascii="宋体" w:eastAsia="宋体" w:hAnsi="宋体"/>
              </w:rPr>
              <w:t>11,305,254.63</w:t>
            </w:r>
          </w:p>
        </w:tc>
      </w:tr>
      <w:tr w:rsidR="0075108A" w:rsidTr="0075108A">
        <w:tc>
          <w:tcPr>
            <w:tcW w:w="1420" w:type="dxa"/>
            <w:vMerge/>
            <w:vAlign w:val="center"/>
          </w:tcPr>
          <w:p w:rsidR="0075108A" w:rsidRDefault="0075108A" w:rsidP="0075108A"/>
        </w:tc>
        <w:tc>
          <w:tcPr>
            <w:tcW w:w="1420" w:type="dxa"/>
            <w:vAlign w:val="center"/>
          </w:tcPr>
          <w:p w:rsidR="0075108A" w:rsidRPr="0075108A" w:rsidRDefault="0075108A" w:rsidP="0075108A">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75108A" w:rsidRPr="0075108A" w:rsidRDefault="0075108A" w:rsidP="0075108A">
            <w:pPr>
              <w:rPr>
                <w:rFonts w:ascii="宋体" w:eastAsia="宋体" w:hAnsi="宋体"/>
              </w:rPr>
            </w:pPr>
            <w:r>
              <w:rPr>
                <w:rFonts w:ascii="宋体" w:eastAsia="宋体" w:hAnsi="宋体"/>
              </w:rPr>
              <w:t>40,551,063.59</w:t>
            </w:r>
          </w:p>
        </w:tc>
        <w:tc>
          <w:tcPr>
            <w:tcW w:w="1894" w:type="dxa"/>
            <w:vAlign w:val="center"/>
          </w:tcPr>
          <w:p w:rsidR="0075108A" w:rsidRPr="0075108A" w:rsidRDefault="0075108A" w:rsidP="0075108A">
            <w:pPr>
              <w:rPr>
                <w:rFonts w:ascii="宋体" w:eastAsia="宋体" w:hAnsi="宋体"/>
              </w:rPr>
            </w:pPr>
            <w:r>
              <w:rPr>
                <w:rFonts w:ascii="宋体" w:eastAsia="宋体" w:hAnsi="宋体"/>
              </w:rPr>
              <w:t>4,267,108.47</w:t>
            </w:r>
          </w:p>
        </w:tc>
        <w:tc>
          <w:tcPr>
            <w:tcW w:w="1894" w:type="dxa"/>
            <w:vAlign w:val="center"/>
          </w:tcPr>
          <w:p w:rsidR="0075108A" w:rsidRPr="0075108A" w:rsidRDefault="0075108A" w:rsidP="0075108A">
            <w:pPr>
              <w:rPr>
                <w:rFonts w:ascii="宋体" w:eastAsia="宋体" w:hAnsi="宋体"/>
              </w:rPr>
            </w:pPr>
            <w:r>
              <w:rPr>
                <w:rFonts w:ascii="宋体" w:eastAsia="宋体" w:hAnsi="宋体"/>
              </w:rPr>
              <w:t>5,652,627.32</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1894" w:type="dxa"/>
            <w:vAlign w:val="center"/>
          </w:tcPr>
          <w:p w:rsidR="0075108A" w:rsidRPr="0075108A" w:rsidRDefault="0075108A" w:rsidP="0075108A">
            <w:pPr>
              <w:rPr>
                <w:rFonts w:ascii="宋体" w:eastAsia="宋体" w:hAnsi="宋体"/>
              </w:rPr>
            </w:pPr>
            <w:r>
              <w:rPr>
                <w:rFonts w:ascii="宋体" w:eastAsia="宋体" w:hAnsi="宋体"/>
              </w:rPr>
              <w:t>0.0500</w:t>
            </w:r>
          </w:p>
        </w:tc>
        <w:tc>
          <w:tcPr>
            <w:tcW w:w="1894" w:type="dxa"/>
            <w:vAlign w:val="center"/>
          </w:tcPr>
          <w:p w:rsidR="0075108A" w:rsidRPr="0075108A" w:rsidRDefault="0075108A" w:rsidP="0075108A">
            <w:pPr>
              <w:rPr>
                <w:rFonts w:ascii="宋体" w:eastAsia="宋体" w:hAnsi="宋体"/>
              </w:rPr>
            </w:pPr>
            <w:r>
              <w:rPr>
                <w:rFonts w:ascii="宋体" w:eastAsia="宋体" w:hAnsi="宋体"/>
              </w:rPr>
              <w:t>0.0480</w:t>
            </w:r>
          </w:p>
        </w:tc>
        <w:tc>
          <w:tcPr>
            <w:tcW w:w="1894" w:type="dxa"/>
            <w:vAlign w:val="center"/>
          </w:tcPr>
          <w:p w:rsidR="0075108A" w:rsidRPr="0075108A" w:rsidRDefault="0075108A" w:rsidP="0075108A">
            <w:pPr>
              <w:rPr>
                <w:rFonts w:ascii="宋体" w:eastAsia="宋体" w:hAnsi="宋体"/>
              </w:rPr>
            </w:pPr>
            <w:r>
              <w:rPr>
                <w:rFonts w:ascii="宋体" w:eastAsia="宋体" w:hAnsi="宋体"/>
              </w:rPr>
              <w:t>0.0380</w:t>
            </w:r>
          </w:p>
        </w:tc>
      </w:tr>
      <w:tr w:rsidR="0075108A" w:rsidTr="0075108A">
        <w:tc>
          <w:tcPr>
            <w:tcW w:w="2840" w:type="dxa"/>
            <w:gridSpan w:val="2"/>
            <w:vAlign w:val="center"/>
          </w:tcPr>
          <w:p w:rsidR="0075108A" w:rsidRPr="0075108A" w:rsidRDefault="0075108A" w:rsidP="0075108A">
            <w:pPr>
              <w:rPr>
                <w:rFonts w:ascii="宋体" w:eastAsia="宋体" w:hAnsi="宋体"/>
              </w:rPr>
            </w:pPr>
            <w:r>
              <w:rPr>
                <w:rFonts w:ascii="宋体" w:eastAsia="宋体" w:hAnsi="宋体" w:hint="eastAsia"/>
              </w:rPr>
              <w:t>有关年度分红次数的说明</w:t>
            </w:r>
          </w:p>
        </w:tc>
        <w:tc>
          <w:tcPr>
            <w:tcW w:w="5682" w:type="dxa"/>
            <w:gridSpan w:val="3"/>
            <w:vAlign w:val="center"/>
          </w:tcPr>
          <w:p w:rsidR="0075108A" w:rsidRPr="0075108A" w:rsidRDefault="0075108A" w:rsidP="0075108A">
            <w:pPr>
              <w:rPr>
                <w:rFonts w:ascii="宋体" w:eastAsia="宋体" w:hAnsi="宋体"/>
              </w:rPr>
            </w:pPr>
            <w:r>
              <w:rPr>
                <w:rFonts w:ascii="宋体" w:eastAsia="宋体" w:hAnsi="宋体" w:hint="eastAsia"/>
              </w:rPr>
              <w:t>本次分红为</w:t>
            </w:r>
            <w:r>
              <w:rPr>
                <w:rFonts w:ascii="宋体" w:eastAsia="宋体" w:hAnsi="宋体"/>
              </w:rPr>
              <w:t>2025年度的第3次分红</w:t>
            </w:r>
          </w:p>
        </w:tc>
      </w:tr>
    </w:tbl>
    <w:p w:rsidR="0075108A" w:rsidRDefault="0075108A" w:rsidP="0075108A"/>
    <w:p w:rsidR="0075108A" w:rsidRDefault="0075108A" w:rsidP="0075108A">
      <w:pPr>
        <w:pStyle w:val="a4"/>
        <w:spacing w:before="0" w:beforeAutospacing="0" w:after="0" w:afterAutospacing="0" w:line="360" w:lineRule="auto"/>
        <w:ind w:firstLine="420"/>
        <w:divId w:val="600918240"/>
        <w:rPr>
          <w:sz w:val="21"/>
          <w:szCs w:val="21"/>
        </w:rPr>
      </w:pPr>
      <w:r w:rsidRPr="0075108A">
        <w:rPr>
          <w:rFonts w:hint="eastAsia"/>
          <w:sz w:val="21"/>
        </w:rPr>
        <w:t>注：</w:t>
      </w:r>
      <w:r>
        <w:rPr>
          <w:rFonts w:hint="eastAsia"/>
          <w:sz w:val="21"/>
          <w:szCs w:val="21"/>
        </w:rPr>
        <w:t> 本基金A类基金份额每10份基金份额发放红利0.0500元人民币，本基金B类基金份额每10份基金份额发放红利0.0480元人民币，本基金C类基金份额每10份基金份额发放红利0.0380元人民币。 </w:t>
      </w:r>
    </w:p>
    <w:p w:rsidR="0075108A" w:rsidRDefault="0075108A" w:rsidP="0075108A">
      <w:pPr>
        <w:pStyle w:val="3"/>
        <w:divId w:val="600918240"/>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75108A" w:rsidTr="009900A2">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权益登记日</w:t>
            </w:r>
          </w:p>
        </w:tc>
        <w:tc>
          <w:tcPr>
            <w:tcW w:w="5682" w:type="dxa"/>
            <w:vAlign w:val="center"/>
          </w:tcPr>
          <w:p w:rsidR="0075108A" w:rsidRDefault="0075108A" w:rsidP="0075108A">
            <w:r>
              <w:rPr>
                <w:rFonts w:ascii="宋体" w:eastAsia="宋体" w:hAnsi="宋体"/>
              </w:rPr>
              <w:t>2025年10月20日</w:t>
            </w:r>
          </w:p>
        </w:tc>
      </w:tr>
      <w:tr w:rsidR="0075108A" w:rsidTr="00EF4B1C">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除息日</w:t>
            </w:r>
          </w:p>
        </w:tc>
        <w:tc>
          <w:tcPr>
            <w:tcW w:w="5682" w:type="dxa"/>
            <w:vAlign w:val="center"/>
          </w:tcPr>
          <w:p w:rsidR="0075108A" w:rsidRDefault="0075108A" w:rsidP="0075108A">
            <w:r>
              <w:rPr>
                <w:rFonts w:ascii="宋体" w:eastAsia="宋体" w:hAnsi="宋体"/>
              </w:rPr>
              <w:t>2025年10月20日</w:t>
            </w:r>
          </w:p>
        </w:tc>
      </w:tr>
      <w:tr w:rsidR="0075108A" w:rsidTr="00252395">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现金红利发放日</w:t>
            </w:r>
          </w:p>
        </w:tc>
        <w:tc>
          <w:tcPr>
            <w:tcW w:w="5682" w:type="dxa"/>
            <w:vAlign w:val="center"/>
          </w:tcPr>
          <w:p w:rsidR="0075108A" w:rsidRDefault="0075108A" w:rsidP="0075108A">
            <w:r>
              <w:rPr>
                <w:rFonts w:ascii="宋体" w:eastAsia="宋体" w:hAnsi="宋体"/>
              </w:rPr>
              <w:t>2025年10月22日</w:t>
            </w:r>
          </w:p>
        </w:tc>
      </w:tr>
      <w:tr w:rsidR="0075108A" w:rsidTr="00B9233E">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分红对象</w:t>
            </w:r>
          </w:p>
        </w:tc>
        <w:tc>
          <w:tcPr>
            <w:tcW w:w="5682" w:type="dxa"/>
            <w:vAlign w:val="center"/>
          </w:tcPr>
          <w:p w:rsidR="0075108A" w:rsidRDefault="0075108A" w:rsidP="0075108A">
            <w:r>
              <w:rPr>
                <w:rFonts w:ascii="宋体" w:eastAsia="宋体" w:hAnsi="宋体" w:hint="eastAsia"/>
              </w:rPr>
              <w:t>权益登记日登记在册的本基金份额持有人</w:t>
            </w:r>
          </w:p>
        </w:tc>
      </w:tr>
      <w:tr w:rsidR="0075108A" w:rsidTr="0082455F">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红利再投资相关事项的说明</w:t>
            </w:r>
          </w:p>
        </w:tc>
        <w:tc>
          <w:tcPr>
            <w:tcW w:w="5682" w:type="dxa"/>
            <w:vAlign w:val="center"/>
          </w:tcPr>
          <w:p w:rsidR="0075108A" w:rsidRDefault="0075108A" w:rsidP="0075108A">
            <w:r>
              <w:rPr>
                <w:rFonts w:ascii="宋体" w:eastAsia="宋体" w:hAnsi="宋体" w:hint="eastAsia"/>
              </w:rPr>
              <w:t>选择红利再投资方式的投资者所转换的基金份额将以</w:t>
            </w:r>
            <w:r>
              <w:rPr>
                <w:rFonts w:ascii="宋体" w:eastAsia="宋体" w:hAnsi="宋体"/>
              </w:rPr>
              <w:t>2025年10月20日的基金份额净值为计算基准确定再投资份额，红利再投资所转换的基金份额于2025年10月21日直接划入其基金账户，2025年10月22日起投资者可以查询、赎回。</w:t>
            </w:r>
          </w:p>
        </w:tc>
      </w:tr>
      <w:tr w:rsidR="0075108A" w:rsidTr="00DB6BB9">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税收相关事项的说明</w:t>
            </w:r>
          </w:p>
        </w:tc>
        <w:tc>
          <w:tcPr>
            <w:tcW w:w="5682" w:type="dxa"/>
            <w:vAlign w:val="center"/>
          </w:tcPr>
          <w:p w:rsidR="0075108A" w:rsidRDefault="0075108A" w:rsidP="0075108A">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75108A" w:rsidTr="006C288B">
        <w:trPr>
          <w:divId w:val="600918240"/>
        </w:trPr>
        <w:tc>
          <w:tcPr>
            <w:tcW w:w="2840" w:type="dxa"/>
            <w:vAlign w:val="center"/>
          </w:tcPr>
          <w:p w:rsidR="0075108A" w:rsidRPr="0075108A" w:rsidRDefault="0075108A" w:rsidP="0075108A">
            <w:pPr>
              <w:rPr>
                <w:rFonts w:ascii="宋体" w:eastAsia="宋体" w:hAnsi="宋体"/>
              </w:rPr>
            </w:pPr>
            <w:r>
              <w:rPr>
                <w:rFonts w:ascii="宋体" w:eastAsia="宋体" w:hAnsi="宋体" w:hint="eastAsia"/>
              </w:rPr>
              <w:t>费用相关事项的说明</w:t>
            </w:r>
          </w:p>
        </w:tc>
        <w:tc>
          <w:tcPr>
            <w:tcW w:w="5682" w:type="dxa"/>
            <w:vAlign w:val="center"/>
          </w:tcPr>
          <w:p w:rsidR="0075108A" w:rsidRDefault="0075108A" w:rsidP="0075108A">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75108A" w:rsidRDefault="0075108A" w:rsidP="0075108A">
      <w:pPr>
        <w:divId w:val="600918240"/>
      </w:pPr>
    </w:p>
    <w:p w:rsidR="0075108A" w:rsidRDefault="0075108A" w:rsidP="0075108A">
      <w:pPr>
        <w:pStyle w:val="3"/>
        <w:divId w:val="600918240"/>
        <w:rPr>
          <w:rFonts w:ascii="宋体" w:eastAsia="宋体" w:hAnsi="宋体"/>
          <w:sz w:val="21"/>
        </w:rPr>
      </w:pPr>
      <w:r w:rsidRPr="0075108A">
        <w:rPr>
          <w:rFonts w:ascii="宋体" w:eastAsia="宋体" w:hAnsi="宋体" w:hint="eastAsia"/>
          <w:sz w:val="21"/>
        </w:rPr>
        <w:t>3 其他需要提示的事项</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t xml:space="preserve">（1）权益登记日申购或转换转入的基金份额不享有本次分红权益，赎回或转换转出的基金份额享有本次分红权益。 </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t xml:space="preserve">（2）对于未选择本基金具体分红方式的投资者，本基金默认的分红方式为现金红利方式。 </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10月20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t xml:space="preserve">（4）若投资者选择红利再投资方式并在2025年10月20日申请赎回基金份额的，其账户余额（包括红利再投资份额）低于0.1份时，本基金将自动计算其分红收益，并与赎回款一起以现金形式支付。 </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lastRenderedPageBreak/>
        <w:t xml:space="preserve">（5）本基金份额持有人及希望了解本基金其他有关信息的投资者，可以登录本基金管理人网站（http://www.bosera.com）或拨打博时一线通95105568（免长途费）咨询相关事宜。 </w:t>
      </w:r>
    </w:p>
    <w:p w:rsidR="0075108A" w:rsidRDefault="0075108A">
      <w:pPr>
        <w:pStyle w:val="a4"/>
        <w:spacing w:before="0" w:beforeAutospacing="0" w:after="0" w:afterAutospacing="0" w:line="360" w:lineRule="auto"/>
        <w:ind w:firstLine="420"/>
        <w:divId w:val="319619352"/>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75108A" w:rsidRDefault="0075108A" w:rsidP="0075108A">
      <w:pPr>
        <w:pStyle w:val="a4"/>
        <w:spacing w:before="0" w:beforeAutospacing="0" w:after="0" w:afterAutospacing="0" w:line="360" w:lineRule="auto"/>
        <w:ind w:firstLine="420"/>
        <w:divId w:val="319619352"/>
        <w:rPr>
          <w:sz w:val="21"/>
          <w:szCs w:val="21"/>
        </w:rPr>
      </w:pPr>
      <w:r>
        <w:rPr>
          <w:rFonts w:hint="eastAsia"/>
          <w:sz w:val="21"/>
          <w:szCs w:val="21"/>
        </w:rPr>
        <w:t xml:space="preserve">特此公告。 </w:t>
      </w:r>
    </w:p>
    <w:p w:rsidR="0075108A" w:rsidRDefault="0075108A" w:rsidP="0075108A">
      <w:pPr>
        <w:pStyle w:val="a4"/>
        <w:spacing w:before="0" w:beforeAutospacing="0" w:after="0" w:afterAutospacing="0" w:line="360" w:lineRule="auto"/>
        <w:ind w:firstLine="420"/>
        <w:divId w:val="319619352"/>
        <w:rPr>
          <w:sz w:val="21"/>
          <w:szCs w:val="21"/>
        </w:rPr>
      </w:pPr>
    </w:p>
    <w:p w:rsidR="0075108A" w:rsidRDefault="0075108A" w:rsidP="0075108A">
      <w:pPr>
        <w:pStyle w:val="a4"/>
        <w:spacing w:before="0" w:beforeAutospacing="0" w:after="0" w:afterAutospacing="0" w:line="360" w:lineRule="auto"/>
        <w:ind w:firstLine="420"/>
        <w:divId w:val="319619352"/>
        <w:rPr>
          <w:sz w:val="21"/>
          <w:szCs w:val="21"/>
        </w:rPr>
      </w:pPr>
    </w:p>
    <w:p w:rsidR="0075108A" w:rsidRDefault="0075108A" w:rsidP="0075108A">
      <w:pPr>
        <w:pStyle w:val="a4"/>
        <w:spacing w:before="0" w:beforeAutospacing="0" w:after="0" w:afterAutospacing="0" w:line="360" w:lineRule="auto"/>
        <w:ind w:firstLine="420"/>
        <w:divId w:val="319619352"/>
        <w:rPr>
          <w:sz w:val="21"/>
          <w:szCs w:val="21"/>
        </w:rPr>
      </w:pPr>
    </w:p>
    <w:p w:rsidR="0075108A" w:rsidRDefault="0075108A" w:rsidP="0075108A">
      <w:pPr>
        <w:pStyle w:val="a4"/>
        <w:spacing w:before="0" w:beforeAutospacing="0" w:after="0" w:afterAutospacing="0" w:line="360" w:lineRule="auto"/>
        <w:ind w:firstLine="420"/>
        <w:jc w:val="right"/>
        <w:divId w:val="319619352"/>
        <w:rPr>
          <w:sz w:val="21"/>
          <w:szCs w:val="21"/>
        </w:rPr>
      </w:pPr>
      <w:r w:rsidRPr="0075108A">
        <w:rPr>
          <w:rFonts w:hint="eastAsia"/>
          <w:sz w:val="21"/>
          <w:szCs w:val="21"/>
        </w:rPr>
        <w:t>博时基金管理有限公司</w:t>
      </w:r>
    </w:p>
    <w:p w:rsidR="0075108A" w:rsidRPr="0075108A" w:rsidRDefault="0075108A" w:rsidP="0075108A">
      <w:pPr>
        <w:pStyle w:val="a4"/>
        <w:spacing w:before="0" w:beforeAutospacing="0" w:after="0" w:afterAutospacing="0" w:line="360" w:lineRule="auto"/>
        <w:ind w:firstLine="420"/>
        <w:jc w:val="right"/>
        <w:divId w:val="319619352"/>
        <w:rPr>
          <w:sz w:val="21"/>
          <w:szCs w:val="21"/>
        </w:rPr>
      </w:pPr>
      <w:r w:rsidRPr="0075108A">
        <w:rPr>
          <w:sz w:val="21"/>
          <w:szCs w:val="21"/>
        </w:rPr>
        <w:t>2025年10月16日</w:t>
      </w:r>
    </w:p>
    <w:sectPr w:rsidR="0075108A" w:rsidRPr="0075108A" w:rsidSect="004D00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108A"/>
    <w:rsid w:val="004D000E"/>
    <w:rsid w:val="0075108A"/>
    <w:rsid w:val="00B3267C"/>
    <w:rsid w:val="00BF2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0E"/>
    <w:pPr>
      <w:widowControl w:val="0"/>
      <w:jc w:val="both"/>
    </w:pPr>
  </w:style>
  <w:style w:type="paragraph" w:styleId="3">
    <w:name w:val="heading 3"/>
    <w:basedOn w:val="a"/>
    <w:next w:val="a"/>
    <w:link w:val="3Char"/>
    <w:uiPriority w:val="9"/>
    <w:unhideWhenUsed/>
    <w:qFormat/>
    <w:rsid w:val="007510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5108A"/>
    <w:rPr>
      <w:b/>
      <w:bCs/>
      <w:sz w:val="32"/>
      <w:szCs w:val="32"/>
    </w:rPr>
  </w:style>
  <w:style w:type="table" w:styleId="a3">
    <w:name w:val="Table Grid"/>
    <w:basedOn w:val="a1"/>
    <w:uiPriority w:val="59"/>
    <w:rsid w:val="00751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510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7510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5108A"/>
    <w:rPr>
      <w:b/>
      <w:bCs/>
      <w:sz w:val="32"/>
      <w:szCs w:val="32"/>
    </w:rPr>
  </w:style>
  <w:style w:type="table" w:styleId="a3">
    <w:name w:val="Table Grid"/>
    <w:basedOn w:val="a1"/>
    <w:uiPriority w:val="59"/>
    <w:rsid w:val="00751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510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0918240">
      <w:bodyDiv w:val="1"/>
      <w:marLeft w:val="0"/>
      <w:marRight w:val="0"/>
      <w:marTop w:val="0"/>
      <w:marBottom w:val="0"/>
      <w:divBdr>
        <w:top w:val="none" w:sz="0" w:space="0" w:color="auto"/>
        <w:left w:val="none" w:sz="0" w:space="0" w:color="auto"/>
        <w:bottom w:val="none" w:sz="0" w:space="0" w:color="auto"/>
        <w:right w:val="none" w:sz="0" w:space="0" w:color="auto"/>
      </w:divBdr>
      <w:divsChild>
        <w:div w:id="319619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1544</Characters>
  <Application>Microsoft Office Word</Application>
  <DocSecurity>4</DocSecurity>
  <Lines>12</Lines>
  <Paragraphs>3</Paragraphs>
  <ScaleCrop>false</ScaleCrop>
  <Company>mycompany</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2025-10-15T16:02:00Z</dcterms:created>
  <dcterms:modified xsi:type="dcterms:W3CDTF">2025-10-15T16:02:00Z</dcterms:modified>
</cp:coreProperties>
</file>