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41C" w:rsidRPr="00EA0D4C" w:rsidRDefault="00FD00D1" w:rsidP="000B374D">
      <w:pPr>
        <w:pStyle w:val="HTML"/>
        <w:spacing w:line="360" w:lineRule="auto"/>
        <w:jc w:val="center"/>
        <w:rPr>
          <w:b/>
          <w:sz w:val="28"/>
          <w:szCs w:val="21"/>
        </w:rPr>
      </w:pPr>
      <w:bookmarkStart w:id="0" w:name="OLE_LINK2"/>
      <w:bookmarkStart w:id="1" w:name="OLE_LINK1"/>
      <w:r w:rsidRPr="00FD00D1">
        <w:rPr>
          <w:rFonts w:hint="eastAsia"/>
          <w:b/>
          <w:sz w:val="28"/>
          <w:szCs w:val="21"/>
        </w:rPr>
        <w:t>关于</w:t>
      </w:r>
      <w:r w:rsidR="00152D89" w:rsidRPr="00152D89">
        <w:rPr>
          <w:rFonts w:hint="eastAsia"/>
          <w:b/>
          <w:sz w:val="28"/>
          <w:szCs w:val="21"/>
        </w:rPr>
        <w:t>浦银安盛港股通量化优选灵活配置混合型证券投资基金</w:t>
      </w:r>
      <w:r w:rsidR="00541331" w:rsidRPr="00541331">
        <w:rPr>
          <w:rFonts w:hint="eastAsia"/>
          <w:b/>
          <w:sz w:val="28"/>
          <w:szCs w:val="21"/>
        </w:rPr>
        <w:t>C</w:t>
      </w:r>
      <w:r w:rsidR="004927D2" w:rsidRPr="004927D2">
        <w:rPr>
          <w:rFonts w:hint="eastAsia"/>
          <w:b/>
          <w:sz w:val="28"/>
          <w:szCs w:val="21"/>
        </w:rPr>
        <w:t>类份额</w:t>
      </w:r>
      <w:r w:rsidRPr="00FD00D1">
        <w:rPr>
          <w:rFonts w:hint="eastAsia"/>
          <w:b/>
          <w:sz w:val="28"/>
          <w:szCs w:val="21"/>
        </w:rPr>
        <w:t>新</w:t>
      </w:r>
      <w:r>
        <w:rPr>
          <w:rFonts w:hint="eastAsia"/>
          <w:b/>
          <w:sz w:val="28"/>
          <w:szCs w:val="21"/>
        </w:rPr>
        <w:t>增</w:t>
      </w:r>
      <w:r w:rsidR="000D7EBC">
        <w:rPr>
          <w:rFonts w:hint="eastAsia"/>
          <w:b/>
          <w:sz w:val="28"/>
          <w:szCs w:val="21"/>
        </w:rPr>
        <w:t>浦发银行</w:t>
      </w:r>
      <w:r>
        <w:rPr>
          <w:rFonts w:hint="eastAsia"/>
          <w:b/>
          <w:sz w:val="28"/>
          <w:szCs w:val="21"/>
        </w:rPr>
        <w:t>为代销机构并开通基金定投业务、参加其费率优惠活动</w:t>
      </w:r>
      <w:r w:rsidR="009A20FB" w:rsidRPr="00EA0D4C">
        <w:rPr>
          <w:rFonts w:hint="eastAsia"/>
          <w:b/>
          <w:sz w:val="28"/>
          <w:szCs w:val="21"/>
        </w:rPr>
        <w:t>的公告</w:t>
      </w:r>
    </w:p>
    <w:bookmarkEnd w:id="0"/>
    <w:bookmarkEnd w:id="1"/>
    <w:p w:rsidR="0007341C" w:rsidRPr="00EA0D4C" w:rsidRDefault="009A20FB">
      <w:pPr>
        <w:pStyle w:val="HTML"/>
        <w:spacing w:line="360" w:lineRule="auto"/>
        <w:jc w:val="both"/>
        <w:rPr>
          <w:sz w:val="21"/>
          <w:szCs w:val="21"/>
        </w:rPr>
      </w:pPr>
      <w:r w:rsidRPr="00EA0D4C">
        <w:rPr>
          <w:sz w:val="21"/>
          <w:szCs w:val="21"/>
        </w:rPr>
        <w:t xml:space="preserve">  </w:t>
      </w:r>
    </w:p>
    <w:p w:rsidR="00483509" w:rsidRPr="00EA0D4C" w:rsidRDefault="009A20FB" w:rsidP="00DD0CE7">
      <w:pPr>
        <w:pStyle w:val="HTML"/>
        <w:spacing w:line="360" w:lineRule="auto"/>
        <w:ind w:firstLine="420"/>
        <w:jc w:val="both"/>
        <w:rPr>
          <w:sz w:val="21"/>
          <w:szCs w:val="21"/>
        </w:rPr>
      </w:pPr>
      <w:r w:rsidRPr="00EA0D4C">
        <w:rPr>
          <w:rFonts w:hint="eastAsia"/>
          <w:sz w:val="21"/>
          <w:szCs w:val="21"/>
        </w:rPr>
        <w:t>根据浦银安盛基金管理有限公司（以下简称“本公司”）与</w:t>
      </w:r>
      <w:r w:rsidR="000B2C1A" w:rsidRPr="000B2C1A">
        <w:rPr>
          <w:rFonts w:hint="eastAsia"/>
          <w:sz w:val="21"/>
          <w:szCs w:val="21"/>
        </w:rPr>
        <w:t>上海浦东发展银行股份有限公司</w:t>
      </w:r>
      <w:bookmarkStart w:id="2" w:name="_GoBack"/>
      <w:bookmarkEnd w:id="2"/>
      <w:r w:rsidR="008635B2" w:rsidRPr="00EA0D4C">
        <w:rPr>
          <w:rFonts w:hint="eastAsia"/>
          <w:sz w:val="21"/>
          <w:szCs w:val="21"/>
        </w:rPr>
        <w:t>（以下简称“</w:t>
      </w:r>
      <w:r w:rsidR="000D7EBC">
        <w:rPr>
          <w:rFonts w:hint="eastAsia"/>
          <w:sz w:val="21"/>
          <w:szCs w:val="21"/>
        </w:rPr>
        <w:t>浦发银行</w:t>
      </w:r>
      <w:r w:rsidR="008635B2" w:rsidRPr="00EA0D4C">
        <w:rPr>
          <w:rFonts w:hint="eastAsia"/>
          <w:sz w:val="21"/>
          <w:szCs w:val="21"/>
        </w:rPr>
        <w:t>”）</w:t>
      </w:r>
      <w:r w:rsidRPr="00EA0D4C">
        <w:rPr>
          <w:rFonts w:hint="eastAsia"/>
          <w:sz w:val="21"/>
          <w:szCs w:val="21"/>
        </w:rPr>
        <w:t>协商一致，决定自</w:t>
      </w:r>
      <w:r w:rsidR="009E74BB">
        <w:rPr>
          <w:sz w:val="21"/>
          <w:szCs w:val="21"/>
        </w:rPr>
        <w:t>202</w:t>
      </w:r>
      <w:r w:rsidR="00152D89">
        <w:rPr>
          <w:sz w:val="21"/>
          <w:szCs w:val="21"/>
        </w:rPr>
        <w:t>5</w:t>
      </w:r>
      <w:r w:rsidR="00042537" w:rsidRPr="00EA0D4C">
        <w:rPr>
          <w:sz w:val="21"/>
          <w:szCs w:val="21"/>
        </w:rPr>
        <w:t>年</w:t>
      </w:r>
      <w:r w:rsidR="00152D89">
        <w:rPr>
          <w:sz w:val="21"/>
          <w:szCs w:val="21"/>
        </w:rPr>
        <w:t>10</w:t>
      </w:r>
      <w:r w:rsidRPr="00EA0D4C">
        <w:rPr>
          <w:rFonts w:hint="eastAsia"/>
          <w:sz w:val="21"/>
          <w:szCs w:val="21"/>
        </w:rPr>
        <w:t>月</w:t>
      </w:r>
      <w:r w:rsidR="00152D89">
        <w:rPr>
          <w:rFonts w:hint="eastAsia"/>
          <w:sz w:val="21"/>
          <w:szCs w:val="21"/>
        </w:rPr>
        <w:t>1</w:t>
      </w:r>
      <w:r w:rsidR="00152D89">
        <w:rPr>
          <w:sz w:val="21"/>
          <w:szCs w:val="21"/>
        </w:rPr>
        <w:t>6</w:t>
      </w:r>
      <w:r w:rsidRPr="00EA0D4C">
        <w:rPr>
          <w:rFonts w:hint="eastAsia"/>
          <w:sz w:val="21"/>
          <w:szCs w:val="21"/>
        </w:rPr>
        <w:t>日起</w:t>
      </w:r>
      <w:r w:rsidR="000B374D" w:rsidRPr="00EA0D4C">
        <w:rPr>
          <w:rFonts w:hint="eastAsia"/>
          <w:sz w:val="21"/>
          <w:szCs w:val="21"/>
        </w:rPr>
        <w:t>，</w:t>
      </w:r>
      <w:r w:rsidR="00483509" w:rsidRPr="00EA0D4C">
        <w:rPr>
          <w:rFonts w:hint="eastAsia"/>
          <w:sz w:val="21"/>
          <w:szCs w:val="21"/>
        </w:rPr>
        <w:t>本公司旗下</w:t>
      </w:r>
      <w:r w:rsidR="00152D89" w:rsidRPr="00152D89">
        <w:rPr>
          <w:rFonts w:hint="eastAsia"/>
          <w:sz w:val="21"/>
          <w:szCs w:val="21"/>
        </w:rPr>
        <w:t>浦银安盛港股通量化优选灵活配置混合型证券投资基金</w:t>
      </w:r>
      <w:r w:rsidR="00541331" w:rsidRPr="00541331">
        <w:rPr>
          <w:rFonts w:hint="eastAsia"/>
          <w:sz w:val="21"/>
          <w:szCs w:val="21"/>
        </w:rPr>
        <w:t>C</w:t>
      </w:r>
      <w:r w:rsidR="004927D2" w:rsidRPr="004927D2">
        <w:rPr>
          <w:rFonts w:hint="eastAsia"/>
          <w:sz w:val="21"/>
          <w:szCs w:val="21"/>
        </w:rPr>
        <w:t>类份额</w:t>
      </w:r>
      <w:r w:rsidR="009E74BB">
        <w:rPr>
          <w:rFonts w:hint="eastAsia"/>
          <w:sz w:val="21"/>
          <w:szCs w:val="21"/>
        </w:rPr>
        <w:t>（基金代码：</w:t>
      </w:r>
      <w:r w:rsidR="00EF453F">
        <w:rPr>
          <w:sz w:val="21"/>
          <w:szCs w:val="21"/>
        </w:rPr>
        <w:t>C</w:t>
      </w:r>
      <w:r w:rsidR="009E74BB">
        <w:rPr>
          <w:rFonts w:hint="eastAsia"/>
          <w:sz w:val="21"/>
          <w:szCs w:val="21"/>
        </w:rPr>
        <w:t>类</w:t>
      </w:r>
      <w:r w:rsidR="00173459" w:rsidRPr="00173459">
        <w:rPr>
          <w:sz w:val="21"/>
          <w:szCs w:val="21"/>
        </w:rPr>
        <w:t>0</w:t>
      </w:r>
      <w:r w:rsidR="00541331">
        <w:rPr>
          <w:sz w:val="21"/>
          <w:szCs w:val="21"/>
        </w:rPr>
        <w:t>1</w:t>
      </w:r>
      <w:r w:rsidR="00152D89">
        <w:rPr>
          <w:sz w:val="21"/>
          <w:szCs w:val="21"/>
        </w:rPr>
        <w:t>3224</w:t>
      </w:r>
      <w:r w:rsidR="009E74BB">
        <w:rPr>
          <w:rFonts w:hint="eastAsia"/>
          <w:sz w:val="21"/>
          <w:szCs w:val="21"/>
        </w:rPr>
        <w:t>，</w:t>
      </w:r>
      <w:r w:rsidR="009E74BB">
        <w:rPr>
          <w:sz w:val="21"/>
          <w:szCs w:val="21"/>
        </w:rPr>
        <w:t>以下简称</w:t>
      </w:r>
      <w:r w:rsidR="009E74BB">
        <w:rPr>
          <w:rFonts w:hint="eastAsia"/>
          <w:sz w:val="21"/>
          <w:szCs w:val="21"/>
        </w:rPr>
        <w:t>“本基金”）</w:t>
      </w:r>
      <w:r w:rsidR="00483509" w:rsidRPr="00EA0D4C">
        <w:rPr>
          <w:rFonts w:hint="eastAsia"/>
          <w:sz w:val="21"/>
          <w:szCs w:val="21"/>
        </w:rPr>
        <w:t>新增</w:t>
      </w:r>
      <w:r w:rsidR="000D7EBC">
        <w:rPr>
          <w:rFonts w:hint="eastAsia"/>
          <w:sz w:val="21"/>
          <w:szCs w:val="21"/>
        </w:rPr>
        <w:t>浦发银行</w:t>
      </w:r>
      <w:r w:rsidR="00483509" w:rsidRPr="00EA0D4C">
        <w:rPr>
          <w:rFonts w:hint="eastAsia"/>
          <w:sz w:val="21"/>
          <w:szCs w:val="21"/>
        </w:rPr>
        <w:t>为代销机构并开通基金定投</w:t>
      </w:r>
      <w:r w:rsidR="00A1714B" w:rsidRPr="00EA0D4C">
        <w:rPr>
          <w:rFonts w:hint="eastAsia"/>
          <w:sz w:val="21"/>
          <w:szCs w:val="21"/>
        </w:rPr>
        <w:t>业务</w:t>
      </w:r>
      <w:r w:rsidR="001843B0" w:rsidRPr="00EA0D4C">
        <w:rPr>
          <w:rFonts w:hint="eastAsia"/>
          <w:sz w:val="21"/>
          <w:szCs w:val="21"/>
        </w:rPr>
        <w:t>、</w:t>
      </w:r>
      <w:r w:rsidR="00483509" w:rsidRPr="00EA0D4C">
        <w:rPr>
          <w:rFonts w:hint="eastAsia"/>
          <w:sz w:val="21"/>
          <w:szCs w:val="21"/>
        </w:rPr>
        <w:t>参加其费率优惠活动</w:t>
      </w:r>
      <w:r w:rsidR="00E95772" w:rsidRPr="00EA0D4C">
        <w:rPr>
          <w:rFonts w:hint="eastAsia"/>
          <w:sz w:val="21"/>
          <w:szCs w:val="21"/>
        </w:rPr>
        <w:t>。</w:t>
      </w:r>
    </w:p>
    <w:p w:rsidR="0007341C" w:rsidRPr="00EA0D4C" w:rsidRDefault="000B374D" w:rsidP="00DD0CE7">
      <w:pPr>
        <w:pStyle w:val="HTML"/>
        <w:spacing w:line="360" w:lineRule="auto"/>
        <w:ind w:firstLine="420"/>
        <w:jc w:val="both"/>
        <w:rPr>
          <w:sz w:val="21"/>
          <w:szCs w:val="21"/>
        </w:rPr>
      </w:pPr>
      <w:r w:rsidRPr="00EA0D4C">
        <w:rPr>
          <w:rFonts w:hint="eastAsia"/>
          <w:sz w:val="21"/>
          <w:szCs w:val="21"/>
        </w:rPr>
        <w:t>投资者可通过</w:t>
      </w:r>
      <w:r w:rsidR="000D7EBC">
        <w:rPr>
          <w:rFonts w:hint="eastAsia"/>
          <w:sz w:val="21"/>
          <w:szCs w:val="21"/>
        </w:rPr>
        <w:t>浦发银行</w:t>
      </w:r>
      <w:r w:rsidRPr="00EA0D4C">
        <w:rPr>
          <w:rFonts w:hint="eastAsia"/>
          <w:sz w:val="21"/>
          <w:szCs w:val="21"/>
        </w:rPr>
        <w:t>办理本公司旗下部分基金的开户、申购、赎回、定投业务，同时参加其费率优惠活动。具体的业务流程、办理时间和办理方式以</w:t>
      </w:r>
      <w:r w:rsidR="000D7EBC">
        <w:rPr>
          <w:rFonts w:hint="eastAsia"/>
          <w:sz w:val="21"/>
          <w:szCs w:val="21"/>
        </w:rPr>
        <w:t>浦发银行</w:t>
      </w:r>
      <w:r w:rsidRPr="00EA0D4C">
        <w:rPr>
          <w:rFonts w:hint="eastAsia"/>
          <w:sz w:val="21"/>
          <w:szCs w:val="21"/>
        </w:rPr>
        <w:t>的规定为准。</w:t>
      </w:r>
      <w:r w:rsidR="00CC6139" w:rsidRPr="00EA0D4C">
        <w:rPr>
          <w:rFonts w:hint="eastAsia"/>
          <w:sz w:val="21"/>
          <w:szCs w:val="21"/>
        </w:rPr>
        <w:t>具体公告如下：</w:t>
      </w:r>
    </w:p>
    <w:p w:rsidR="00DB23FC" w:rsidRPr="00EA0D4C" w:rsidRDefault="00DB23FC" w:rsidP="009E74BB">
      <w:pPr>
        <w:spacing w:line="360" w:lineRule="auto"/>
        <w:rPr>
          <w:rFonts w:ascii="宋体" w:hAnsi="宋体" w:cs="宋体"/>
          <w:color w:val="000000"/>
          <w:kern w:val="0"/>
          <w:szCs w:val="21"/>
        </w:rPr>
      </w:pPr>
    </w:p>
    <w:p w:rsidR="00DB23FC" w:rsidRPr="009E74BB" w:rsidRDefault="00DB23FC" w:rsidP="009E74BB">
      <w:pPr>
        <w:pStyle w:val="ad"/>
        <w:numPr>
          <w:ilvl w:val="0"/>
          <w:numId w:val="8"/>
        </w:numPr>
        <w:spacing w:line="360" w:lineRule="auto"/>
        <w:ind w:firstLineChars="0"/>
        <w:rPr>
          <w:rFonts w:ascii="宋体" w:hAnsi="宋体" w:cs="宋体"/>
          <w:b/>
          <w:color w:val="000000"/>
          <w:kern w:val="0"/>
          <w:szCs w:val="21"/>
        </w:rPr>
      </w:pPr>
      <w:r w:rsidRPr="009E74BB">
        <w:rPr>
          <w:rFonts w:ascii="宋体" w:hAnsi="宋体" w:cs="宋体" w:hint="eastAsia"/>
          <w:b/>
          <w:color w:val="000000"/>
          <w:kern w:val="0"/>
          <w:szCs w:val="21"/>
        </w:rPr>
        <w:t>开通基金定投业务</w:t>
      </w:r>
    </w:p>
    <w:p w:rsidR="00AC0405" w:rsidRPr="00EA0D4C" w:rsidRDefault="00DB23FC" w:rsidP="009E74BB">
      <w:pPr>
        <w:spacing w:line="360" w:lineRule="auto"/>
        <w:ind w:firstLineChars="200" w:firstLine="422"/>
        <w:rPr>
          <w:rFonts w:ascii="宋体" w:hAnsi="宋体" w:cs="宋体"/>
          <w:b/>
          <w:color w:val="000000"/>
          <w:kern w:val="0"/>
          <w:szCs w:val="21"/>
        </w:rPr>
      </w:pPr>
      <w:r w:rsidRPr="00EA0D4C">
        <w:rPr>
          <w:rFonts w:ascii="宋体" w:hAnsi="宋体" w:cs="宋体"/>
          <w:b/>
          <w:color w:val="000000"/>
          <w:kern w:val="0"/>
          <w:szCs w:val="21"/>
        </w:rPr>
        <w:t>1.</w:t>
      </w:r>
      <w:r w:rsidR="00E45B09" w:rsidRPr="00EA0D4C">
        <w:rPr>
          <w:rFonts w:ascii="宋体" w:hAnsi="宋体" w:cs="宋体"/>
          <w:b/>
          <w:color w:val="000000"/>
          <w:kern w:val="0"/>
          <w:szCs w:val="21"/>
        </w:rPr>
        <w:t>基金定投</w:t>
      </w:r>
    </w:p>
    <w:p w:rsidR="00E45B09" w:rsidRPr="00EA0D4C" w:rsidRDefault="00AC0405" w:rsidP="00E95772">
      <w:pPr>
        <w:spacing w:line="360" w:lineRule="auto"/>
        <w:ind w:firstLineChars="200" w:firstLine="420"/>
        <w:rPr>
          <w:rFonts w:ascii="宋体" w:hAnsi="宋体" w:cs="宋体"/>
          <w:color w:val="000000"/>
          <w:kern w:val="0"/>
          <w:szCs w:val="21"/>
        </w:rPr>
      </w:pPr>
      <w:r w:rsidRPr="00EA0D4C">
        <w:rPr>
          <w:rFonts w:ascii="宋体" w:hAnsi="宋体" w:cs="宋体"/>
          <w:color w:val="000000"/>
          <w:kern w:val="0"/>
          <w:szCs w:val="21"/>
        </w:rPr>
        <w:t>基金定投</w:t>
      </w:r>
      <w:r w:rsidR="00E45B09" w:rsidRPr="00EA0D4C">
        <w:rPr>
          <w:rFonts w:ascii="宋体" w:hAnsi="宋体" w:cs="宋体" w:hint="eastAsia"/>
          <w:color w:val="000000"/>
          <w:kern w:val="0"/>
          <w:szCs w:val="21"/>
        </w:rPr>
        <w:t>指投资者通过</w:t>
      </w:r>
      <w:r w:rsidR="000D7EBC">
        <w:rPr>
          <w:rFonts w:ascii="宋体" w:hAnsi="宋体" w:hint="eastAsia"/>
          <w:szCs w:val="21"/>
        </w:rPr>
        <w:t>浦发银行</w:t>
      </w:r>
      <w:r w:rsidR="00E45B09" w:rsidRPr="00EA0D4C">
        <w:rPr>
          <w:rFonts w:ascii="宋体" w:hAnsi="宋体" w:cs="宋体" w:hint="eastAsia"/>
          <w:color w:val="000000"/>
          <w:kern w:val="0"/>
          <w:szCs w:val="21"/>
        </w:rPr>
        <w:t>提交申请，约定固定扣款时间和扣款金额，由</w:t>
      </w:r>
      <w:r w:rsidR="000D7EBC">
        <w:rPr>
          <w:rFonts w:ascii="宋体" w:hAnsi="宋体" w:hint="eastAsia"/>
          <w:szCs w:val="21"/>
        </w:rPr>
        <w:t>浦发银行</w:t>
      </w:r>
      <w:r w:rsidR="00E45B09" w:rsidRPr="00EA0D4C">
        <w:rPr>
          <w:rFonts w:ascii="宋体" w:hAnsi="宋体" w:cs="宋体" w:hint="eastAsia"/>
          <w:color w:val="000000"/>
          <w:kern w:val="0"/>
          <w:szCs w:val="21"/>
        </w:rPr>
        <w:t>于固定约定扣款日在投资者指定资金账户内自动完成扣款和提交基金申购申请的一种投资方式。</w:t>
      </w:r>
    </w:p>
    <w:p w:rsidR="00E45B09" w:rsidRPr="00EA0D4C" w:rsidRDefault="00E45B09" w:rsidP="00E45B09">
      <w:pPr>
        <w:spacing w:line="360" w:lineRule="auto"/>
        <w:ind w:firstLineChars="200" w:firstLine="420"/>
        <w:rPr>
          <w:rFonts w:ascii="宋体" w:hAnsi="宋体" w:cs="宋体"/>
          <w:color w:val="000000"/>
          <w:kern w:val="0"/>
          <w:szCs w:val="21"/>
        </w:rPr>
      </w:pPr>
      <w:r w:rsidRPr="00EA0D4C">
        <w:rPr>
          <w:rFonts w:ascii="宋体" w:hAnsi="宋体" w:cs="宋体" w:hint="eastAsia"/>
          <w:color w:val="000000"/>
          <w:kern w:val="0"/>
          <w:szCs w:val="21"/>
        </w:rPr>
        <w:t>具体办理事宜以</w:t>
      </w:r>
      <w:r w:rsidR="000D7EBC">
        <w:rPr>
          <w:rFonts w:ascii="宋体" w:hAnsi="宋体" w:hint="eastAsia"/>
          <w:szCs w:val="21"/>
        </w:rPr>
        <w:t>浦发银行</w:t>
      </w:r>
      <w:r w:rsidRPr="00EA0D4C">
        <w:rPr>
          <w:rFonts w:ascii="宋体" w:hAnsi="宋体" w:cs="宋体" w:hint="eastAsia"/>
          <w:color w:val="000000"/>
          <w:kern w:val="0"/>
          <w:szCs w:val="21"/>
        </w:rPr>
        <w:t>的业务规则及具体规定为准。</w:t>
      </w:r>
    </w:p>
    <w:p w:rsidR="00E45B09" w:rsidRPr="00EA0D4C" w:rsidRDefault="009E74BB" w:rsidP="00E95772">
      <w:pPr>
        <w:spacing w:line="360" w:lineRule="auto"/>
        <w:ind w:firstLineChars="200" w:firstLine="422"/>
        <w:rPr>
          <w:rFonts w:ascii="宋体" w:hAnsi="宋体" w:cs="宋体"/>
          <w:b/>
          <w:color w:val="000000"/>
          <w:kern w:val="0"/>
          <w:szCs w:val="21"/>
        </w:rPr>
      </w:pPr>
      <w:r>
        <w:rPr>
          <w:rFonts w:ascii="宋体" w:hAnsi="宋体" w:cs="宋体"/>
          <w:b/>
          <w:color w:val="000000"/>
          <w:kern w:val="0"/>
          <w:szCs w:val="21"/>
        </w:rPr>
        <w:t>2.</w:t>
      </w:r>
      <w:r w:rsidR="00E45B09" w:rsidRPr="00EA0D4C">
        <w:rPr>
          <w:rFonts w:ascii="宋体" w:hAnsi="宋体" w:cs="宋体" w:hint="eastAsia"/>
          <w:b/>
          <w:color w:val="000000"/>
          <w:kern w:val="0"/>
          <w:szCs w:val="21"/>
        </w:rPr>
        <w:t>其他需要提示的事项</w:t>
      </w:r>
    </w:p>
    <w:p w:rsidR="00E45B09" w:rsidRPr="00EA0D4C" w:rsidRDefault="00E45B09" w:rsidP="00E45B09">
      <w:pPr>
        <w:spacing w:line="360" w:lineRule="auto"/>
        <w:ind w:firstLineChars="200" w:firstLine="420"/>
        <w:rPr>
          <w:rFonts w:ascii="宋体" w:hAnsi="宋体" w:cs="宋体"/>
          <w:color w:val="000000"/>
          <w:kern w:val="0"/>
          <w:szCs w:val="21"/>
        </w:rPr>
      </w:pPr>
      <w:r w:rsidRPr="00EA0D4C">
        <w:rPr>
          <w:rFonts w:ascii="宋体" w:hAnsi="宋体" w:cs="宋体"/>
          <w:color w:val="000000"/>
          <w:kern w:val="0"/>
          <w:szCs w:val="21"/>
        </w:rPr>
        <w:t>1）投资者可通过</w:t>
      </w:r>
      <w:r w:rsidR="000D7EBC">
        <w:rPr>
          <w:rFonts w:ascii="宋体" w:hAnsi="宋体" w:hint="eastAsia"/>
          <w:szCs w:val="21"/>
        </w:rPr>
        <w:t>浦发银行</w:t>
      </w:r>
      <w:r w:rsidRPr="00EA0D4C">
        <w:rPr>
          <w:rFonts w:ascii="宋体" w:hAnsi="宋体" w:cs="宋体" w:hint="eastAsia"/>
          <w:color w:val="000000"/>
          <w:kern w:val="0"/>
          <w:szCs w:val="21"/>
        </w:rPr>
        <w:t>的营业网点、</w:t>
      </w:r>
      <w:r w:rsidR="00CB3915" w:rsidRPr="00CB3915">
        <w:rPr>
          <w:rFonts w:ascii="宋体" w:hAnsi="宋体" w:cs="宋体" w:hint="eastAsia"/>
          <w:color w:val="000000"/>
          <w:kern w:val="0"/>
          <w:szCs w:val="21"/>
        </w:rPr>
        <w:t>网站和手机客户端</w:t>
      </w:r>
      <w:r w:rsidRPr="00EA0D4C">
        <w:rPr>
          <w:rFonts w:ascii="宋体" w:hAnsi="宋体" w:cs="宋体" w:hint="eastAsia"/>
          <w:color w:val="000000"/>
          <w:kern w:val="0"/>
          <w:szCs w:val="21"/>
        </w:rPr>
        <w:t>申请开办基金定投业务并约定每期固定的投资金额，每期扣款金额最低为</w:t>
      </w:r>
      <w:r w:rsidR="00A708C0">
        <w:rPr>
          <w:rFonts w:ascii="宋体" w:hAnsi="宋体" w:cs="宋体"/>
          <w:color w:val="000000"/>
          <w:kern w:val="0"/>
          <w:szCs w:val="21"/>
        </w:rPr>
        <w:t>0.1</w:t>
      </w:r>
      <w:r w:rsidRPr="00EA0D4C">
        <w:rPr>
          <w:rFonts w:ascii="宋体" w:hAnsi="宋体" w:cs="宋体"/>
          <w:color w:val="000000"/>
          <w:kern w:val="0"/>
          <w:szCs w:val="21"/>
        </w:rPr>
        <w:t>元。</w:t>
      </w:r>
    </w:p>
    <w:p w:rsidR="00E45B09" w:rsidRPr="00EA0D4C" w:rsidRDefault="00E45B09" w:rsidP="00E45B09">
      <w:pPr>
        <w:spacing w:line="360" w:lineRule="auto"/>
        <w:ind w:firstLineChars="200" w:firstLine="420"/>
        <w:rPr>
          <w:rFonts w:ascii="宋体" w:hAnsi="宋体" w:cs="宋体"/>
          <w:color w:val="000000"/>
          <w:kern w:val="0"/>
          <w:szCs w:val="21"/>
        </w:rPr>
      </w:pPr>
      <w:r w:rsidRPr="00EA0D4C">
        <w:rPr>
          <w:rFonts w:ascii="宋体" w:hAnsi="宋体" w:cs="宋体"/>
          <w:color w:val="000000"/>
          <w:kern w:val="0"/>
          <w:szCs w:val="21"/>
        </w:rPr>
        <w:t>2）</w:t>
      </w:r>
      <w:r w:rsidR="000D7EBC">
        <w:rPr>
          <w:rFonts w:ascii="宋体" w:hAnsi="宋体" w:cs="宋体"/>
          <w:color w:val="000000"/>
          <w:kern w:val="0"/>
          <w:szCs w:val="21"/>
        </w:rPr>
        <w:t>浦发银行</w:t>
      </w:r>
      <w:r w:rsidRPr="00EA0D4C">
        <w:rPr>
          <w:rFonts w:ascii="宋体" w:hAnsi="宋体" w:cs="宋体"/>
          <w:color w:val="000000"/>
          <w:kern w:val="0"/>
          <w:szCs w:val="21"/>
        </w:rPr>
        <w:t>将按照与投资者申请时所约定的每期固定扣款日、扣款金额扣款，投资者须指定一个有效资金账户作为每期固定扣款账户。若</w:t>
      </w:r>
      <w:r w:rsidRPr="00EA0D4C">
        <w:rPr>
          <w:rFonts w:ascii="宋体" w:hAnsi="宋体" w:cs="宋体" w:hint="eastAsia"/>
          <w:color w:val="000000"/>
          <w:kern w:val="0"/>
          <w:szCs w:val="21"/>
        </w:rPr>
        <w:t>遇非基金交易日时，扣款是否顺延以</w:t>
      </w:r>
      <w:r w:rsidR="000D7EBC">
        <w:rPr>
          <w:rFonts w:ascii="宋体" w:hAnsi="宋体" w:cs="宋体" w:hint="eastAsia"/>
          <w:color w:val="000000"/>
          <w:kern w:val="0"/>
          <w:szCs w:val="21"/>
        </w:rPr>
        <w:t>浦发银行</w:t>
      </w:r>
      <w:r w:rsidRPr="00EA0D4C">
        <w:rPr>
          <w:rFonts w:ascii="宋体" w:hAnsi="宋体" w:cs="宋体" w:hint="eastAsia"/>
          <w:color w:val="000000"/>
          <w:kern w:val="0"/>
          <w:szCs w:val="21"/>
        </w:rPr>
        <w:t>的具体规定为准。具体扣款方式按</w:t>
      </w:r>
      <w:r w:rsidR="000D7EBC">
        <w:rPr>
          <w:rFonts w:ascii="宋体" w:hAnsi="宋体" w:cs="宋体" w:hint="eastAsia"/>
          <w:color w:val="000000"/>
          <w:kern w:val="0"/>
          <w:szCs w:val="21"/>
        </w:rPr>
        <w:t>浦发银行</w:t>
      </w:r>
      <w:r w:rsidRPr="00EA0D4C">
        <w:rPr>
          <w:rFonts w:ascii="宋体" w:hAnsi="宋体" w:cs="宋体" w:hint="eastAsia"/>
          <w:color w:val="000000"/>
          <w:kern w:val="0"/>
          <w:szCs w:val="21"/>
        </w:rPr>
        <w:t>的相关业务规则办理。</w:t>
      </w:r>
    </w:p>
    <w:p w:rsidR="00CC6BA8" w:rsidRPr="00EA0D4C" w:rsidRDefault="00E45B09" w:rsidP="00E45B09">
      <w:pPr>
        <w:spacing w:line="360" w:lineRule="auto"/>
        <w:ind w:firstLineChars="200" w:firstLine="420"/>
        <w:rPr>
          <w:rFonts w:ascii="宋体" w:hAnsi="宋体" w:cs="宋体"/>
          <w:color w:val="000000"/>
          <w:kern w:val="0"/>
          <w:szCs w:val="21"/>
        </w:rPr>
      </w:pPr>
      <w:r w:rsidRPr="00EA0D4C">
        <w:rPr>
          <w:rFonts w:ascii="宋体" w:hAnsi="宋体" w:cs="宋体"/>
          <w:color w:val="000000"/>
          <w:kern w:val="0"/>
          <w:szCs w:val="21"/>
        </w:rPr>
        <w:t>3）基金</w:t>
      </w:r>
      <w:r w:rsidRPr="00EA0D4C">
        <w:rPr>
          <w:rFonts w:ascii="宋体" w:hAnsi="宋体" w:cs="宋体" w:hint="eastAsia"/>
          <w:color w:val="000000"/>
          <w:kern w:val="0"/>
          <w:szCs w:val="21"/>
        </w:rPr>
        <w:t>定投业务办理的具体时间、流程及变更和终止以</w:t>
      </w:r>
      <w:r w:rsidR="000D7EBC">
        <w:rPr>
          <w:rFonts w:ascii="宋体" w:hAnsi="宋体" w:cs="宋体" w:hint="eastAsia"/>
          <w:color w:val="000000"/>
          <w:kern w:val="0"/>
          <w:szCs w:val="21"/>
        </w:rPr>
        <w:t>浦发银行</w:t>
      </w:r>
      <w:r w:rsidRPr="00EA0D4C">
        <w:rPr>
          <w:rFonts w:ascii="宋体" w:hAnsi="宋体" w:cs="宋体" w:hint="eastAsia"/>
          <w:color w:val="000000"/>
          <w:kern w:val="0"/>
          <w:szCs w:val="21"/>
        </w:rPr>
        <w:t>受理网点的安排和规定为准。</w:t>
      </w:r>
    </w:p>
    <w:p w:rsidR="00AC0405" w:rsidRPr="00EA0D4C" w:rsidRDefault="00AC0405">
      <w:pPr>
        <w:pStyle w:val="HTML"/>
        <w:tabs>
          <w:tab w:val="clear" w:pos="1832"/>
          <w:tab w:val="left" w:pos="1260"/>
          <w:tab w:val="left" w:pos="1440"/>
          <w:tab w:val="left" w:pos="2520"/>
        </w:tabs>
        <w:spacing w:line="360" w:lineRule="auto"/>
        <w:ind w:firstLineChars="300" w:firstLine="630"/>
        <w:jc w:val="both"/>
        <w:rPr>
          <w:sz w:val="21"/>
          <w:szCs w:val="21"/>
        </w:rPr>
      </w:pPr>
    </w:p>
    <w:p w:rsidR="00F16F85" w:rsidRPr="00EA0D4C" w:rsidRDefault="009E74BB" w:rsidP="00F16F85">
      <w:pPr>
        <w:spacing w:line="360" w:lineRule="auto"/>
        <w:ind w:firstLineChars="200" w:firstLine="422"/>
        <w:rPr>
          <w:rFonts w:ascii="宋体" w:hAnsi="宋体" w:cs="宋体"/>
          <w:b/>
          <w:color w:val="000000"/>
          <w:kern w:val="0"/>
          <w:szCs w:val="21"/>
        </w:rPr>
      </w:pPr>
      <w:r>
        <w:rPr>
          <w:rFonts w:ascii="宋体" w:hAnsi="宋体" w:cs="宋体" w:hint="eastAsia"/>
          <w:b/>
          <w:color w:val="000000"/>
          <w:kern w:val="0"/>
          <w:szCs w:val="21"/>
        </w:rPr>
        <w:t>二</w:t>
      </w:r>
      <w:r w:rsidR="00F16F85" w:rsidRPr="00EA0D4C">
        <w:rPr>
          <w:rFonts w:ascii="宋体" w:hAnsi="宋体" w:cs="宋体" w:hint="eastAsia"/>
          <w:b/>
          <w:color w:val="000000"/>
          <w:kern w:val="0"/>
          <w:szCs w:val="21"/>
        </w:rPr>
        <w:t>、基金费率优惠活动</w:t>
      </w:r>
    </w:p>
    <w:p w:rsidR="00826277" w:rsidRPr="00EA0D4C" w:rsidRDefault="00826277" w:rsidP="00826277">
      <w:pPr>
        <w:spacing w:line="360" w:lineRule="auto"/>
        <w:ind w:firstLineChars="200" w:firstLine="420"/>
        <w:rPr>
          <w:rFonts w:ascii="宋体" w:hAnsi="宋体" w:cs="宋体"/>
          <w:color w:val="000000"/>
          <w:kern w:val="0"/>
          <w:szCs w:val="21"/>
        </w:rPr>
      </w:pPr>
      <w:r w:rsidRPr="00EA0D4C">
        <w:rPr>
          <w:rFonts w:ascii="宋体" w:hAnsi="宋体" w:cs="宋体"/>
          <w:color w:val="000000"/>
          <w:kern w:val="0"/>
          <w:szCs w:val="21"/>
        </w:rPr>
        <w:t>1、参与费率优惠活动基金为所有本公司已在</w:t>
      </w:r>
      <w:r w:rsidR="000D7EBC">
        <w:rPr>
          <w:rFonts w:ascii="宋体" w:hAnsi="宋体" w:hint="eastAsia"/>
          <w:szCs w:val="21"/>
        </w:rPr>
        <w:t>浦发银行</w:t>
      </w:r>
      <w:r w:rsidRPr="00EA0D4C">
        <w:rPr>
          <w:rFonts w:ascii="宋体" w:hAnsi="宋体" w:cs="宋体" w:hint="eastAsia"/>
          <w:color w:val="000000"/>
          <w:kern w:val="0"/>
          <w:szCs w:val="21"/>
        </w:rPr>
        <w:t>代销上线的基金，后续上线基金</w:t>
      </w:r>
      <w:r w:rsidRPr="00EA0D4C">
        <w:rPr>
          <w:rFonts w:ascii="宋体" w:hAnsi="宋体" w:cs="宋体" w:hint="eastAsia"/>
          <w:color w:val="000000"/>
          <w:kern w:val="0"/>
          <w:szCs w:val="21"/>
        </w:rPr>
        <w:lastRenderedPageBreak/>
        <w:t>的优惠活动以届时公告为准。</w:t>
      </w:r>
    </w:p>
    <w:p w:rsidR="00826277" w:rsidRPr="00EA0D4C" w:rsidRDefault="00826277" w:rsidP="00826277">
      <w:pPr>
        <w:spacing w:line="360" w:lineRule="auto"/>
        <w:ind w:firstLineChars="200" w:firstLine="420"/>
        <w:rPr>
          <w:rFonts w:ascii="宋体" w:hAnsi="宋体" w:cs="宋体"/>
          <w:color w:val="000000"/>
          <w:kern w:val="0"/>
          <w:szCs w:val="21"/>
        </w:rPr>
      </w:pPr>
      <w:r w:rsidRPr="00EA0D4C">
        <w:rPr>
          <w:rFonts w:ascii="宋体" w:hAnsi="宋体" w:cs="宋体"/>
          <w:color w:val="000000"/>
          <w:kern w:val="0"/>
          <w:szCs w:val="21"/>
        </w:rPr>
        <w:t>2、投资者通过</w:t>
      </w:r>
      <w:r w:rsidR="000D7EBC">
        <w:rPr>
          <w:rFonts w:ascii="宋体" w:hAnsi="宋体" w:hint="eastAsia"/>
          <w:szCs w:val="21"/>
        </w:rPr>
        <w:t>浦发银行</w:t>
      </w:r>
      <w:r w:rsidRPr="00EA0D4C">
        <w:rPr>
          <w:rFonts w:ascii="宋体" w:hAnsi="宋体" w:cs="宋体" w:hint="eastAsia"/>
          <w:color w:val="000000"/>
          <w:kern w:val="0"/>
          <w:szCs w:val="21"/>
        </w:rPr>
        <w:t>进行基金申购及基金定投业务，均参加</w:t>
      </w:r>
      <w:r w:rsidR="000D7EBC">
        <w:rPr>
          <w:rFonts w:ascii="宋体" w:hAnsi="宋体" w:hint="eastAsia"/>
          <w:szCs w:val="21"/>
        </w:rPr>
        <w:t>浦发银行</w:t>
      </w:r>
      <w:r w:rsidRPr="00EA0D4C">
        <w:rPr>
          <w:rFonts w:ascii="宋体" w:hAnsi="宋体" w:cs="宋体" w:hint="eastAsia"/>
          <w:color w:val="000000"/>
          <w:kern w:val="0"/>
          <w:szCs w:val="21"/>
        </w:rPr>
        <w:t>的费率优惠活动</w:t>
      </w:r>
      <w:r w:rsidR="004A5C1A">
        <w:rPr>
          <w:rFonts w:ascii="宋体" w:hAnsi="宋体" w:cs="宋体" w:hint="eastAsia"/>
          <w:color w:val="000000"/>
          <w:kern w:val="0"/>
          <w:szCs w:val="21"/>
        </w:rPr>
        <w:t>（若有）</w:t>
      </w:r>
      <w:r w:rsidRPr="00EA0D4C">
        <w:rPr>
          <w:rFonts w:ascii="宋体" w:hAnsi="宋体" w:cs="宋体" w:hint="eastAsia"/>
          <w:color w:val="000000"/>
          <w:kern w:val="0"/>
          <w:szCs w:val="21"/>
        </w:rPr>
        <w:t>，固定费</w:t>
      </w:r>
      <w:r w:rsidR="00C83B3B" w:rsidRPr="00EA0D4C">
        <w:rPr>
          <w:rFonts w:ascii="宋体" w:hAnsi="宋体" w:cs="宋体" w:hint="eastAsia"/>
          <w:color w:val="000000"/>
          <w:kern w:val="0"/>
          <w:szCs w:val="21"/>
        </w:rPr>
        <w:t>用</w:t>
      </w:r>
      <w:r w:rsidRPr="00EA0D4C">
        <w:rPr>
          <w:rFonts w:ascii="宋体" w:hAnsi="宋体" w:cs="宋体" w:hint="eastAsia"/>
          <w:color w:val="000000"/>
          <w:kern w:val="0"/>
          <w:szCs w:val="21"/>
        </w:rPr>
        <w:t>不打折，具体费率优惠活动细则以</w:t>
      </w:r>
      <w:r w:rsidR="000D7EBC">
        <w:rPr>
          <w:rFonts w:ascii="宋体" w:hAnsi="宋体" w:hint="eastAsia"/>
          <w:szCs w:val="21"/>
        </w:rPr>
        <w:t>浦发银行</w:t>
      </w:r>
      <w:r w:rsidRPr="00EA0D4C">
        <w:rPr>
          <w:rFonts w:ascii="宋体" w:hAnsi="宋体" w:cs="宋体" w:hint="eastAsia"/>
          <w:color w:val="000000"/>
          <w:kern w:val="0"/>
          <w:szCs w:val="21"/>
        </w:rPr>
        <w:t>公告为准。</w:t>
      </w:r>
    </w:p>
    <w:p w:rsidR="00826277" w:rsidRPr="00EA0D4C" w:rsidRDefault="00826277" w:rsidP="00826277">
      <w:pPr>
        <w:spacing w:line="360" w:lineRule="auto"/>
        <w:ind w:firstLineChars="200" w:firstLine="420"/>
        <w:rPr>
          <w:rFonts w:ascii="宋体" w:hAnsi="宋体" w:cs="宋体"/>
          <w:color w:val="000000"/>
          <w:kern w:val="0"/>
          <w:szCs w:val="21"/>
        </w:rPr>
      </w:pPr>
      <w:r w:rsidRPr="00EA0D4C">
        <w:rPr>
          <w:rFonts w:ascii="宋体" w:hAnsi="宋体" w:cs="宋体"/>
          <w:color w:val="000000"/>
          <w:kern w:val="0"/>
          <w:szCs w:val="21"/>
        </w:rPr>
        <w:t>3、有关上述费率优惠活动的具体费率折扣及活动起止时间，敬请投资者留意</w:t>
      </w:r>
      <w:r w:rsidR="000D7EBC">
        <w:rPr>
          <w:rFonts w:ascii="宋体" w:hAnsi="宋体" w:hint="eastAsia"/>
          <w:szCs w:val="21"/>
        </w:rPr>
        <w:t>浦发银行</w:t>
      </w:r>
      <w:r w:rsidRPr="00EA0D4C">
        <w:rPr>
          <w:rFonts w:ascii="宋体" w:hAnsi="宋体" w:cs="宋体" w:hint="eastAsia"/>
          <w:color w:val="000000"/>
          <w:kern w:val="0"/>
          <w:szCs w:val="21"/>
        </w:rPr>
        <w:t>的有关公告。</w:t>
      </w:r>
    </w:p>
    <w:p w:rsidR="00F16F85" w:rsidRPr="00EA0D4C" w:rsidRDefault="00F16F85" w:rsidP="006D534A">
      <w:pPr>
        <w:spacing w:line="360" w:lineRule="auto"/>
        <w:ind w:firstLineChars="200" w:firstLine="420"/>
        <w:rPr>
          <w:rFonts w:ascii="宋体" w:hAnsi="宋体" w:cs="宋体"/>
          <w:color w:val="000000"/>
          <w:kern w:val="0"/>
          <w:szCs w:val="21"/>
        </w:rPr>
      </w:pPr>
    </w:p>
    <w:p w:rsidR="0007341C" w:rsidRPr="00EA0D4C" w:rsidRDefault="009E74BB">
      <w:pPr>
        <w:pStyle w:val="HTML"/>
        <w:spacing w:line="360" w:lineRule="auto"/>
        <w:ind w:firstLineChars="200" w:firstLine="422"/>
        <w:jc w:val="both"/>
        <w:rPr>
          <w:b/>
          <w:sz w:val="21"/>
          <w:szCs w:val="21"/>
        </w:rPr>
      </w:pPr>
      <w:r>
        <w:rPr>
          <w:rFonts w:hint="eastAsia"/>
          <w:b/>
          <w:sz w:val="21"/>
          <w:szCs w:val="21"/>
        </w:rPr>
        <w:t>三</w:t>
      </w:r>
      <w:r w:rsidR="009A20FB" w:rsidRPr="00EA0D4C">
        <w:rPr>
          <w:rFonts w:hint="eastAsia"/>
          <w:b/>
          <w:sz w:val="21"/>
          <w:szCs w:val="21"/>
        </w:rPr>
        <w:t>、重要提示</w:t>
      </w:r>
    </w:p>
    <w:p w:rsidR="0007341C" w:rsidRPr="00EA0D4C" w:rsidRDefault="009A20FB">
      <w:pPr>
        <w:pStyle w:val="HTML"/>
        <w:spacing w:line="360" w:lineRule="auto"/>
        <w:ind w:firstLineChars="200" w:firstLine="420"/>
        <w:jc w:val="both"/>
        <w:rPr>
          <w:sz w:val="21"/>
          <w:szCs w:val="21"/>
        </w:rPr>
      </w:pPr>
      <w:r w:rsidRPr="00EA0D4C">
        <w:rPr>
          <w:sz w:val="21"/>
          <w:szCs w:val="21"/>
        </w:rPr>
        <w:t xml:space="preserve">1、 </w:t>
      </w:r>
      <w:r w:rsidRPr="00EA0D4C">
        <w:rPr>
          <w:rFonts w:hint="eastAsia"/>
          <w:sz w:val="21"/>
          <w:szCs w:val="21"/>
        </w:rPr>
        <w:t>本公司有权根据市场情况或法律法规变化调整上述业务规则，并在正式调整前根据相关法律法规及基金合同的规定进行披露。</w:t>
      </w:r>
    </w:p>
    <w:p w:rsidR="0007341C" w:rsidRPr="00EA0D4C" w:rsidRDefault="009A20FB">
      <w:pPr>
        <w:pStyle w:val="HTML"/>
        <w:spacing w:line="360" w:lineRule="auto"/>
        <w:ind w:firstLineChars="200" w:firstLine="420"/>
        <w:jc w:val="both"/>
        <w:rPr>
          <w:sz w:val="21"/>
          <w:szCs w:val="21"/>
        </w:rPr>
      </w:pPr>
      <w:r w:rsidRPr="00EA0D4C">
        <w:rPr>
          <w:sz w:val="21"/>
          <w:szCs w:val="21"/>
        </w:rPr>
        <w:t xml:space="preserve">2、 </w:t>
      </w:r>
      <w:r w:rsidRPr="00EA0D4C">
        <w:rPr>
          <w:rFonts w:hint="eastAsia"/>
          <w:sz w:val="21"/>
          <w:szCs w:val="21"/>
        </w:rPr>
        <w:t>本公告的解释权归本公司所有。</w:t>
      </w:r>
    </w:p>
    <w:p w:rsidR="00AC0405" w:rsidRPr="00EA0D4C" w:rsidRDefault="00AC0405">
      <w:pPr>
        <w:pStyle w:val="HTML"/>
        <w:spacing w:line="360" w:lineRule="auto"/>
        <w:ind w:firstLineChars="200" w:firstLine="420"/>
        <w:jc w:val="both"/>
        <w:rPr>
          <w:sz w:val="21"/>
          <w:szCs w:val="21"/>
        </w:rPr>
      </w:pPr>
    </w:p>
    <w:p w:rsidR="0007341C" w:rsidRPr="00EA0D4C" w:rsidRDefault="009E74BB">
      <w:pPr>
        <w:pStyle w:val="HTML"/>
        <w:spacing w:line="360" w:lineRule="auto"/>
        <w:ind w:firstLineChars="200" w:firstLine="422"/>
        <w:jc w:val="both"/>
        <w:rPr>
          <w:b/>
          <w:sz w:val="21"/>
          <w:szCs w:val="21"/>
        </w:rPr>
      </w:pPr>
      <w:r>
        <w:rPr>
          <w:rFonts w:hint="eastAsia"/>
          <w:b/>
          <w:sz w:val="21"/>
          <w:szCs w:val="21"/>
        </w:rPr>
        <w:t>四</w:t>
      </w:r>
      <w:r w:rsidR="009A20FB" w:rsidRPr="00EA0D4C">
        <w:rPr>
          <w:rFonts w:hint="eastAsia"/>
          <w:b/>
          <w:sz w:val="21"/>
          <w:szCs w:val="21"/>
        </w:rPr>
        <w:t>、咨询方式</w:t>
      </w:r>
    </w:p>
    <w:p w:rsidR="0007341C" w:rsidRPr="00EA0D4C" w:rsidRDefault="009A20FB">
      <w:pPr>
        <w:pStyle w:val="HTML"/>
        <w:spacing w:line="360" w:lineRule="auto"/>
        <w:ind w:firstLineChars="200" w:firstLine="420"/>
        <w:jc w:val="both"/>
        <w:rPr>
          <w:sz w:val="21"/>
          <w:szCs w:val="21"/>
        </w:rPr>
      </w:pPr>
      <w:r w:rsidRPr="00EA0D4C">
        <w:rPr>
          <w:rFonts w:hint="eastAsia"/>
          <w:sz w:val="21"/>
          <w:szCs w:val="21"/>
        </w:rPr>
        <w:t>投资者欲了解本公司管理基金的详细情况，请仔细阅读相关基金的招募说明书</w:t>
      </w:r>
      <w:r w:rsidR="00440494">
        <w:rPr>
          <w:rFonts w:hint="eastAsia"/>
          <w:sz w:val="21"/>
          <w:szCs w:val="21"/>
        </w:rPr>
        <w:t>及其更新</w:t>
      </w:r>
      <w:r w:rsidRPr="00EA0D4C">
        <w:rPr>
          <w:rFonts w:hint="eastAsia"/>
          <w:sz w:val="21"/>
          <w:szCs w:val="21"/>
        </w:rPr>
        <w:t>。投资者也可通过以下途径咨询有关详情：</w:t>
      </w:r>
    </w:p>
    <w:p w:rsidR="00E705A7" w:rsidRDefault="00E705A7" w:rsidP="00E705A7">
      <w:pPr>
        <w:pStyle w:val="HTML"/>
        <w:spacing w:line="360" w:lineRule="auto"/>
        <w:ind w:firstLineChars="200" w:firstLine="420"/>
        <w:jc w:val="both"/>
        <w:rPr>
          <w:sz w:val="21"/>
          <w:szCs w:val="21"/>
        </w:rPr>
      </w:pPr>
      <w:r w:rsidRPr="00EA0D4C">
        <w:rPr>
          <w:rFonts w:hint="eastAsia"/>
          <w:sz w:val="21"/>
          <w:szCs w:val="21"/>
        </w:rPr>
        <w:t>1、</w:t>
      </w:r>
      <w:r w:rsidR="000D7EBC" w:rsidRPr="000D7EBC">
        <w:rPr>
          <w:rFonts w:hint="eastAsia"/>
          <w:sz w:val="21"/>
          <w:szCs w:val="21"/>
        </w:rPr>
        <w:t>上海浦东发展银行股份有限公司</w:t>
      </w:r>
    </w:p>
    <w:p w:rsidR="00E705A7" w:rsidRDefault="00E705A7" w:rsidP="00E705A7">
      <w:pPr>
        <w:pStyle w:val="HTML"/>
        <w:tabs>
          <w:tab w:val="clear" w:pos="2748"/>
        </w:tabs>
        <w:spacing w:line="360" w:lineRule="auto"/>
        <w:ind w:firstLineChars="350" w:firstLine="735"/>
        <w:jc w:val="both"/>
        <w:rPr>
          <w:sz w:val="21"/>
          <w:szCs w:val="21"/>
        </w:rPr>
      </w:pPr>
      <w:r>
        <w:rPr>
          <w:rFonts w:hint="eastAsia"/>
          <w:sz w:val="21"/>
          <w:szCs w:val="21"/>
        </w:rPr>
        <w:t>客户服务热线：</w:t>
      </w:r>
      <w:r w:rsidR="000D7EBC" w:rsidRPr="000D7EBC">
        <w:rPr>
          <w:sz w:val="21"/>
          <w:szCs w:val="21"/>
        </w:rPr>
        <w:t>95528</w:t>
      </w:r>
    </w:p>
    <w:p w:rsidR="00E705A7" w:rsidRPr="000F7FB5" w:rsidRDefault="00E705A7" w:rsidP="00E705A7">
      <w:pPr>
        <w:pStyle w:val="HTML"/>
        <w:spacing w:line="360" w:lineRule="auto"/>
        <w:ind w:firstLineChars="350" w:firstLine="735"/>
        <w:jc w:val="both"/>
        <w:rPr>
          <w:sz w:val="21"/>
          <w:szCs w:val="21"/>
        </w:rPr>
      </w:pPr>
      <w:r>
        <w:rPr>
          <w:rFonts w:hint="eastAsia"/>
          <w:sz w:val="21"/>
          <w:szCs w:val="21"/>
        </w:rPr>
        <w:t>网址：</w:t>
      </w:r>
      <w:r w:rsidR="000D7EBC" w:rsidRPr="000D7EBC">
        <w:rPr>
          <w:sz w:val="21"/>
          <w:szCs w:val="21"/>
        </w:rPr>
        <w:t>www.spdb.com.cn</w:t>
      </w:r>
    </w:p>
    <w:p w:rsidR="0007341C" w:rsidRPr="00EA0D4C" w:rsidRDefault="009A20FB">
      <w:pPr>
        <w:pStyle w:val="HTML"/>
        <w:spacing w:line="360" w:lineRule="auto"/>
        <w:ind w:firstLineChars="200" w:firstLine="420"/>
        <w:jc w:val="both"/>
        <w:rPr>
          <w:sz w:val="21"/>
          <w:szCs w:val="21"/>
        </w:rPr>
      </w:pPr>
      <w:r w:rsidRPr="00EA0D4C">
        <w:rPr>
          <w:sz w:val="21"/>
          <w:szCs w:val="21"/>
        </w:rPr>
        <w:t>2、</w:t>
      </w:r>
      <w:r w:rsidRPr="00EA0D4C">
        <w:rPr>
          <w:rFonts w:hint="eastAsia"/>
          <w:sz w:val="21"/>
          <w:szCs w:val="21"/>
        </w:rPr>
        <w:t>浦银安盛基金管理有限公司</w:t>
      </w:r>
    </w:p>
    <w:p w:rsidR="0007341C" w:rsidRPr="00EA0D4C" w:rsidRDefault="009A20FB">
      <w:pPr>
        <w:pStyle w:val="HTML"/>
        <w:spacing w:line="360" w:lineRule="auto"/>
        <w:ind w:firstLineChars="350" w:firstLine="735"/>
        <w:jc w:val="both"/>
        <w:rPr>
          <w:sz w:val="21"/>
          <w:szCs w:val="21"/>
        </w:rPr>
      </w:pPr>
      <w:r w:rsidRPr="00EA0D4C">
        <w:rPr>
          <w:rFonts w:hint="eastAsia"/>
          <w:sz w:val="21"/>
          <w:szCs w:val="21"/>
        </w:rPr>
        <w:t>客服专线：</w:t>
      </w:r>
      <w:r w:rsidRPr="00EA0D4C">
        <w:rPr>
          <w:sz w:val="21"/>
          <w:szCs w:val="21"/>
        </w:rPr>
        <w:t>021-33079999</w:t>
      </w:r>
      <w:r w:rsidR="00652185" w:rsidRPr="00EA0D4C">
        <w:rPr>
          <w:sz w:val="21"/>
          <w:szCs w:val="21"/>
        </w:rPr>
        <w:t>或</w:t>
      </w:r>
      <w:r w:rsidR="009E0C5A" w:rsidRPr="00EA0D4C">
        <w:rPr>
          <w:sz w:val="21"/>
          <w:szCs w:val="21"/>
        </w:rPr>
        <w:t>4008828999</w:t>
      </w:r>
    </w:p>
    <w:p w:rsidR="0007341C" w:rsidRPr="00EA0D4C" w:rsidRDefault="009A20FB">
      <w:pPr>
        <w:pStyle w:val="HTML"/>
        <w:spacing w:line="360" w:lineRule="auto"/>
        <w:ind w:firstLineChars="350" w:firstLine="735"/>
        <w:jc w:val="both"/>
        <w:rPr>
          <w:color w:val="auto"/>
          <w:sz w:val="21"/>
          <w:szCs w:val="21"/>
        </w:rPr>
      </w:pPr>
      <w:r w:rsidRPr="00EA0D4C">
        <w:rPr>
          <w:rFonts w:hint="eastAsia"/>
          <w:sz w:val="21"/>
          <w:szCs w:val="21"/>
        </w:rPr>
        <w:t>网址：</w:t>
      </w:r>
      <w:hyperlink r:id="rId9" w:history="1">
        <w:r w:rsidRPr="00EA0D4C">
          <w:rPr>
            <w:rStyle w:val="aa"/>
            <w:color w:val="auto"/>
            <w:sz w:val="21"/>
            <w:szCs w:val="21"/>
            <w:u w:val="none"/>
          </w:rPr>
          <w:t>www.py-axa.com</w:t>
        </w:r>
      </w:hyperlink>
    </w:p>
    <w:p w:rsidR="0007341C" w:rsidRPr="00EA0D4C" w:rsidRDefault="0007341C">
      <w:pPr>
        <w:pStyle w:val="HTML"/>
        <w:spacing w:line="360" w:lineRule="auto"/>
        <w:ind w:firstLineChars="200" w:firstLine="420"/>
        <w:jc w:val="both"/>
        <w:rPr>
          <w:sz w:val="21"/>
          <w:szCs w:val="21"/>
          <w:u w:val="single"/>
        </w:rPr>
      </w:pPr>
    </w:p>
    <w:p w:rsidR="0007341C" w:rsidRPr="00EA0D4C" w:rsidRDefault="009A20FB">
      <w:pPr>
        <w:pStyle w:val="HTML"/>
        <w:spacing w:line="360" w:lineRule="auto"/>
        <w:ind w:firstLineChars="200" w:firstLine="422"/>
        <w:jc w:val="both"/>
        <w:rPr>
          <w:b/>
          <w:sz w:val="21"/>
          <w:szCs w:val="21"/>
        </w:rPr>
      </w:pPr>
      <w:r w:rsidRPr="00EA0D4C">
        <w:rPr>
          <w:rFonts w:hint="eastAsia"/>
          <w:b/>
          <w:sz w:val="21"/>
          <w:szCs w:val="21"/>
        </w:rPr>
        <w:t>风险提示：</w:t>
      </w:r>
    </w:p>
    <w:p w:rsidR="00571CA0" w:rsidRPr="009E74BB" w:rsidRDefault="009E74BB" w:rsidP="009E74BB">
      <w:pPr>
        <w:pStyle w:val="HTML"/>
        <w:spacing w:line="360" w:lineRule="auto"/>
        <w:ind w:firstLineChars="200" w:firstLine="420"/>
        <w:rPr>
          <w:sz w:val="21"/>
          <w:szCs w:val="21"/>
        </w:rPr>
      </w:pPr>
      <w:r w:rsidRPr="00EA0D4C">
        <w:rPr>
          <w:rFonts w:hint="eastAsia"/>
          <w:sz w:val="21"/>
          <w:szCs w:val="21"/>
        </w:rPr>
        <w:t>本公司承诺以诚实信用、勤勉尽责的原则管理和运用基金资产，但不保证基金一定盈利，也不保证最低收益。定期定额投资是引导投资人进行长期投资、平均投资成本的一种简单易行的投资方式。但是定期定额投资并不能规避基金投资所固有的风险，不能保证投资人获得收益，也不是替代储蓄的等效理财方式。投资者投资于本公司管理的基金时应认真阅读基金的基金合同、招募说明书等法律文件，注意投资风险并选择适合自己风险承受能力的投资品种进行投资。</w:t>
      </w:r>
    </w:p>
    <w:p w:rsidR="0007341C" w:rsidRDefault="009A20FB">
      <w:pPr>
        <w:pStyle w:val="HTML"/>
        <w:spacing w:line="360" w:lineRule="auto"/>
        <w:ind w:firstLineChars="200" w:firstLine="420"/>
        <w:jc w:val="both"/>
        <w:rPr>
          <w:sz w:val="21"/>
          <w:szCs w:val="21"/>
        </w:rPr>
      </w:pPr>
      <w:r w:rsidRPr="00EA0D4C">
        <w:rPr>
          <w:rFonts w:hint="eastAsia"/>
          <w:sz w:val="21"/>
          <w:szCs w:val="21"/>
        </w:rPr>
        <w:t>特此公告。</w:t>
      </w:r>
    </w:p>
    <w:p w:rsidR="00A93B88" w:rsidRPr="00EA0D4C" w:rsidRDefault="00A93B88">
      <w:pPr>
        <w:pStyle w:val="HTML"/>
        <w:spacing w:line="360" w:lineRule="auto"/>
        <w:ind w:firstLineChars="200" w:firstLine="420"/>
        <w:jc w:val="both"/>
        <w:rPr>
          <w:sz w:val="21"/>
          <w:szCs w:val="21"/>
        </w:rPr>
      </w:pPr>
    </w:p>
    <w:p w:rsidR="0007341C" w:rsidRPr="00EA0D4C" w:rsidRDefault="0007341C">
      <w:pPr>
        <w:pStyle w:val="HTML"/>
        <w:spacing w:line="360" w:lineRule="auto"/>
        <w:ind w:firstLineChars="200" w:firstLine="420"/>
        <w:jc w:val="both"/>
        <w:rPr>
          <w:sz w:val="21"/>
          <w:szCs w:val="21"/>
        </w:rPr>
      </w:pPr>
    </w:p>
    <w:p w:rsidR="0007341C" w:rsidRPr="00EA0D4C" w:rsidRDefault="009A20FB">
      <w:pPr>
        <w:pStyle w:val="HTML"/>
        <w:spacing w:line="360" w:lineRule="auto"/>
        <w:ind w:firstLineChars="200" w:firstLine="420"/>
        <w:jc w:val="right"/>
        <w:rPr>
          <w:sz w:val="21"/>
          <w:szCs w:val="21"/>
        </w:rPr>
      </w:pPr>
      <w:r w:rsidRPr="00EA0D4C">
        <w:rPr>
          <w:sz w:val="21"/>
          <w:szCs w:val="21"/>
        </w:rPr>
        <w:t xml:space="preserve">    　　</w:t>
      </w:r>
      <w:r w:rsidRPr="00EA0D4C">
        <w:rPr>
          <w:rFonts w:hint="eastAsia"/>
          <w:sz w:val="21"/>
          <w:szCs w:val="21"/>
        </w:rPr>
        <w:t>浦银安盛基金管理有限公司</w:t>
      </w:r>
    </w:p>
    <w:p w:rsidR="0007341C" w:rsidRPr="00EA0D4C" w:rsidRDefault="009A20FB" w:rsidP="00DD0CE7">
      <w:pPr>
        <w:pStyle w:val="HTML"/>
        <w:spacing w:line="360" w:lineRule="auto"/>
        <w:ind w:firstLineChars="200" w:firstLine="420"/>
        <w:jc w:val="right"/>
        <w:rPr>
          <w:sz w:val="21"/>
          <w:szCs w:val="21"/>
        </w:rPr>
      </w:pPr>
      <w:r w:rsidRPr="00EA0D4C">
        <w:rPr>
          <w:sz w:val="21"/>
          <w:szCs w:val="21"/>
        </w:rPr>
        <w:t xml:space="preserve">    　　  </w:t>
      </w:r>
      <w:r w:rsidR="009E74BB">
        <w:rPr>
          <w:sz w:val="21"/>
          <w:szCs w:val="21"/>
        </w:rPr>
        <w:t>202</w:t>
      </w:r>
      <w:r w:rsidR="00152D89">
        <w:rPr>
          <w:sz w:val="21"/>
          <w:szCs w:val="21"/>
        </w:rPr>
        <w:t>5</w:t>
      </w:r>
      <w:r w:rsidR="007679D4" w:rsidRPr="00EA0D4C">
        <w:rPr>
          <w:rFonts w:hint="eastAsia"/>
          <w:sz w:val="21"/>
          <w:szCs w:val="21"/>
        </w:rPr>
        <w:t>年</w:t>
      </w:r>
      <w:r w:rsidR="00152D89">
        <w:rPr>
          <w:sz w:val="21"/>
          <w:szCs w:val="21"/>
        </w:rPr>
        <w:t>10</w:t>
      </w:r>
      <w:r w:rsidR="007679D4" w:rsidRPr="00EA0D4C">
        <w:rPr>
          <w:rFonts w:hint="eastAsia"/>
          <w:sz w:val="21"/>
          <w:szCs w:val="21"/>
        </w:rPr>
        <w:t>月</w:t>
      </w:r>
      <w:r w:rsidR="00152D89">
        <w:rPr>
          <w:sz w:val="21"/>
          <w:szCs w:val="21"/>
        </w:rPr>
        <w:t>15</w:t>
      </w:r>
      <w:r w:rsidRPr="00EA0D4C">
        <w:rPr>
          <w:rFonts w:hint="eastAsia"/>
          <w:sz w:val="21"/>
          <w:szCs w:val="21"/>
        </w:rPr>
        <w:t>日</w:t>
      </w:r>
      <w:r w:rsidRPr="00EA0D4C">
        <w:rPr>
          <w:sz w:val="21"/>
          <w:szCs w:val="21"/>
        </w:rPr>
        <w:t xml:space="preserve">  </w:t>
      </w:r>
    </w:p>
    <w:sectPr w:rsidR="0007341C" w:rsidRPr="00EA0D4C" w:rsidSect="0054403D">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4F1" w:rsidRDefault="008D74F1">
      <w:r>
        <w:separator/>
      </w:r>
    </w:p>
  </w:endnote>
  <w:endnote w:type="continuationSeparator" w:id="0">
    <w:p w:rsidR="008D74F1" w:rsidRDefault="008D74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A89" w:rsidRDefault="0054403D">
    <w:pPr>
      <w:pStyle w:val="a5"/>
      <w:framePr w:wrap="around" w:vAnchor="text" w:hAnchor="margin" w:xAlign="center" w:y="1"/>
      <w:rPr>
        <w:rStyle w:val="a9"/>
      </w:rPr>
    </w:pPr>
    <w:r>
      <w:rPr>
        <w:rStyle w:val="a9"/>
      </w:rPr>
      <w:fldChar w:fldCharType="begin"/>
    </w:r>
    <w:r w:rsidR="00D25A89">
      <w:rPr>
        <w:rStyle w:val="a9"/>
      </w:rPr>
      <w:instrText xml:space="preserve">PAGE  </w:instrText>
    </w:r>
    <w:r>
      <w:rPr>
        <w:rStyle w:val="a9"/>
      </w:rPr>
      <w:fldChar w:fldCharType="end"/>
    </w:r>
  </w:p>
  <w:p w:rsidR="00D25A89" w:rsidRDefault="00D25A8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A89" w:rsidRDefault="0054403D">
    <w:pPr>
      <w:pStyle w:val="a5"/>
      <w:framePr w:wrap="around" w:vAnchor="text" w:hAnchor="margin" w:xAlign="center" w:y="1"/>
      <w:rPr>
        <w:rStyle w:val="a9"/>
      </w:rPr>
    </w:pPr>
    <w:r>
      <w:rPr>
        <w:rStyle w:val="a9"/>
      </w:rPr>
      <w:fldChar w:fldCharType="begin"/>
    </w:r>
    <w:r w:rsidR="00D25A89">
      <w:rPr>
        <w:rStyle w:val="a9"/>
      </w:rPr>
      <w:instrText xml:space="preserve">PAGE  </w:instrText>
    </w:r>
    <w:r>
      <w:rPr>
        <w:rStyle w:val="a9"/>
      </w:rPr>
      <w:fldChar w:fldCharType="separate"/>
    </w:r>
    <w:r w:rsidR="002F1F71">
      <w:rPr>
        <w:rStyle w:val="a9"/>
        <w:noProof/>
      </w:rPr>
      <w:t>1</w:t>
    </w:r>
    <w:r>
      <w:rPr>
        <w:rStyle w:val="a9"/>
      </w:rPr>
      <w:fldChar w:fldCharType="end"/>
    </w:r>
  </w:p>
  <w:p w:rsidR="00D25A89" w:rsidRDefault="00D25A8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4F1" w:rsidRDefault="008D74F1">
      <w:r>
        <w:separator/>
      </w:r>
    </w:p>
  </w:footnote>
  <w:footnote w:type="continuationSeparator" w:id="0">
    <w:p w:rsidR="008D74F1" w:rsidRDefault="008D74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7276"/>
    <w:multiLevelType w:val="hybridMultilevel"/>
    <w:tmpl w:val="E38869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7C17E69"/>
    <w:multiLevelType w:val="multilevel"/>
    <w:tmpl w:val="17C17E69"/>
    <w:lvl w:ilvl="0">
      <w:start w:val="8"/>
      <w:numFmt w:val="decimal"/>
      <w:lvlText w:val="%1）"/>
      <w:lvlJc w:val="left"/>
      <w:pPr>
        <w:ind w:left="885" w:hanging="360"/>
      </w:pPr>
      <w:rPr>
        <w:rFonts w:hint="default"/>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2">
    <w:nsid w:val="2A750AA8"/>
    <w:multiLevelType w:val="hybridMultilevel"/>
    <w:tmpl w:val="2602656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01C32DB"/>
    <w:multiLevelType w:val="hybridMultilevel"/>
    <w:tmpl w:val="498A880A"/>
    <w:lvl w:ilvl="0" w:tplc="E08E534E">
      <w:start w:val="1"/>
      <w:numFmt w:val="japaneseCounting"/>
      <w:lvlText w:val="%1、"/>
      <w:lvlJc w:val="left"/>
      <w:pPr>
        <w:ind w:left="860" w:hanging="44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E8F07B6"/>
    <w:multiLevelType w:val="hybridMultilevel"/>
    <w:tmpl w:val="30F23D5C"/>
    <w:lvl w:ilvl="0" w:tplc="07D8249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603248"/>
    <w:multiLevelType w:val="hybridMultilevel"/>
    <w:tmpl w:val="5C4E8C8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E705534"/>
    <w:multiLevelType w:val="hybridMultilevel"/>
    <w:tmpl w:val="3780AA9E"/>
    <w:lvl w:ilvl="0" w:tplc="1E749BC4">
      <w:start w:val="1"/>
      <w:numFmt w:val="decimal"/>
      <w:lvlText w:val="%1)"/>
      <w:lvlJc w:val="left"/>
      <w:pPr>
        <w:ind w:left="420" w:hanging="420"/>
      </w:pPr>
      <w:rPr>
        <w:rFonts w:asciiTheme="minorEastAsia" w:eastAsiaTheme="minorEastAsia" w:hAnsiTheme="minorEastAsia" w:cs="Times New Roman" w:hint="default"/>
        <w:sz w:val="21"/>
        <w:szCs w:val="21"/>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2"/>
  </w:num>
  <w:num w:numId="6">
    <w:abstractNumId w:val="0"/>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4A42"/>
    <w:rsid w:val="000074CB"/>
    <w:rsid w:val="00011D6B"/>
    <w:rsid w:val="00015D16"/>
    <w:rsid w:val="00023C0C"/>
    <w:rsid w:val="00026CD9"/>
    <w:rsid w:val="00032A16"/>
    <w:rsid w:val="000332B1"/>
    <w:rsid w:val="000400AE"/>
    <w:rsid w:val="00042537"/>
    <w:rsid w:val="00051B9D"/>
    <w:rsid w:val="000542A8"/>
    <w:rsid w:val="00055678"/>
    <w:rsid w:val="00056E2F"/>
    <w:rsid w:val="00061659"/>
    <w:rsid w:val="00062806"/>
    <w:rsid w:val="00062858"/>
    <w:rsid w:val="00065E2F"/>
    <w:rsid w:val="00071BB2"/>
    <w:rsid w:val="00072601"/>
    <w:rsid w:val="0007341C"/>
    <w:rsid w:val="00074EB4"/>
    <w:rsid w:val="00076759"/>
    <w:rsid w:val="00080324"/>
    <w:rsid w:val="00084791"/>
    <w:rsid w:val="00092AD5"/>
    <w:rsid w:val="000931DC"/>
    <w:rsid w:val="00094737"/>
    <w:rsid w:val="00096A6D"/>
    <w:rsid w:val="000A153F"/>
    <w:rsid w:val="000A1FB3"/>
    <w:rsid w:val="000B019E"/>
    <w:rsid w:val="000B27B1"/>
    <w:rsid w:val="000B2C1A"/>
    <w:rsid w:val="000B3264"/>
    <w:rsid w:val="000B374D"/>
    <w:rsid w:val="000B3E4A"/>
    <w:rsid w:val="000C18C3"/>
    <w:rsid w:val="000C37A2"/>
    <w:rsid w:val="000C38C6"/>
    <w:rsid w:val="000D20B9"/>
    <w:rsid w:val="000D274E"/>
    <w:rsid w:val="000D4B73"/>
    <w:rsid w:val="000D7EBC"/>
    <w:rsid w:val="000E0856"/>
    <w:rsid w:val="000E5499"/>
    <w:rsid w:val="000E664E"/>
    <w:rsid w:val="000F4621"/>
    <w:rsid w:val="000F6BB5"/>
    <w:rsid w:val="000F7FB5"/>
    <w:rsid w:val="00100379"/>
    <w:rsid w:val="001009E7"/>
    <w:rsid w:val="00101CFB"/>
    <w:rsid w:val="001036AC"/>
    <w:rsid w:val="0010756D"/>
    <w:rsid w:val="0011500E"/>
    <w:rsid w:val="00115020"/>
    <w:rsid w:val="00115337"/>
    <w:rsid w:val="0011680A"/>
    <w:rsid w:val="00120562"/>
    <w:rsid w:val="001214B7"/>
    <w:rsid w:val="00124B1C"/>
    <w:rsid w:val="0012515E"/>
    <w:rsid w:val="001260C4"/>
    <w:rsid w:val="001317CE"/>
    <w:rsid w:val="00131E6D"/>
    <w:rsid w:val="001331DD"/>
    <w:rsid w:val="00142220"/>
    <w:rsid w:val="0014260B"/>
    <w:rsid w:val="00145572"/>
    <w:rsid w:val="00145C29"/>
    <w:rsid w:val="00147EEC"/>
    <w:rsid w:val="001529BE"/>
    <w:rsid w:val="00152D89"/>
    <w:rsid w:val="001613F6"/>
    <w:rsid w:val="001616F7"/>
    <w:rsid w:val="00161BC7"/>
    <w:rsid w:val="0016481C"/>
    <w:rsid w:val="001677AD"/>
    <w:rsid w:val="00173459"/>
    <w:rsid w:val="001742DE"/>
    <w:rsid w:val="001765C4"/>
    <w:rsid w:val="001806A0"/>
    <w:rsid w:val="001843B0"/>
    <w:rsid w:val="00197730"/>
    <w:rsid w:val="001A13C3"/>
    <w:rsid w:val="001A3F87"/>
    <w:rsid w:val="001A666F"/>
    <w:rsid w:val="001B39E4"/>
    <w:rsid w:val="001B4732"/>
    <w:rsid w:val="001B60D9"/>
    <w:rsid w:val="001C1C07"/>
    <w:rsid w:val="001D69CB"/>
    <w:rsid w:val="001D78EE"/>
    <w:rsid w:val="001E468D"/>
    <w:rsid w:val="001E66A2"/>
    <w:rsid w:val="001E67FE"/>
    <w:rsid w:val="001F29BF"/>
    <w:rsid w:val="001F4CEB"/>
    <w:rsid w:val="001F5B8F"/>
    <w:rsid w:val="001F6B34"/>
    <w:rsid w:val="00200DEC"/>
    <w:rsid w:val="0020735F"/>
    <w:rsid w:val="002151E5"/>
    <w:rsid w:val="00216C38"/>
    <w:rsid w:val="00220867"/>
    <w:rsid w:val="00221C60"/>
    <w:rsid w:val="002251DC"/>
    <w:rsid w:val="00226812"/>
    <w:rsid w:val="00227F5F"/>
    <w:rsid w:val="002303C0"/>
    <w:rsid w:val="00231CCD"/>
    <w:rsid w:val="0023602A"/>
    <w:rsid w:val="00242AA7"/>
    <w:rsid w:val="0024442A"/>
    <w:rsid w:val="002533EA"/>
    <w:rsid w:val="002538AE"/>
    <w:rsid w:val="00264AA7"/>
    <w:rsid w:val="00264D48"/>
    <w:rsid w:val="002654F1"/>
    <w:rsid w:val="002705A7"/>
    <w:rsid w:val="002806E6"/>
    <w:rsid w:val="0028793C"/>
    <w:rsid w:val="0029510A"/>
    <w:rsid w:val="0029590B"/>
    <w:rsid w:val="0029605C"/>
    <w:rsid w:val="002A4270"/>
    <w:rsid w:val="002A7169"/>
    <w:rsid w:val="002A7EFC"/>
    <w:rsid w:val="002B1842"/>
    <w:rsid w:val="002B29A9"/>
    <w:rsid w:val="002B29DB"/>
    <w:rsid w:val="002B3F41"/>
    <w:rsid w:val="002C30E6"/>
    <w:rsid w:val="002C55C2"/>
    <w:rsid w:val="002C785E"/>
    <w:rsid w:val="002D24A2"/>
    <w:rsid w:val="002D5E22"/>
    <w:rsid w:val="002D5F25"/>
    <w:rsid w:val="002D7E23"/>
    <w:rsid w:val="002E1455"/>
    <w:rsid w:val="002E601A"/>
    <w:rsid w:val="002E6722"/>
    <w:rsid w:val="002F07F6"/>
    <w:rsid w:val="002F1495"/>
    <w:rsid w:val="002F1F71"/>
    <w:rsid w:val="002F2D9D"/>
    <w:rsid w:val="002F4D25"/>
    <w:rsid w:val="002F66B3"/>
    <w:rsid w:val="00301D6D"/>
    <w:rsid w:val="00301D6F"/>
    <w:rsid w:val="00302801"/>
    <w:rsid w:val="00304B1E"/>
    <w:rsid w:val="00304D56"/>
    <w:rsid w:val="00305E6C"/>
    <w:rsid w:val="00310129"/>
    <w:rsid w:val="00310414"/>
    <w:rsid w:val="00315BBF"/>
    <w:rsid w:val="0032389B"/>
    <w:rsid w:val="0032440C"/>
    <w:rsid w:val="003245DF"/>
    <w:rsid w:val="003262DF"/>
    <w:rsid w:val="00326C76"/>
    <w:rsid w:val="00340D03"/>
    <w:rsid w:val="00340EA4"/>
    <w:rsid w:val="0034602D"/>
    <w:rsid w:val="00346719"/>
    <w:rsid w:val="00347D54"/>
    <w:rsid w:val="0035494A"/>
    <w:rsid w:val="0035574B"/>
    <w:rsid w:val="0036138C"/>
    <w:rsid w:val="00361A37"/>
    <w:rsid w:val="00365D1F"/>
    <w:rsid w:val="00365D61"/>
    <w:rsid w:val="0036765B"/>
    <w:rsid w:val="00370608"/>
    <w:rsid w:val="003745F5"/>
    <w:rsid w:val="00375CBF"/>
    <w:rsid w:val="00383D1A"/>
    <w:rsid w:val="00385A75"/>
    <w:rsid w:val="00387E2C"/>
    <w:rsid w:val="00392F42"/>
    <w:rsid w:val="00393A2F"/>
    <w:rsid w:val="00394C43"/>
    <w:rsid w:val="003A025D"/>
    <w:rsid w:val="003A06A1"/>
    <w:rsid w:val="003A195D"/>
    <w:rsid w:val="003A2A97"/>
    <w:rsid w:val="003B1970"/>
    <w:rsid w:val="003B5A14"/>
    <w:rsid w:val="003B5D31"/>
    <w:rsid w:val="003B788E"/>
    <w:rsid w:val="003B7B19"/>
    <w:rsid w:val="003C106E"/>
    <w:rsid w:val="003C2BC6"/>
    <w:rsid w:val="003C3BD4"/>
    <w:rsid w:val="003E17E1"/>
    <w:rsid w:val="003E1882"/>
    <w:rsid w:val="003E4A5F"/>
    <w:rsid w:val="003F0C1D"/>
    <w:rsid w:val="003F20BE"/>
    <w:rsid w:val="003F3203"/>
    <w:rsid w:val="003F6115"/>
    <w:rsid w:val="003F78E2"/>
    <w:rsid w:val="003F7A06"/>
    <w:rsid w:val="004001C2"/>
    <w:rsid w:val="004007A9"/>
    <w:rsid w:val="004016A9"/>
    <w:rsid w:val="00403ECE"/>
    <w:rsid w:val="00407728"/>
    <w:rsid w:val="00412B61"/>
    <w:rsid w:val="004223BA"/>
    <w:rsid w:val="00424F55"/>
    <w:rsid w:val="0042623B"/>
    <w:rsid w:val="0043214F"/>
    <w:rsid w:val="00440494"/>
    <w:rsid w:val="004410B0"/>
    <w:rsid w:val="004433A1"/>
    <w:rsid w:val="0044385F"/>
    <w:rsid w:val="00456D35"/>
    <w:rsid w:val="00462A32"/>
    <w:rsid w:val="00463E0E"/>
    <w:rsid w:val="00477763"/>
    <w:rsid w:val="004810DF"/>
    <w:rsid w:val="00482579"/>
    <w:rsid w:val="00482A27"/>
    <w:rsid w:val="00482E86"/>
    <w:rsid w:val="00483509"/>
    <w:rsid w:val="00483789"/>
    <w:rsid w:val="00490DEF"/>
    <w:rsid w:val="004927D2"/>
    <w:rsid w:val="00493DB2"/>
    <w:rsid w:val="0049522D"/>
    <w:rsid w:val="00496777"/>
    <w:rsid w:val="00496EE7"/>
    <w:rsid w:val="004A1BAE"/>
    <w:rsid w:val="004A41F0"/>
    <w:rsid w:val="004A42BB"/>
    <w:rsid w:val="004A5C04"/>
    <w:rsid w:val="004A5C1A"/>
    <w:rsid w:val="004B2E13"/>
    <w:rsid w:val="004B5B14"/>
    <w:rsid w:val="004B7D64"/>
    <w:rsid w:val="004C3159"/>
    <w:rsid w:val="004D125D"/>
    <w:rsid w:val="004D14F4"/>
    <w:rsid w:val="004D4679"/>
    <w:rsid w:val="004D4C05"/>
    <w:rsid w:val="004D5D6C"/>
    <w:rsid w:val="004D6AA4"/>
    <w:rsid w:val="004E0BF7"/>
    <w:rsid w:val="004E4281"/>
    <w:rsid w:val="004E4A83"/>
    <w:rsid w:val="004E5C29"/>
    <w:rsid w:val="004E7E53"/>
    <w:rsid w:val="00503DA0"/>
    <w:rsid w:val="0050620C"/>
    <w:rsid w:val="00507083"/>
    <w:rsid w:val="005164B3"/>
    <w:rsid w:val="00517E01"/>
    <w:rsid w:val="005225E1"/>
    <w:rsid w:val="0052445B"/>
    <w:rsid w:val="005262B7"/>
    <w:rsid w:val="00531183"/>
    <w:rsid w:val="005312DC"/>
    <w:rsid w:val="00533D10"/>
    <w:rsid w:val="00541331"/>
    <w:rsid w:val="005422C6"/>
    <w:rsid w:val="0054348C"/>
    <w:rsid w:val="0054403D"/>
    <w:rsid w:val="00544139"/>
    <w:rsid w:val="00544901"/>
    <w:rsid w:val="00553798"/>
    <w:rsid w:val="00562C5F"/>
    <w:rsid w:val="00571CA0"/>
    <w:rsid w:val="005735C0"/>
    <w:rsid w:val="00576193"/>
    <w:rsid w:val="005865AB"/>
    <w:rsid w:val="00590DF1"/>
    <w:rsid w:val="00593E6C"/>
    <w:rsid w:val="005A0939"/>
    <w:rsid w:val="005A1B20"/>
    <w:rsid w:val="005A480F"/>
    <w:rsid w:val="005A5F89"/>
    <w:rsid w:val="005B0287"/>
    <w:rsid w:val="005B18A9"/>
    <w:rsid w:val="005B24CA"/>
    <w:rsid w:val="005B47D7"/>
    <w:rsid w:val="005B57D2"/>
    <w:rsid w:val="005C3F01"/>
    <w:rsid w:val="005C7781"/>
    <w:rsid w:val="005D1F39"/>
    <w:rsid w:val="005D3BEC"/>
    <w:rsid w:val="005D442D"/>
    <w:rsid w:val="005D74A4"/>
    <w:rsid w:val="005D7D96"/>
    <w:rsid w:val="005E0A72"/>
    <w:rsid w:val="005E42F8"/>
    <w:rsid w:val="005E57E1"/>
    <w:rsid w:val="005E6810"/>
    <w:rsid w:val="005F49EC"/>
    <w:rsid w:val="00600038"/>
    <w:rsid w:val="006001C6"/>
    <w:rsid w:val="00601676"/>
    <w:rsid w:val="00606960"/>
    <w:rsid w:val="006100A9"/>
    <w:rsid w:val="00610C16"/>
    <w:rsid w:val="00616068"/>
    <w:rsid w:val="006262EF"/>
    <w:rsid w:val="00630318"/>
    <w:rsid w:val="0063147A"/>
    <w:rsid w:val="006349A0"/>
    <w:rsid w:val="00634E9E"/>
    <w:rsid w:val="00644744"/>
    <w:rsid w:val="00651C53"/>
    <w:rsid w:val="00652185"/>
    <w:rsid w:val="00653AD7"/>
    <w:rsid w:val="00655B56"/>
    <w:rsid w:val="0065738B"/>
    <w:rsid w:val="006626FF"/>
    <w:rsid w:val="00665330"/>
    <w:rsid w:val="00667F33"/>
    <w:rsid w:val="0067016C"/>
    <w:rsid w:val="006722CF"/>
    <w:rsid w:val="00673E35"/>
    <w:rsid w:val="00681FA6"/>
    <w:rsid w:val="00684824"/>
    <w:rsid w:val="0068499F"/>
    <w:rsid w:val="00685049"/>
    <w:rsid w:val="006864EC"/>
    <w:rsid w:val="00690EB4"/>
    <w:rsid w:val="00690FDA"/>
    <w:rsid w:val="00694974"/>
    <w:rsid w:val="006A2022"/>
    <w:rsid w:val="006A39ED"/>
    <w:rsid w:val="006A43D3"/>
    <w:rsid w:val="006B6F4C"/>
    <w:rsid w:val="006C194A"/>
    <w:rsid w:val="006C7137"/>
    <w:rsid w:val="006D2027"/>
    <w:rsid w:val="006D2250"/>
    <w:rsid w:val="006D2B1D"/>
    <w:rsid w:val="006D381B"/>
    <w:rsid w:val="006D534A"/>
    <w:rsid w:val="006D7684"/>
    <w:rsid w:val="006E1C17"/>
    <w:rsid w:val="006E31D4"/>
    <w:rsid w:val="006E37B6"/>
    <w:rsid w:val="006E58F3"/>
    <w:rsid w:val="006E7E6E"/>
    <w:rsid w:val="006F17A0"/>
    <w:rsid w:val="006F520E"/>
    <w:rsid w:val="006F6C1B"/>
    <w:rsid w:val="00700E12"/>
    <w:rsid w:val="00705A29"/>
    <w:rsid w:val="0070669D"/>
    <w:rsid w:val="007068A1"/>
    <w:rsid w:val="0071483C"/>
    <w:rsid w:val="00727287"/>
    <w:rsid w:val="0073028C"/>
    <w:rsid w:val="007326C4"/>
    <w:rsid w:val="00742BC9"/>
    <w:rsid w:val="00742F7D"/>
    <w:rsid w:val="00753BD2"/>
    <w:rsid w:val="0075644D"/>
    <w:rsid w:val="00757298"/>
    <w:rsid w:val="00757344"/>
    <w:rsid w:val="00760504"/>
    <w:rsid w:val="00762A61"/>
    <w:rsid w:val="00762C12"/>
    <w:rsid w:val="00764E55"/>
    <w:rsid w:val="007679D4"/>
    <w:rsid w:val="00773882"/>
    <w:rsid w:val="007814D3"/>
    <w:rsid w:val="007832C8"/>
    <w:rsid w:val="00790661"/>
    <w:rsid w:val="00791E41"/>
    <w:rsid w:val="00794379"/>
    <w:rsid w:val="00797CE1"/>
    <w:rsid w:val="007A2E2D"/>
    <w:rsid w:val="007A6386"/>
    <w:rsid w:val="007B3D70"/>
    <w:rsid w:val="007B4DF6"/>
    <w:rsid w:val="007C0384"/>
    <w:rsid w:val="007C16EB"/>
    <w:rsid w:val="007C32A8"/>
    <w:rsid w:val="007C5AB8"/>
    <w:rsid w:val="007C799F"/>
    <w:rsid w:val="007C7AFE"/>
    <w:rsid w:val="007D26A9"/>
    <w:rsid w:val="007D26DD"/>
    <w:rsid w:val="007D5C83"/>
    <w:rsid w:val="007E0C9C"/>
    <w:rsid w:val="007E2051"/>
    <w:rsid w:val="007E3BC2"/>
    <w:rsid w:val="007E62CB"/>
    <w:rsid w:val="007F0552"/>
    <w:rsid w:val="007F16C4"/>
    <w:rsid w:val="007F6C72"/>
    <w:rsid w:val="008032AA"/>
    <w:rsid w:val="008033A9"/>
    <w:rsid w:val="0080395C"/>
    <w:rsid w:val="0080398C"/>
    <w:rsid w:val="008068B8"/>
    <w:rsid w:val="00807496"/>
    <w:rsid w:val="0080760E"/>
    <w:rsid w:val="00812D4E"/>
    <w:rsid w:val="008175D4"/>
    <w:rsid w:val="00826277"/>
    <w:rsid w:val="0082684C"/>
    <w:rsid w:val="00841EC1"/>
    <w:rsid w:val="0084314D"/>
    <w:rsid w:val="008450FC"/>
    <w:rsid w:val="00850B72"/>
    <w:rsid w:val="00850BE9"/>
    <w:rsid w:val="008530DF"/>
    <w:rsid w:val="008542BB"/>
    <w:rsid w:val="00854F86"/>
    <w:rsid w:val="008562A2"/>
    <w:rsid w:val="00856E29"/>
    <w:rsid w:val="0086278A"/>
    <w:rsid w:val="008635B2"/>
    <w:rsid w:val="00871CE6"/>
    <w:rsid w:val="00871E71"/>
    <w:rsid w:val="0087352A"/>
    <w:rsid w:val="0087434E"/>
    <w:rsid w:val="00874F93"/>
    <w:rsid w:val="00876427"/>
    <w:rsid w:val="00877F36"/>
    <w:rsid w:val="0089037D"/>
    <w:rsid w:val="00893CF0"/>
    <w:rsid w:val="00894935"/>
    <w:rsid w:val="00896813"/>
    <w:rsid w:val="0089681A"/>
    <w:rsid w:val="008A111B"/>
    <w:rsid w:val="008A2C27"/>
    <w:rsid w:val="008A7A49"/>
    <w:rsid w:val="008B0DF2"/>
    <w:rsid w:val="008B34DB"/>
    <w:rsid w:val="008B5F66"/>
    <w:rsid w:val="008B60B0"/>
    <w:rsid w:val="008B6741"/>
    <w:rsid w:val="008C0F25"/>
    <w:rsid w:val="008C1525"/>
    <w:rsid w:val="008C1608"/>
    <w:rsid w:val="008C2AAC"/>
    <w:rsid w:val="008C50D3"/>
    <w:rsid w:val="008C78B8"/>
    <w:rsid w:val="008D42E9"/>
    <w:rsid w:val="008D4F05"/>
    <w:rsid w:val="008D74F1"/>
    <w:rsid w:val="008E1177"/>
    <w:rsid w:val="008E4345"/>
    <w:rsid w:val="008E6892"/>
    <w:rsid w:val="008F38CF"/>
    <w:rsid w:val="008F550D"/>
    <w:rsid w:val="00901D54"/>
    <w:rsid w:val="0090482E"/>
    <w:rsid w:val="00906A58"/>
    <w:rsid w:val="00906F00"/>
    <w:rsid w:val="00911553"/>
    <w:rsid w:val="0092076B"/>
    <w:rsid w:val="00920FA7"/>
    <w:rsid w:val="00923FD2"/>
    <w:rsid w:val="009249DB"/>
    <w:rsid w:val="009252FE"/>
    <w:rsid w:val="0093284D"/>
    <w:rsid w:val="00934B42"/>
    <w:rsid w:val="00941343"/>
    <w:rsid w:val="00941787"/>
    <w:rsid w:val="00944B65"/>
    <w:rsid w:val="009500CC"/>
    <w:rsid w:val="0095205E"/>
    <w:rsid w:val="009535C6"/>
    <w:rsid w:val="00956D45"/>
    <w:rsid w:val="00960D3D"/>
    <w:rsid w:val="0096526A"/>
    <w:rsid w:val="0096584A"/>
    <w:rsid w:val="009703E7"/>
    <w:rsid w:val="0097750F"/>
    <w:rsid w:val="00977C52"/>
    <w:rsid w:val="00977C9B"/>
    <w:rsid w:val="0098177C"/>
    <w:rsid w:val="0098194A"/>
    <w:rsid w:val="0098275B"/>
    <w:rsid w:val="00984550"/>
    <w:rsid w:val="0098560E"/>
    <w:rsid w:val="00986B4A"/>
    <w:rsid w:val="00991C46"/>
    <w:rsid w:val="00996720"/>
    <w:rsid w:val="009A1CF8"/>
    <w:rsid w:val="009A20FB"/>
    <w:rsid w:val="009A2923"/>
    <w:rsid w:val="009A5160"/>
    <w:rsid w:val="009A61D0"/>
    <w:rsid w:val="009B0B93"/>
    <w:rsid w:val="009B3D01"/>
    <w:rsid w:val="009B4686"/>
    <w:rsid w:val="009B46C7"/>
    <w:rsid w:val="009B679B"/>
    <w:rsid w:val="009B7361"/>
    <w:rsid w:val="009C1E36"/>
    <w:rsid w:val="009C4560"/>
    <w:rsid w:val="009C67D8"/>
    <w:rsid w:val="009D0A7C"/>
    <w:rsid w:val="009D3370"/>
    <w:rsid w:val="009D5170"/>
    <w:rsid w:val="009D6552"/>
    <w:rsid w:val="009D6E9E"/>
    <w:rsid w:val="009D794A"/>
    <w:rsid w:val="009E0093"/>
    <w:rsid w:val="009E0621"/>
    <w:rsid w:val="009E0C5A"/>
    <w:rsid w:val="009E2CA9"/>
    <w:rsid w:val="009E74BB"/>
    <w:rsid w:val="009F0E80"/>
    <w:rsid w:val="009F174D"/>
    <w:rsid w:val="009F1FD5"/>
    <w:rsid w:val="009F2999"/>
    <w:rsid w:val="009F58D8"/>
    <w:rsid w:val="009F710F"/>
    <w:rsid w:val="00A050A6"/>
    <w:rsid w:val="00A05D70"/>
    <w:rsid w:val="00A07C81"/>
    <w:rsid w:val="00A15347"/>
    <w:rsid w:val="00A15537"/>
    <w:rsid w:val="00A1714B"/>
    <w:rsid w:val="00A2346F"/>
    <w:rsid w:val="00A25218"/>
    <w:rsid w:val="00A25F77"/>
    <w:rsid w:val="00A31DD6"/>
    <w:rsid w:val="00A34FF0"/>
    <w:rsid w:val="00A41DC5"/>
    <w:rsid w:val="00A43D1F"/>
    <w:rsid w:val="00A47DFA"/>
    <w:rsid w:val="00A51207"/>
    <w:rsid w:val="00A52E5D"/>
    <w:rsid w:val="00A54C08"/>
    <w:rsid w:val="00A62F12"/>
    <w:rsid w:val="00A63F8F"/>
    <w:rsid w:val="00A70804"/>
    <w:rsid w:val="00A708C0"/>
    <w:rsid w:val="00A71A92"/>
    <w:rsid w:val="00A72DD9"/>
    <w:rsid w:val="00A73F29"/>
    <w:rsid w:val="00A74A91"/>
    <w:rsid w:val="00A80D57"/>
    <w:rsid w:val="00A812DA"/>
    <w:rsid w:val="00A8234A"/>
    <w:rsid w:val="00A872FF"/>
    <w:rsid w:val="00A906E8"/>
    <w:rsid w:val="00A93B88"/>
    <w:rsid w:val="00A95B2A"/>
    <w:rsid w:val="00AA107B"/>
    <w:rsid w:val="00AA12EF"/>
    <w:rsid w:val="00AA6484"/>
    <w:rsid w:val="00AA6EE3"/>
    <w:rsid w:val="00AB0E41"/>
    <w:rsid w:val="00AB1593"/>
    <w:rsid w:val="00AB6CB2"/>
    <w:rsid w:val="00AB7D5A"/>
    <w:rsid w:val="00AC0405"/>
    <w:rsid w:val="00AC164F"/>
    <w:rsid w:val="00AC1BEC"/>
    <w:rsid w:val="00AC231E"/>
    <w:rsid w:val="00AC4306"/>
    <w:rsid w:val="00AC5262"/>
    <w:rsid w:val="00AC7E69"/>
    <w:rsid w:val="00AD23FE"/>
    <w:rsid w:val="00AD28E3"/>
    <w:rsid w:val="00AD66C8"/>
    <w:rsid w:val="00AD73FC"/>
    <w:rsid w:val="00AD7A5C"/>
    <w:rsid w:val="00AD7CA1"/>
    <w:rsid w:val="00AE247F"/>
    <w:rsid w:val="00AF1E27"/>
    <w:rsid w:val="00AF21DF"/>
    <w:rsid w:val="00B05E23"/>
    <w:rsid w:val="00B129C0"/>
    <w:rsid w:val="00B15B63"/>
    <w:rsid w:val="00B2065D"/>
    <w:rsid w:val="00B22146"/>
    <w:rsid w:val="00B270B6"/>
    <w:rsid w:val="00B30430"/>
    <w:rsid w:val="00B30D1D"/>
    <w:rsid w:val="00B3116F"/>
    <w:rsid w:val="00B31367"/>
    <w:rsid w:val="00B320D1"/>
    <w:rsid w:val="00B35BD2"/>
    <w:rsid w:val="00B421B2"/>
    <w:rsid w:val="00B44089"/>
    <w:rsid w:val="00B53907"/>
    <w:rsid w:val="00B63BB7"/>
    <w:rsid w:val="00B6662E"/>
    <w:rsid w:val="00B66976"/>
    <w:rsid w:val="00B67182"/>
    <w:rsid w:val="00B7051F"/>
    <w:rsid w:val="00B715B7"/>
    <w:rsid w:val="00B7733A"/>
    <w:rsid w:val="00B824EF"/>
    <w:rsid w:val="00B84AC1"/>
    <w:rsid w:val="00B857BC"/>
    <w:rsid w:val="00B87618"/>
    <w:rsid w:val="00B877D7"/>
    <w:rsid w:val="00B924D8"/>
    <w:rsid w:val="00B9387B"/>
    <w:rsid w:val="00B94F38"/>
    <w:rsid w:val="00B94FD3"/>
    <w:rsid w:val="00B9606E"/>
    <w:rsid w:val="00BA1162"/>
    <w:rsid w:val="00BA45F1"/>
    <w:rsid w:val="00BA4690"/>
    <w:rsid w:val="00BB2927"/>
    <w:rsid w:val="00BB5091"/>
    <w:rsid w:val="00BB7854"/>
    <w:rsid w:val="00BC02D0"/>
    <w:rsid w:val="00BC0B26"/>
    <w:rsid w:val="00BC544F"/>
    <w:rsid w:val="00BC59A3"/>
    <w:rsid w:val="00BE3E49"/>
    <w:rsid w:val="00BE6126"/>
    <w:rsid w:val="00BE641D"/>
    <w:rsid w:val="00BF04B2"/>
    <w:rsid w:val="00BF14EF"/>
    <w:rsid w:val="00BF2FF3"/>
    <w:rsid w:val="00BF3813"/>
    <w:rsid w:val="00BF614D"/>
    <w:rsid w:val="00C07481"/>
    <w:rsid w:val="00C12948"/>
    <w:rsid w:val="00C130C9"/>
    <w:rsid w:val="00C20440"/>
    <w:rsid w:val="00C22D06"/>
    <w:rsid w:val="00C2384A"/>
    <w:rsid w:val="00C25B05"/>
    <w:rsid w:val="00C342DF"/>
    <w:rsid w:val="00C37BF5"/>
    <w:rsid w:val="00C410AE"/>
    <w:rsid w:val="00C41522"/>
    <w:rsid w:val="00C4156F"/>
    <w:rsid w:val="00C43B7A"/>
    <w:rsid w:val="00C44A42"/>
    <w:rsid w:val="00C453B1"/>
    <w:rsid w:val="00C45773"/>
    <w:rsid w:val="00C512CA"/>
    <w:rsid w:val="00C567F3"/>
    <w:rsid w:val="00C574F1"/>
    <w:rsid w:val="00C6028F"/>
    <w:rsid w:val="00C608B4"/>
    <w:rsid w:val="00C62EDE"/>
    <w:rsid w:val="00C6517A"/>
    <w:rsid w:val="00C6534F"/>
    <w:rsid w:val="00C6621E"/>
    <w:rsid w:val="00C673E1"/>
    <w:rsid w:val="00C674CC"/>
    <w:rsid w:val="00C81B1C"/>
    <w:rsid w:val="00C8368A"/>
    <w:rsid w:val="00C83B3B"/>
    <w:rsid w:val="00C93873"/>
    <w:rsid w:val="00CA312C"/>
    <w:rsid w:val="00CA34ED"/>
    <w:rsid w:val="00CA350F"/>
    <w:rsid w:val="00CA434A"/>
    <w:rsid w:val="00CA4375"/>
    <w:rsid w:val="00CB0815"/>
    <w:rsid w:val="00CB0939"/>
    <w:rsid w:val="00CB3915"/>
    <w:rsid w:val="00CB6425"/>
    <w:rsid w:val="00CB66CA"/>
    <w:rsid w:val="00CC0517"/>
    <w:rsid w:val="00CC2E9A"/>
    <w:rsid w:val="00CC6139"/>
    <w:rsid w:val="00CC6BA8"/>
    <w:rsid w:val="00CD5C06"/>
    <w:rsid w:val="00CD681C"/>
    <w:rsid w:val="00CD7828"/>
    <w:rsid w:val="00CE215D"/>
    <w:rsid w:val="00CE31D8"/>
    <w:rsid w:val="00CE733E"/>
    <w:rsid w:val="00CF1189"/>
    <w:rsid w:val="00CF2E03"/>
    <w:rsid w:val="00CF5D32"/>
    <w:rsid w:val="00CF5E50"/>
    <w:rsid w:val="00CF5FC7"/>
    <w:rsid w:val="00CF60D5"/>
    <w:rsid w:val="00CF7B43"/>
    <w:rsid w:val="00D025E6"/>
    <w:rsid w:val="00D055D0"/>
    <w:rsid w:val="00D057E8"/>
    <w:rsid w:val="00D1177F"/>
    <w:rsid w:val="00D12197"/>
    <w:rsid w:val="00D124D3"/>
    <w:rsid w:val="00D17462"/>
    <w:rsid w:val="00D23D05"/>
    <w:rsid w:val="00D2478D"/>
    <w:rsid w:val="00D25A89"/>
    <w:rsid w:val="00D31571"/>
    <w:rsid w:val="00D35224"/>
    <w:rsid w:val="00D41266"/>
    <w:rsid w:val="00D427D7"/>
    <w:rsid w:val="00D44733"/>
    <w:rsid w:val="00D4624F"/>
    <w:rsid w:val="00D56E1E"/>
    <w:rsid w:val="00D56FBD"/>
    <w:rsid w:val="00D6220C"/>
    <w:rsid w:val="00D62F24"/>
    <w:rsid w:val="00D64D8F"/>
    <w:rsid w:val="00D658F2"/>
    <w:rsid w:val="00D67903"/>
    <w:rsid w:val="00D703C0"/>
    <w:rsid w:val="00D70D94"/>
    <w:rsid w:val="00D730B3"/>
    <w:rsid w:val="00D764D8"/>
    <w:rsid w:val="00D768B2"/>
    <w:rsid w:val="00D8412E"/>
    <w:rsid w:val="00D847C6"/>
    <w:rsid w:val="00D84988"/>
    <w:rsid w:val="00D84D45"/>
    <w:rsid w:val="00D85041"/>
    <w:rsid w:val="00D85229"/>
    <w:rsid w:val="00D9014C"/>
    <w:rsid w:val="00D91F64"/>
    <w:rsid w:val="00DA0176"/>
    <w:rsid w:val="00DA18C4"/>
    <w:rsid w:val="00DA2D07"/>
    <w:rsid w:val="00DA6F46"/>
    <w:rsid w:val="00DA7DE4"/>
    <w:rsid w:val="00DB0F3E"/>
    <w:rsid w:val="00DB23FC"/>
    <w:rsid w:val="00DB2EDF"/>
    <w:rsid w:val="00DB39EC"/>
    <w:rsid w:val="00DB3F3A"/>
    <w:rsid w:val="00DB422A"/>
    <w:rsid w:val="00DD0CE7"/>
    <w:rsid w:val="00DD1B2A"/>
    <w:rsid w:val="00DD5FF2"/>
    <w:rsid w:val="00DE4625"/>
    <w:rsid w:val="00DE4CAE"/>
    <w:rsid w:val="00DE6E7D"/>
    <w:rsid w:val="00DE6FBB"/>
    <w:rsid w:val="00DF5C9F"/>
    <w:rsid w:val="00E0104C"/>
    <w:rsid w:val="00E02B6C"/>
    <w:rsid w:val="00E04C08"/>
    <w:rsid w:val="00E056A1"/>
    <w:rsid w:val="00E05F24"/>
    <w:rsid w:val="00E0603F"/>
    <w:rsid w:val="00E11CCA"/>
    <w:rsid w:val="00E12578"/>
    <w:rsid w:val="00E1438C"/>
    <w:rsid w:val="00E21F4D"/>
    <w:rsid w:val="00E223E2"/>
    <w:rsid w:val="00E23064"/>
    <w:rsid w:val="00E23260"/>
    <w:rsid w:val="00E2386E"/>
    <w:rsid w:val="00E2679E"/>
    <w:rsid w:val="00E27EDE"/>
    <w:rsid w:val="00E3113C"/>
    <w:rsid w:val="00E32C4C"/>
    <w:rsid w:val="00E34A74"/>
    <w:rsid w:val="00E34BC0"/>
    <w:rsid w:val="00E44FB0"/>
    <w:rsid w:val="00E45006"/>
    <w:rsid w:val="00E45B09"/>
    <w:rsid w:val="00E47FEF"/>
    <w:rsid w:val="00E519EA"/>
    <w:rsid w:val="00E52F5D"/>
    <w:rsid w:val="00E62EEE"/>
    <w:rsid w:val="00E64742"/>
    <w:rsid w:val="00E65ED0"/>
    <w:rsid w:val="00E67291"/>
    <w:rsid w:val="00E705A7"/>
    <w:rsid w:val="00E70BF3"/>
    <w:rsid w:val="00E72707"/>
    <w:rsid w:val="00E72EEC"/>
    <w:rsid w:val="00E75570"/>
    <w:rsid w:val="00E90F7D"/>
    <w:rsid w:val="00E95772"/>
    <w:rsid w:val="00EA0D4C"/>
    <w:rsid w:val="00EA2479"/>
    <w:rsid w:val="00EA3417"/>
    <w:rsid w:val="00EA3A90"/>
    <w:rsid w:val="00EA58FC"/>
    <w:rsid w:val="00EA5BC7"/>
    <w:rsid w:val="00EC37D7"/>
    <w:rsid w:val="00EC57B7"/>
    <w:rsid w:val="00ED00F3"/>
    <w:rsid w:val="00ED1C7A"/>
    <w:rsid w:val="00ED62EC"/>
    <w:rsid w:val="00ED7513"/>
    <w:rsid w:val="00EE0FD2"/>
    <w:rsid w:val="00EE3656"/>
    <w:rsid w:val="00EE4117"/>
    <w:rsid w:val="00EF062A"/>
    <w:rsid w:val="00EF453F"/>
    <w:rsid w:val="00EF4852"/>
    <w:rsid w:val="00EF4D33"/>
    <w:rsid w:val="00EF5B1F"/>
    <w:rsid w:val="00EF5B59"/>
    <w:rsid w:val="00EF5FE5"/>
    <w:rsid w:val="00EF6ED0"/>
    <w:rsid w:val="00F00E67"/>
    <w:rsid w:val="00F0206D"/>
    <w:rsid w:val="00F04CA5"/>
    <w:rsid w:val="00F05E0D"/>
    <w:rsid w:val="00F10694"/>
    <w:rsid w:val="00F10CA3"/>
    <w:rsid w:val="00F16F85"/>
    <w:rsid w:val="00F22239"/>
    <w:rsid w:val="00F2435A"/>
    <w:rsid w:val="00F259D2"/>
    <w:rsid w:val="00F26455"/>
    <w:rsid w:val="00F27C3D"/>
    <w:rsid w:val="00F319F6"/>
    <w:rsid w:val="00F31F1F"/>
    <w:rsid w:val="00F335A1"/>
    <w:rsid w:val="00F36E72"/>
    <w:rsid w:val="00F45D6E"/>
    <w:rsid w:val="00F47AC1"/>
    <w:rsid w:val="00F5087E"/>
    <w:rsid w:val="00F6025E"/>
    <w:rsid w:val="00F65337"/>
    <w:rsid w:val="00F673EA"/>
    <w:rsid w:val="00F70683"/>
    <w:rsid w:val="00F71173"/>
    <w:rsid w:val="00F74995"/>
    <w:rsid w:val="00F75559"/>
    <w:rsid w:val="00F81E93"/>
    <w:rsid w:val="00F822D6"/>
    <w:rsid w:val="00F83ACE"/>
    <w:rsid w:val="00F84DD1"/>
    <w:rsid w:val="00F86D88"/>
    <w:rsid w:val="00F87192"/>
    <w:rsid w:val="00F9364E"/>
    <w:rsid w:val="00F958F7"/>
    <w:rsid w:val="00F95D8F"/>
    <w:rsid w:val="00F966AE"/>
    <w:rsid w:val="00FA001A"/>
    <w:rsid w:val="00FA3449"/>
    <w:rsid w:val="00FA441E"/>
    <w:rsid w:val="00FA4734"/>
    <w:rsid w:val="00FA4822"/>
    <w:rsid w:val="00FB0B62"/>
    <w:rsid w:val="00FC11FA"/>
    <w:rsid w:val="00FC175B"/>
    <w:rsid w:val="00FC1FB9"/>
    <w:rsid w:val="00FC3068"/>
    <w:rsid w:val="00FC469F"/>
    <w:rsid w:val="00FC6BDD"/>
    <w:rsid w:val="00FC769F"/>
    <w:rsid w:val="00FD00D1"/>
    <w:rsid w:val="00FD1C23"/>
    <w:rsid w:val="00FD2E00"/>
    <w:rsid w:val="00FD2E12"/>
    <w:rsid w:val="00FD7976"/>
    <w:rsid w:val="00FE06FC"/>
    <w:rsid w:val="00FE1E56"/>
    <w:rsid w:val="00FF3C96"/>
    <w:rsid w:val="00FF558E"/>
    <w:rsid w:val="00FF70F1"/>
    <w:rsid w:val="00FF7483"/>
    <w:rsid w:val="433A5FC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lsdException w:name="footer" w:semiHidden="0" w:unhideWhenUsed="0"/>
    <w:lsdException w:name="caption" w:qFormat="1"/>
    <w:lsdException w:name="footnote reference" w:semiHidden="0" w:unhideWhenUsed="0"/>
    <w:lsdException w:name="annotation reference" w:unhideWhenUsed="0" w:qFormat="1"/>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HTML Cite" w:uiPriority="99"/>
    <w:lsdException w:name="HTML Preformatted" w:semiHidden="0" w:unhideWhenUsed="0"/>
    <w:lsdException w:name="Normal Table" w:uiPriority="99"/>
    <w:lsdException w:name="annotation subject" w:unhideWhenUsed="0"/>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03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54403D"/>
    <w:pPr>
      <w:jc w:val="left"/>
    </w:pPr>
  </w:style>
  <w:style w:type="paragraph" w:styleId="a4">
    <w:name w:val="Balloon Text"/>
    <w:basedOn w:val="a"/>
    <w:semiHidden/>
    <w:rsid w:val="0054403D"/>
    <w:rPr>
      <w:sz w:val="18"/>
      <w:szCs w:val="18"/>
    </w:rPr>
  </w:style>
  <w:style w:type="paragraph" w:styleId="a5">
    <w:name w:val="footer"/>
    <w:basedOn w:val="a"/>
    <w:rsid w:val="0054403D"/>
    <w:pPr>
      <w:tabs>
        <w:tab w:val="center" w:pos="4153"/>
        <w:tab w:val="right" w:pos="8306"/>
      </w:tabs>
      <w:snapToGrid w:val="0"/>
      <w:jc w:val="left"/>
    </w:pPr>
    <w:rPr>
      <w:sz w:val="18"/>
      <w:szCs w:val="18"/>
    </w:rPr>
  </w:style>
  <w:style w:type="paragraph" w:styleId="a6">
    <w:name w:val="header"/>
    <w:basedOn w:val="a"/>
    <w:link w:val="Char"/>
    <w:rsid w:val="0054403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rsid w:val="005440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7">
    <w:name w:val="annotation subject"/>
    <w:basedOn w:val="a3"/>
    <w:next w:val="a3"/>
    <w:semiHidden/>
    <w:rsid w:val="0054403D"/>
    <w:rPr>
      <w:b/>
      <w:bCs/>
    </w:rPr>
  </w:style>
  <w:style w:type="table" w:styleId="a8">
    <w:name w:val="Table Grid"/>
    <w:basedOn w:val="a1"/>
    <w:qFormat/>
    <w:rsid w:val="0054403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rsid w:val="0054403D"/>
  </w:style>
  <w:style w:type="character" w:styleId="aa">
    <w:name w:val="Hyperlink"/>
    <w:basedOn w:val="a0"/>
    <w:rsid w:val="0054403D"/>
    <w:rPr>
      <w:color w:val="0000FF"/>
      <w:u w:val="single"/>
    </w:rPr>
  </w:style>
  <w:style w:type="character" w:styleId="ab">
    <w:name w:val="annotation reference"/>
    <w:basedOn w:val="a0"/>
    <w:semiHidden/>
    <w:qFormat/>
    <w:rsid w:val="0054403D"/>
    <w:rPr>
      <w:sz w:val="21"/>
      <w:szCs w:val="21"/>
    </w:rPr>
  </w:style>
  <w:style w:type="character" w:styleId="ac">
    <w:name w:val="footnote reference"/>
    <w:basedOn w:val="a0"/>
    <w:rsid w:val="0054403D"/>
    <w:rPr>
      <w:vertAlign w:val="superscript"/>
    </w:rPr>
  </w:style>
  <w:style w:type="paragraph" w:customStyle="1" w:styleId="Default">
    <w:name w:val="Default"/>
    <w:rsid w:val="0054403D"/>
    <w:pPr>
      <w:widowControl w:val="0"/>
      <w:autoSpaceDE w:val="0"/>
      <w:autoSpaceDN w:val="0"/>
      <w:adjustRightInd w:val="0"/>
    </w:pPr>
    <w:rPr>
      <w:rFonts w:ascii="宋体" w:cs="宋体"/>
      <w:color w:val="000000"/>
      <w:sz w:val="24"/>
      <w:szCs w:val="24"/>
    </w:rPr>
  </w:style>
  <w:style w:type="character" w:customStyle="1" w:styleId="Char">
    <w:name w:val="页眉 Char"/>
    <w:basedOn w:val="a0"/>
    <w:link w:val="a6"/>
    <w:rsid w:val="0054403D"/>
    <w:rPr>
      <w:kern w:val="2"/>
      <w:sz w:val="18"/>
      <w:szCs w:val="18"/>
    </w:rPr>
  </w:style>
  <w:style w:type="character" w:customStyle="1" w:styleId="txtcontent11">
    <w:name w:val="txtcontent11"/>
    <w:basedOn w:val="a0"/>
    <w:qFormat/>
    <w:rsid w:val="0054403D"/>
    <w:rPr>
      <w:rFonts w:ascii="ˎ̥" w:hAnsi="ˎ̥" w:hint="default"/>
      <w:color w:val="000000"/>
      <w:sz w:val="21"/>
      <w:szCs w:val="21"/>
    </w:rPr>
  </w:style>
  <w:style w:type="paragraph" w:customStyle="1" w:styleId="CharCharCharCharCharCharChar">
    <w:name w:val="Char Char Char Char Char Char Char"/>
    <w:basedOn w:val="a"/>
    <w:rsid w:val="0054403D"/>
  </w:style>
  <w:style w:type="character" w:customStyle="1" w:styleId="HTMLChar">
    <w:name w:val="HTML 预设格式 Char"/>
    <w:basedOn w:val="a0"/>
    <w:link w:val="HTML"/>
    <w:rsid w:val="0054403D"/>
    <w:rPr>
      <w:rFonts w:ascii="宋体" w:hAnsi="宋体" w:cs="宋体"/>
      <w:color w:val="000000"/>
      <w:sz w:val="24"/>
      <w:szCs w:val="24"/>
    </w:rPr>
  </w:style>
  <w:style w:type="paragraph" w:styleId="ad">
    <w:name w:val="List Paragraph"/>
    <w:basedOn w:val="a"/>
    <w:uiPriority w:val="34"/>
    <w:qFormat/>
    <w:rsid w:val="00553798"/>
    <w:pPr>
      <w:ind w:firstLineChars="200" w:firstLine="420"/>
    </w:pPr>
  </w:style>
  <w:style w:type="character" w:customStyle="1" w:styleId="user-name1">
    <w:name w:val="user-name1"/>
    <w:basedOn w:val="a0"/>
    <w:rsid w:val="00956D45"/>
    <w:rPr>
      <w:b/>
      <w:bCs/>
      <w:color w:val="666666"/>
    </w:rPr>
  </w:style>
  <w:style w:type="character" w:styleId="HTML0">
    <w:name w:val="HTML Cite"/>
    <w:uiPriority w:val="99"/>
    <w:unhideWhenUsed/>
    <w:rsid w:val="008B6741"/>
    <w:rPr>
      <w:i/>
      <w:iCs/>
    </w:rPr>
  </w:style>
  <w:style w:type="paragraph" w:styleId="ae">
    <w:name w:val="Revision"/>
    <w:hidden/>
    <w:uiPriority w:val="99"/>
    <w:semiHidden/>
    <w:rsid w:val="00BF3813"/>
    <w:rPr>
      <w:kern w:val="2"/>
      <w:sz w:val="21"/>
      <w:szCs w:val="24"/>
    </w:rPr>
  </w:style>
</w:styles>
</file>

<file path=word/webSettings.xml><?xml version="1.0" encoding="utf-8"?>
<w:webSettings xmlns:r="http://schemas.openxmlformats.org/officeDocument/2006/relationships" xmlns:w="http://schemas.openxmlformats.org/wordprocessingml/2006/main">
  <w:divs>
    <w:div w:id="5136245">
      <w:bodyDiv w:val="1"/>
      <w:marLeft w:val="0"/>
      <w:marRight w:val="0"/>
      <w:marTop w:val="0"/>
      <w:marBottom w:val="0"/>
      <w:divBdr>
        <w:top w:val="none" w:sz="0" w:space="0" w:color="auto"/>
        <w:left w:val="none" w:sz="0" w:space="0" w:color="auto"/>
        <w:bottom w:val="none" w:sz="0" w:space="0" w:color="auto"/>
        <w:right w:val="none" w:sz="0" w:space="0" w:color="auto"/>
      </w:divBdr>
    </w:div>
    <w:div w:id="9067687">
      <w:bodyDiv w:val="1"/>
      <w:marLeft w:val="0"/>
      <w:marRight w:val="0"/>
      <w:marTop w:val="0"/>
      <w:marBottom w:val="0"/>
      <w:divBdr>
        <w:top w:val="none" w:sz="0" w:space="0" w:color="auto"/>
        <w:left w:val="none" w:sz="0" w:space="0" w:color="auto"/>
        <w:bottom w:val="none" w:sz="0" w:space="0" w:color="auto"/>
        <w:right w:val="none" w:sz="0" w:space="0" w:color="auto"/>
      </w:divBdr>
    </w:div>
    <w:div w:id="28147676">
      <w:bodyDiv w:val="1"/>
      <w:marLeft w:val="0"/>
      <w:marRight w:val="0"/>
      <w:marTop w:val="0"/>
      <w:marBottom w:val="0"/>
      <w:divBdr>
        <w:top w:val="none" w:sz="0" w:space="0" w:color="auto"/>
        <w:left w:val="none" w:sz="0" w:space="0" w:color="auto"/>
        <w:bottom w:val="none" w:sz="0" w:space="0" w:color="auto"/>
        <w:right w:val="none" w:sz="0" w:space="0" w:color="auto"/>
      </w:divBdr>
    </w:div>
    <w:div w:id="44987944">
      <w:bodyDiv w:val="1"/>
      <w:marLeft w:val="0"/>
      <w:marRight w:val="0"/>
      <w:marTop w:val="0"/>
      <w:marBottom w:val="0"/>
      <w:divBdr>
        <w:top w:val="none" w:sz="0" w:space="0" w:color="auto"/>
        <w:left w:val="none" w:sz="0" w:space="0" w:color="auto"/>
        <w:bottom w:val="none" w:sz="0" w:space="0" w:color="auto"/>
        <w:right w:val="none" w:sz="0" w:space="0" w:color="auto"/>
      </w:divBdr>
    </w:div>
    <w:div w:id="54090549">
      <w:bodyDiv w:val="1"/>
      <w:marLeft w:val="0"/>
      <w:marRight w:val="0"/>
      <w:marTop w:val="0"/>
      <w:marBottom w:val="0"/>
      <w:divBdr>
        <w:top w:val="none" w:sz="0" w:space="0" w:color="auto"/>
        <w:left w:val="none" w:sz="0" w:space="0" w:color="auto"/>
        <w:bottom w:val="none" w:sz="0" w:space="0" w:color="auto"/>
        <w:right w:val="none" w:sz="0" w:space="0" w:color="auto"/>
      </w:divBdr>
    </w:div>
    <w:div w:id="85273126">
      <w:bodyDiv w:val="1"/>
      <w:marLeft w:val="0"/>
      <w:marRight w:val="0"/>
      <w:marTop w:val="0"/>
      <w:marBottom w:val="0"/>
      <w:divBdr>
        <w:top w:val="none" w:sz="0" w:space="0" w:color="auto"/>
        <w:left w:val="none" w:sz="0" w:space="0" w:color="auto"/>
        <w:bottom w:val="none" w:sz="0" w:space="0" w:color="auto"/>
        <w:right w:val="none" w:sz="0" w:space="0" w:color="auto"/>
      </w:divBdr>
    </w:div>
    <w:div w:id="155994799">
      <w:bodyDiv w:val="1"/>
      <w:marLeft w:val="0"/>
      <w:marRight w:val="0"/>
      <w:marTop w:val="0"/>
      <w:marBottom w:val="0"/>
      <w:divBdr>
        <w:top w:val="none" w:sz="0" w:space="0" w:color="auto"/>
        <w:left w:val="none" w:sz="0" w:space="0" w:color="auto"/>
        <w:bottom w:val="none" w:sz="0" w:space="0" w:color="auto"/>
        <w:right w:val="none" w:sz="0" w:space="0" w:color="auto"/>
      </w:divBdr>
    </w:div>
    <w:div w:id="165828607">
      <w:bodyDiv w:val="1"/>
      <w:marLeft w:val="0"/>
      <w:marRight w:val="0"/>
      <w:marTop w:val="0"/>
      <w:marBottom w:val="0"/>
      <w:divBdr>
        <w:top w:val="none" w:sz="0" w:space="0" w:color="auto"/>
        <w:left w:val="none" w:sz="0" w:space="0" w:color="auto"/>
        <w:bottom w:val="none" w:sz="0" w:space="0" w:color="auto"/>
        <w:right w:val="none" w:sz="0" w:space="0" w:color="auto"/>
      </w:divBdr>
    </w:div>
    <w:div w:id="180779479">
      <w:bodyDiv w:val="1"/>
      <w:marLeft w:val="0"/>
      <w:marRight w:val="0"/>
      <w:marTop w:val="0"/>
      <w:marBottom w:val="0"/>
      <w:divBdr>
        <w:top w:val="none" w:sz="0" w:space="0" w:color="auto"/>
        <w:left w:val="none" w:sz="0" w:space="0" w:color="auto"/>
        <w:bottom w:val="none" w:sz="0" w:space="0" w:color="auto"/>
        <w:right w:val="none" w:sz="0" w:space="0" w:color="auto"/>
      </w:divBdr>
    </w:div>
    <w:div w:id="268902089">
      <w:bodyDiv w:val="1"/>
      <w:marLeft w:val="0"/>
      <w:marRight w:val="0"/>
      <w:marTop w:val="0"/>
      <w:marBottom w:val="0"/>
      <w:divBdr>
        <w:top w:val="none" w:sz="0" w:space="0" w:color="auto"/>
        <w:left w:val="none" w:sz="0" w:space="0" w:color="auto"/>
        <w:bottom w:val="none" w:sz="0" w:space="0" w:color="auto"/>
        <w:right w:val="none" w:sz="0" w:space="0" w:color="auto"/>
      </w:divBdr>
    </w:div>
    <w:div w:id="273709620">
      <w:bodyDiv w:val="1"/>
      <w:marLeft w:val="0"/>
      <w:marRight w:val="0"/>
      <w:marTop w:val="0"/>
      <w:marBottom w:val="0"/>
      <w:divBdr>
        <w:top w:val="none" w:sz="0" w:space="0" w:color="auto"/>
        <w:left w:val="none" w:sz="0" w:space="0" w:color="auto"/>
        <w:bottom w:val="none" w:sz="0" w:space="0" w:color="auto"/>
        <w:right w:val="none" w:sz="0" w:space="0" w:color="auto"/>
      </w:divBdr>
    </w:div>
    <w:div w:id="306475729">
      <w:bodyDiv w:val="1"/>
      <w:marLeft w:val="0"/>
      <w:marRight w:val="0"/>
      <w:marTop w:val="0"/>
      <w:marBottom w:val="0"/>
      <w:divBdr>
        <w:top w:val="none" w:sz="0" w:space="0" w:color="auto"/>
        <w:left w:val="none" w:sz="0" w:space="0" w:color="auto"/>
        <w:bottom w:val="none" w:sz="0" w:space="0" w:color="auto"/>
        <w:right w:val="none" w:sz="0" w:space="0" w:color="auto"/>
      </w:divBdr>
    </w:div>
    <w:div w:id="341981460">
      <w:bodyDiv w:val="1"/>
      <w:marLeft w:val="0"/>
      <w:marRight w:val="0"/>
      <w:marTop w:val="0"/>
      <w:marBottom w:val="0"/>
      <w:divBdr>
        <w:top w:val="none" w:sz="0" w:space="0" w:color="auto"/>
        <w:left w:val="none" w:sz="0" w:space="0" w:color="auto"/>
        <w:bottom w:val="none" w:sz="0" w:space="0" w:color="auto"/>
        <w:right w:val="none" w:sz="0" w:space="0" w:color="auto"/>
      </w:divBdr>
    </w:div>
    <w:div w:id="402021402">
      <w:bodyDiv w:val="1"/>
      <w:marLeft w:val="0"/>
      <w:marRight w:val="0"/>
      <w:marTop w:val="0"/>
      <w:marBottom w:val="0"/>
      <w:divBdr>
        <w:top w:val="none" w:sz="0" w:space="0" w:color="auto"/>
        <w:left w:val="none" w:sz="0" w:space="0" w:color="auto"/>
        <w:bottom w:val="none" w:sz="0" w:space="0" w:color="auto"/>
        <w:right w:val="none" w:sz="0" w:space="0" w:color="auto"/>
      </w:divBdr>
    </w:div>
    <w:div w:id="499471080">
      <w:bodyDiv w:val="1"/>
      <w:marLeft w:val="0"/>
      <w:marRight w:val="0"/>
      <w:marTop w:val="0"/>
      <w:marBottom w:val="0"/>
      <w:divBdr>
        <w:top w:val="none" w:sz="0" w:space="0" w:color="auto"/>
        <w:left w:val="none" w:sz="0" w:space="0" w:color="auto"/>
        <w:bottom w:val="none" w:sz="0" w:space="0" w:color="auto"/>
        <w:right w:val="none" w:sz="0" w:space="0" w:color="auto"/>
      </w:divBdr>
    </w:div>
    <w:div w:id="519467014">
      <w:bodyDiv w:val="1"/>
      <w:marLeft w:val="0"/>
      <w:marRight w:val="0"/>
      <w:marTop w:val="0"/>
      <w:marBottom w:val="0"/>
      <w:divBdr>
        <w:top w:val="none" w:sz="0" w:space="0" w:color="auto"/>
        <w:left w:val="none" w:sz="0" w:space="0" w:color="auto"/>
        <w:bottom w:val="none" w:sz="0" w:space="0" w:color="auto"/>
        <w:right w:val="none" w:sz="0" w:space="0" w:color="auto"/>
      </w:divBdr>
    </w:div>
    <w:div w:id="679431930">
      <w:bodyDiv w:val="1"/>
      <w:marLeft w:val="0"/>
      <w:marRight w:val="0"/>
      <w:marTop w:val="0"/>
      <w:marBottom w:val="0"/>
      <w:divBdr>
        <w:top w:val="none" w:sz="0" w:space="0" w:color="auto"/>
        <w:left w:val="none" w:sz="0" w:space="0" w:color="auto"/>
        <w:bottom w:val="none" w:sz="0" w:space="0" w:color="auto"/>
        <w:right w:val="none" w:sz="0" w:space="0" w:color="auto"/>
      </w:divBdr>
    </w:div>
    <w:div w:id="783118221">
      <w:bodyDiv w:val="1"/>
      <w:marLeft w:val="0"/>
      <w:marRight w:val="0"/>
      <w:marTop w:val="0"/>
      <w:marBottom w:val="0"/>
      <w:divBdr>
        <w:top w:val="none" w:sz="0" w:space="0" w:color="auto"/>
        <w:left w:val="none" w:sz="0" w:space="0" w:color="auto"/>
        <w:bottom w:val="none" w:sz="0" w:space="0" w:color="auto"/>
        <w:right w:val="none" w:sz="0" w:space="0" w:color="auto"/>
      </w:divBdr>
    </w:div>
    <w:div w:id="791481177">
      <w:bodyDiv w:val="1"/>
      <w:marLeft w:val="0"/>
      <w:marRight w:val="0"/>
      <w:marTop w:val="0"/>
      <w:marBottom w:val="0"/>
      <w:divBdr>
        <w:top w:val="none" w:sz="0" w:space="0" w:color="auto"/>
        <w:left w:val="none" w:sz="0" w:space="0" w:color="auto"/>
        <w:bottom w:val="none" w:sz="0" w:space="0" w:color="auto"/>
        <w:right w:val="none" w:sz="0" w:space="0" w:color="auto"/>
      </w:divBdr>
    </w:div>
    <w:div w:id="819887139">
      <w:bodyDiv w:val="1"/>
      <w:marLeft w:val="0"/>
      <w:marRight w:val="0"/>
      <w:marTop w:val="0"/>
      <w:marBottom w:val="0"/>
      <w:divBdr>
        <w:top w:val="none" w:sz="0" w:space="0" w:color="auto"/>
        <w:left w:val="none" w:sz="0" w:space="0" w:color="auto"/>
        <w:bottom w:val="none" w:sz="0" w:space="0" w:color="auto"/>
        <w:right w:val="none" w:sz="0" w:space="0" w:color="auto"/>
      </w:divBdr>
    </w:div>
    <w:div w:id="841891274">
      <w:bodyDiv w:val="1"/>
      <w:marLeft w:val="0"/>
      <w:marRight w:val="0"/>
      <w:marTop w:val="0"/>
      <w:marBottom w:val="0"/>
      <w:divBdr>
        <w:top w:val="none" w:sz="0" w:space="0" w:color="auto"/>
        <w:left w:val="none" w:sz="0" w:space="0" w:color="auto"/>
        <w:bottom w:val="none" w:sz="0" w:space="0" w:color="auto"/>
        <w:right w:val="none" w:sz="0" w:space="0" w:color="auto"/>
      </w:divBdr>
    </w:div>
    <w:div w:id="860514607">
      <w:bodyDiv w:val="1"/>
      <w:marLeft w:val="0"/>
      <w:marRight w:val="0"/>
      <w:marTop w:val="0"/>
      <w:marBottom w:val="0"/>
      <w:divBdr>
        <w:top w:val="none" w:sz="0" w:space="0" w:color="auto"/>
        <w:left w:val="none" w:sz="0" w:space="0" w:color="auto"/>
        <w:bottom w:val="none" w:sz="0" w:space="0" w:color="auto"/>
        <w:right w:val="none" w:sz="0" w:space="0" w:color="auto"/>
      </w:divBdr>
    </w:div>
    <w:div w:id="941575169">
      <w:bodyDiv w:val="1"/>
      <w:marLeft w:val="0"/>
      <w:marRight w:val="0"/>
      <w:marTop w:val="0"/>
      <w:marBottom w:val="0"/>
      <w:divBdr>
        <w:top w:val="none" w:sz="0" w:space="0" w:color="auto"/>
        <w:left w:val="none" w:sz="0" w:space="0" w:color="auto"/>
        <w:bottom w:val="none" w:sz="0" w:space="0" w:color="auto"/>
        <w:right w:val="none" w:sz="0" w:space="0" w:color="auto"/>
      </w:divBdr>
    </w:div>
    <w:div w:id="950239052">
      <w:bodyDiv w:val="1"/>
      <w:marLeft w:val="0"/>
      <w:marRight w:val="0"/>
      <w:marTop w:val="0"/>
      <w:marBottom w:val="0"/>
      <w:divBdr>
        <w:top w:val="none" w:sz="0" w:space="0" w:color="auto"/>
        <w:left w:val="none" w:sz="0" w:space="0" w:color="auto"/>
        <w:bottom w:val="none" w:sz="0" w:space="0" w:color="auto"/>
        <w:right w:val="none" w:sz="0" w:space="0" w:color="auto"/>
      </w:divBdr>
    </w:div>
    <w:div w:id="977108532">
      <w:bodyDiv w:val="1"/>
      <w:marLeft w:val="0"/>
      <w:marRight w:val="0"/>
      <w:marTop w:val="0"/>
      <w:marBottom w:val="0"/>
      <w:divBdr>
        <w:top w:val="none" w:sz="0" w:space="0" w:color="auto"/>
        <w:left w:val="none" w:sz="0" w:space="0" w:color="auto"/>
        <w:bottom w:val="none" w:sz="0" w:space="0" w:color="auto"/>
        <w:right w:val="none" w:sz="0" w:space="0" w:color="auto"/>
      </w:divBdr>
    </w:div>
    <w:div w:id="996300338">
      <w:bodyDiv w:val="1"/>
      <w:marLeft w:val="0"/>
      <w:marRight w:val="0"/>
      <w:marTop w:val="0"/>
      <w:marBottom w:val="0"/>
      <w:divBdr>
        <w:top w:val="none" w:sz="0" w:space="0" w:color="auto"/>
        <w:left w:val="none" w:sz="0" w:space="0" w:color="auto"/>
        <w:bottom w:val="none" w:sz="0" w:space="0" w:color="auto"/>
        <w:right w:val="none" w:sz="0" w:space="0" w:color="auto"/>
      </w:divBdr>
    </w:div>
    <w:div w:id="1051878280">
      <w:bodyDiv w:val="1"/>
      <w:marLeft w:val="0"/>
      <w:marRight w:val="0"/>
      <w:marTop w:val="0"/>
      <w:marBottom w:val="0"/>
      <w:divBdr>
        <w:top w:val="none" w:sz="0" w:space="0" w:color="auto"/>
        <w:left w:val="none" w:sz="0" w:space="0" w:color="auto"/>
        <w:bottom w:val="none" w:sz="0" w:space="0" w:color="auto"/>
        <w:right w:val="none" w:sz="0" w:space="0" w:color="auto"/>
      </w:divBdr>
    </w:div>
    <w:div w:id="1060858850">
      <w:bodyDiv w:val="1"/>
      <w:marLeft w:val="0"/>
      <w:marRight w:val="0"/>
      <w:marTop w:val="0"/>
      <w:marBottom w:val="0"/>
      <w:divBdr>
        <w:top w:val="none" w:sz="0" w:space="0" w:color="auto"/>
        <w:left w:val="none" w:sz="0" w:space="0" w:color="auto"/>
        <w:bottom w:val="none" w:sz="0" w:space="0" w:color="auto"/>
        <w:right w:val="none" w:sz="0" w:space="0" w:color="auto"/>
      </w:divBdr>
    </w:div>
    <w:div w:id="1161433346">
      <w:bodyDiv w:val="1"/>
      <w:marLeft w:val="0"/>
      <w:marRight w:val="0"/>
      <w:marTop w:val="0"/>
      <w:marBottom w:val="0"/>
      <w:divBdr>
        <w:top w:val="none" w:sz="0" w:space="0" w:color="auto"/>
        <w:left w:val="none" w:sz="0" w:space="0" w:color="auto"/>
        <w:bottom w:val="none" w:sz="0" w:space="0" w:color="auto"/>
        <w:right w:val="none" w:sz="0" w:space="0" w:color="auto"/>
      </w:divBdr>
    </w:div>
    <w:div w:id="1165822732">
      <w:bodyDiv w:val="1"/>
      <w:marLeft w:val="0"/>
      <w:marRight w:val="0"/>
      <w:marTop w:val="0"/>
      <w:marBottom w:val="0"/>
      <w:divBdr>
        <w:top w:val="none" w:sz="0" w:space="0" w:color="auto"/>
        <w:left w:val="none" w:sz="0" w:space="0" w:color="auto"/>
        <w:bottom w:val="none" w:sz="0" w:space="0" w:color="auto"/>
        <w:right w:val="none" w:sz="0" w:space="0" w:color="auto"/>
      </w:divBdr>
    </w:div>
    <w:div w:id="1176774142">
      <w:bodyDiv w:val="1"/>
      <w:marLeft w:val="0"/>
      <w:marRight w:val="0"/>
      <w:marTop w:val="0"/>
      <w:marBottom w:val="0"/>
      <w:divBdr>
        <w:top w:val="none" w:sz="0" w:space="0" w:color="auto"/>
        <w:left w:val="none" w:sz="0" w:space="0" w:color="auto"/>
        <w:bottom w:val="none" w:sz="0" w:space="0" w:color="auto"/>
        <w:right w:val="none" w:sz="0" w:space="0" w:color="auto"/>
      </w:divBdr>
    </w:div>
    <w:div w:id="1200050655">
      <w:bodyDiv w:val="1"/>
      <w:marLeft w:val="0"/>
      <w:marRight w:val="0"/>
      <w:marTop w:val="0"/>
      <w:marBottom w:val="0"/>
      <w:divBdr>
        <w:top w:val="none" w:sz="0" w:space="0" w:color="auto"/>
        <w:left w:val="none" w:sz="0" w:space="0" w:color="auto"/>
        <w:bottom w:val="none" w:sz="0" w:space="0" w:color="auto"/>
        <w:right w:val="none" w:sz="0" w:space="0" w:color="auto"/>
      </w:divBdr>
    </w:div>
    <w:div w:id="1240020705">
      <w:bodyDiv w:val="1"/>
      <w:marLeft w:val="0"/>
      <w:marRight w:val="0"/>
      <w:marTop w:val="0"/>
      <w:marBottom w:val="0"/>
      <w:divBdr>
        <w:top w:val="none" w:sz="0" w:space="0" w:color="auto"/>
        <w:left w:val="none" w:sz="0" w:space="0" w:color="auto"/>
        <w:bottom w:val="none" w:sz="0" w:space="0" w:color="auto"/>
        <w:right w:val="none" w:sz="0" w:space="0" w:color="auto"/>
      </w:divBdr>
    </w:div>
    <w:div w:id="1262835444">
      <w:bodyDiv w:val="1"/>
      <w:marLeft w:val="0"/>
      <w:marRight w:val="0"/>
      <w:marTop w:val="0"/>
      <w:marBottom w:val="0"/>
      <w:divBdr>
        <w:top w:val="none" w:sz="0" w:space="0" w:color="auto"/>
        <w:left w:val="none" w:sz="0" w:space="0" w:color="auto"/>
        <w:bottom w:val="none" w:sz="0" w:space="0" w:color="auto"/>
        <w:right w:val="none" w:sz="0" w:space="0" w:color="auto"/>
      </w:divBdr>
    </w:div>
    <w:div w:id="1304039701">
      <w:bodyDiv w:val="1"/>
      <w:marLeft w:val="0"/>
      <w:marRight w:val="0"/>
      <w:marTop w:val="0"/>
      <w:marBottom w:val="0"/>
      <w:divBdr>
        <w:top w:val="none" w:sz="0" w:space="0" w:color="auto"/>
        <w:left w:val="none" w:sz="0" w:space="0" w:color="auto"/>
        <w:bottom w:val="none" w:sz="0" w:space="0" w:color="auto"/>
        <w:right w:val="none" w:sz="0" w:space="0" w:color="auto"/>
      </w:divBdr>
    </w:div>
    <w:div w:id="1307197487">
      <w:bodyDiv w:val="1"/>
      <w:marLeft w:val="0"/>
      <w:marRight w:val="0"/>
      <w:marTop w:val="0"/>
      <w:marBottom w:val="0"/>
      <w:divBdr>
        <w:top w:val="none" w:sz="0" w:space="0" w:color="auto"/>
        <w:left w:val="none" w:sz="0" w:space="0" w:color="auto"/>
        <w:bottom w:val="none" w:sz="0" w:space="0" w:color="auto"/>
        <w:right w:val="none" w:sz="0" w:space="0" w:color="auto"/>
      </w:divBdr>
    </w:div>
    <w:div w:id="1355420614">
      <w:bodyDiv w:val="1"/>
      <w:marLeft w:val="0"/>
      <w:marRight w:val="0"/>
      <w:marTop w:val="0"/>
      <w:marBottom w:val="0"/>
      <w:divBdr>
        <w:top w:val="none" w:sz="0" w:space="0" w:color="auto"/>
        <w:left w:val="none" w:sz="0" w:space="0" w:color="auto"/>
        <w:bottom w:val="none" w:sz="0" w:space="0" w:color="auto"/>
        <w:right w:val="none" w:sz="0" w:space="0" w:color="auto"/>
      </w:divBdr>
    </w:div>
    <w:div w:id="1361517717">
      <w:bodyDiv w:val="1"/>
      <w:marLeft w:val="0"/>
      <w:marRight w:val="0"/>
      <w:marTop w:val="0"/>
      <w:marBottom w:val="0"/>
      <w:divBdr>
        <w:top w:val="none" w:sz="0" w:space="0" w:color="auto"/>
        <w:left w:val="none" w:sz="0" w:space="0" w:color="auto"/>
        <w:bottom w:val="none" w:sz="0" w:space="0" w:color="auto"/>
        <w:right w:val="none" w:sz="0" w:space="0" w:color="auto"/>
      </w:divBdr>
    </w:div>
    <w:div w:id="1401830462">
      <w:bodyDiv w:val="1"/>
      <w:marLeft w:val="0"/>
      <w:marRight w:val="0"/>
      <w:marTop w:val="0"/>
      <w:marBottom w:val="0"/>
      <w:divBdr>
        <w:top w:val="none" w:sz="0" w:space="0" w:color="auto"/>
        <w:left w:val="none" w:sz="0" w:space="0" w:color="auto"/>
        <w:bottom w:val="none" w:sz="0" w:space="0" w:color="auto"/>
        <w:right w:val="none" w:sz="0" w:space="0" w:color="auto"/>
      </w:divBdr>
    </w:div>
    <w:div w:id="1485656917">
      <w:bodyDiv w:val="1"/>
      <w:marLeft w:val="0"/>
      <w:marRight w:val="0"/>
      <w:marTop w:val="0"/>
      <w:marBottom w:val="0"/>
      <w:divBdr>
        <w:top w:val="none" w:sz="0" w:space="0" w:color="auto"/>
        <w:left w:val="none" w:sz="0" w:space="0" w:color="auto"/>
        <w:bottom w:val="none" w:sz="0" w:space="0" w:color="auto"/>
        <w:right w:val="none" w:sz="0" w:space="0" w:color="auto"/>
      </w:divBdr>
    </w:div>
    <w:div w:id="1559168961">
      <w:bodyDiv w:val="1"/>
      <w:marLeft w:val="0"/>
      <w:marRight w:val="0"/>
      <w:marTop w:val="0"/>
      <w:marBottom w:val="0"/>
      <w:divBdr>
        <w:top w:val="none" w:sz="0" w:space="0" w:color="auto"/>
        <w:left w:val="none" w:sz="0" w:space="0" w:color="auto"/>
        <w:bottom w:val="none" w:sz="0" w:space="0" w:color="auto"/>
        <w:right w:val="none" w:sz="0" w:space="0" w:color="auto"/>
      </w:divBdr>
    </w:div>
    <w:div w:id="1561020425">
      <w:bodyDiv w:val="1"/>
      <w:marLeft w:val="0"/>
      <w:marRight w:val="0"/>
      <w:marTop w:val="0"/>
      <w:marBottom w:val="0"/>
      <w:divBdr>
        <w:top w:val="none" w:sz="0" w:space="0" w:color="auto"/>
        <w:left w:val="none" w:sz="0" w:space="0" w:color="auto"/>
        <w:bottom w:val="none" w:sz="0" w:space="0" w:color="auto"/>
        <w:right w:val="none" w:sz="0" w:space="0" w:color="auto"/>
      </w:divBdr>
    </w:div>
    <w:div w:id="1645963977">
      <w:bodyDiv w:val="1"/>
      <w:marLeft w:val="0"/>
      <w:marRight w:val="0"/>
      <w:marTop w:val="0"/>
      <w:marBottom w:val="0"/>
      <w:divBdr>
        <w:top w:val="none" w:sz="0" w:space="0" w:color="auto"/>
        <w:left w:val="none" w:sz="0" w:space="0" w:color="auto"/>
        <w:bottom w:val="none" w:sz="0" w:space="0" w:color="auto"/>
        <w:right w:val="none" w:sz="0" w:space="0" w:color="auto"/>
      </w:divBdr>
    </w:div>
    <w:div w:id="1683777486">
      <w:bodyDiv w:val="1"/>
      <w:marLeft w:val="0"/>
      <w:marRight w:val="0"/>
      <w:marTop w:val="0"/>
      <w:marBottom w:val="0"/>
      <w:divBdr>
        <w:top w:val="none" w:sz="0" w:space="0" w:color="auto"/>
        <w:left w:val="none" w:sz="0" w:space="0" w:color="auto"/>
        <w:bottom w:val="none" w:sz="0" w:space="0" w:color="auto"/>
        <w:right w:val="none" w:sz="0" w:space="0" w:color="auto"/>
      </w:divBdr>
    </w:div>
    <w:div w:id="1695225004">
      <w:bodyDiv w:val="1"/>
      <w:marLeft w:val="0"/>
      <w:marRight w:val="0"/>
      <w:marTop w:val="0"/>
      <w:marBottom w:val="0"/>
      <w:divBdr>
        <w:top w:val="none" w:sz="0" w:space="0" w:color="auto"/>
        <w:left w:val="none" w:sz="0" w:space="0" w:color="auto"/>
        <w:bottom w:val="none" w:sz="0" w:space="0" w:color="auto"/>
        <w:right w:val="none" w:sz="0" w:space="0" w:color="auto"/>
      </w:divBdr>
    </w:div>
    <w:div w:id="1882008405">
      <w:bodyDiv w:val="1"/>
      <w:marLeft w:val="0"/>
      <w:marRight w:val="0"/>
      <w:marTop w:val="0"/>
      <w:marBottom w:val="0"/>
      <w:divBdr>
        <w:top w:val="none" w:sz="0" w:space="0" w:color="auto"/>
        <w:left w:val="none" w:sz="0" w:space="0" w:color="auto"/>
        <w:bottom w:val="none" w:sz="0" w:space="0" w:color="auto"/>
        <w:right w:val="none" w:sz="0" w:space="0" w:color="auto"/>
      </w:divBdr>
    </w:div>
    <w:div w:id="1892502191">
      <w:bodyDiv w:val="1"/>
      <w:marLeft w:val="0"/>
      <w:marRight w:val="0"/>
      <w:marTop w:val="0"/>
      <w:marBottom w:val="0"/>
      <w:divBdr>
        <w:top w:val="none" w:sz="0" w:space="0" w:color="auto"/>
        <w:left w:val="none" w:sz="0" w:space="0" w:color="auto"/>
        <w:bottom w:val="none" w:sz="0" w:space="0" w:color="auto"/>
        <w:right w:val="none" w:sz="0" w:space="0" w:color="auto"/>
      </w:divBdr>
    </w:div>
    <w:div w:id="1935867914">
      <w:bodyDiv w:val="1"/>
      <w:marLeft w:val="0"/>
      <w:marRight w:val="0"/>
      <w:marTop w:val="0"/>
      <w:marBottom w:val="0"/>
      <w:divBdr>
        <w:top w:val="none" w:sz="0" w:space="0" w:color="auto"/>
        <w:left w:val="none" w:sz="0" w:space="0" w:color="auto"/>
        <w:bottom w:val="none" w:sz="0" w:space="0" w:color="auto"/>
        <w:right w:val="none" w:sz="0" w:space="0" w:color="auto"/>
      </w:divBdr>
    </w:div>
    <w:div w:id="1981153508">
      <w:bodyDiv w:val="1"/>
      <w:marLeft w:val="0"/>
      <w:marRight w:val="0"/>
      <w:marTop w:val="0"/>
      <w:marBottom w:val="0"/>
      <w:divBdr>
        <w:top w:val="none" w:sz="0" w:space="0" w:color="auto"/>
        <w:left w:val="none" w:sz="0" w:space="0" w:color="auto"/>
        <w:bottom w:val="none" w:sz="0" w:space="0" w:color="auto"/>
        <w:right w:val="none" w:sz="0" w:space="0" w:color="auto"/>
      </w:divBdr>
    </w:div>
    <w:div w:id="2001300146">
      <w:bodyDiv w:val="1"/>
      <w:marLeft w:val="0"/>
      <w:marRight w:val="0"/>
      <w:marTop w:val="0"/>
      <w:marBottom w:val="0"/>
      <w:divBdr>
        <w:top w:val="none" w:sz="0" w:space="0" w:color="auto"/>
        <w:left w:val="none" w:sz="0" w:space="0" w:color="auto"/>
        <w:bottom w:val="none" w:sz="0" w:space="0" w:color="auto"/>
        <w:right w:val="none" w:sz="0" w:space="0" w:color="auto"/>
      </w:divBdr>
    </w:div>
    <w:div w:id="2102023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py-ax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566A74-9EBF-44C7-BD1B-528BA228E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210</Words>
  <Characters>1199</Characters>
  <Application>Microsoft Office Word</Application>
  <DocSecurity>4</DocSecurity>
  <Lines>9</Lines>
  <Paragraphs>2</Paragraphs>
  <ScaleCrop>false</ScaleCrop>
  <Company>py-axa</Company>
  <LinksUpToDate>false</LinksUpToDate>
  <CharactersWithSpaces>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zhumy</dc:creator>
  <cp:lastModifiedBy>ZHONGM</cp:lastModifiedBy>
  <cp:revision>2</cp:revision>
  <cp:lastPrinted>2021-12-31T01:59:00Z</cp:lastPrinted>
  <dcterms:created xsi:type="dcterms:W3CDTF">2025-10-14T16:03:00Z</dcterms:created>
  <dcterms:modified xsi:type="dcterms:W3CDTF">2025-10-14T16:03:00Z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