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11" w:rsidRDefault="00A521B6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关于富国裕利债券型证券投资基金（C类份额）</w:t>
      </w:r>
      <w:r w:rsidR="00E4191E">
        <w:rPr>
          <w:rFonts w:ascii="宋体" w:hAnsi="宋体" w:hint="eastAsia"/>
          <w:b/>
          <w:color w:val="000000"/>
          <w:kern w:val="0"/>
          <w:sz w:val="30"/>
          <w:szCs w:val="30"/>
        </w:rPr>
        <w:t>恢复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通过</w:t>
      </w:r>
      <w:r w:rsidRPr="00A521B6">
        <w:rPr>
          <w:rFonts w:ascii="宋体" w:hAnsi="宋体" w:hint="eastAsia"/>
          <w:b/>
          <w:color w:val="000000"/>
          <w:kern w:val="0"/>
          <w:sz w:val="30"/>
          <w:szCs w:val="30"/>
        </w:rPr>
        <w:t>光大银行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的申购、转换转入及定期定额投资业务的公告</w:t>
      </w:r>
    </w:p>
    <w:p w:rsidR="00915E11" w:rsidRDefault="00915E11">
      <w:pPr>
        <w:jc w:val="right"/>
        <w:rPr>
          <w:b/>
          <w:color w:val="000000"/>
          <w:sz w:val="30"/>
          <w:szCs w:val="30"/>
        </w:rPr>
      </w:pPr>
    </w:p>
    <w:p w:rsidR="00915E11" w:rsidRDefault="00A521B6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2025年</w:t>
      </w:r>
      <w:r w:rsidR="00E4191E">
        <w:rPr>
          <w:rFonts w:ascii="宋体" w:hAnsi="宋体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 w:rsidR="00E4191E">
        <w:rPr>
          <w:rFonts w:ascii="宋体" w:hAnsi="宋体"/>
          <w:color w:val="000000"/>
          <w:kern w:val="0"/>
          <w:sz w:val="24"/>
        </w:rPr>
        <w:t>15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915E11" w:rsidRDefault="00915E11">
      <w:pPr>
        <w:jc w:val="right"/>
        <w:rPr>
          <w:i/>
          <w:sz w:val="28"/>
          <w:szCs w:val="28"/>
        </w:rPr>
      </w:pPr>
    </w:p>
    <w:p w:rsidR="00915E11" w:rsidRDefault="00A521B6">
      <w:pPr>
        <w:pStyle w:val="a"/>
      </w:pPr>
      <w:r>
        <w:rPr>
          <w:rFonts w:hint="eastAsia"/>
        </w:rPr>
        <w:t>公告基本信息</w:t>
      </w:r>
      <w:bookmarkEnd w:id="0"/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2551"/>
        <w:gridCol w:w="2176"/>
        <w:gridCol w:w="2176"/>
        <w:gridCol w:w="2177"/>
      </w:tblGrid>
      <w:tr w:rsidR="00915E1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9" w:type="dxa"/>
            <w:gridSpan w:val="3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富国裕利债券型证券投资基金</w:t>
            </w:r>
          </w:p>
        </w:tc>
      </w:tr>
      <w:tr w:rsidR="00915E1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9" w:type="dxa"/>
            <w:gridSpan w:val="3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富国裕利债券</w:t>
            </w:r>
          </w:p>
        </w:tc>
      </w:tr>
      <w:tr w:rsidR="00915E1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9" w:type="dxa"/>
            <w:gridSpan w:val="3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014671</w:t>
            </w:r>
          </w:p>
        </w:tc>
      </w:tr>
      <w:tr w:rsidR="00915E1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9" w:type="dxa"/>
            <w:gridSpan w:val="3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915E1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9" w:type="dxa"/>
            <w:gridSpan w:val="3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《中华人民共和国证券投资基金法》及配套法规、《富国裕利债券型证券投资基金基金合同》、《富国裕利债券型证券投资基金招募说明书》及其更新等</w:t>
            </w:r>
          </w:p>
        </w:tc>
      </w:tr>
      <w:tr w:rsidR="00915E11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915E11" w:rsidRDefault="00E419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</w:t>
            </w:r>
            <w:r w:rsidR="00A521B6">
              <w:rPr>
                <w:rFonts w:ascii="宋体" w:hAnsi="宋体" w:hint="eastAsia"/>
                <w:color w:val="000000"/>
                <w:sz w:val="24"/>
              </w:rPr>
              <w:t>相关业务的起始日及原因说明</w:t>
            </w:r>
          </w:p>
        </w:tc>
        <w:tc>
          <w:tcPr>
            <w:tcW w:w="2551" w:type="dxa"/>
            <w:vAlign w:val="center"/>
          </w:tcPr>
          <w:p w:rsidR="00915E11" w:rsidRDefault="00E4191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</w:t>
            </w:r>
            <w:r w:rsidR="00A521B6">
              <w:rPr>
                <w:rFonts w:ascii="宋体" w:hAnsi="宋体" w:hint="eastAsia"/>
                <w:color w:val="000000"/>
                <w:sz w:val="24"/>
              </w:rPr>
              <w:t>申购起始日</w:t>
            </w:r>
          </w:p>
        </w:tc>
        <w:tc>
          <w:tcPr>
            <w:tcW w:w="6529" w:type="dxa"/>
            <w:gridSpan w:val="3"/>
            <w:vAlign w:val="center"/>
          </w:tcPr>
          <w:p w:rsidR="00915E11" w:rsidRDefault="00A521B6" w:rsidP="00E4191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2025年</w:t>
            </w:r>
            <w:r w:rsidR="00E4191E">
              <w:rPr>
                <w:rFonts w:ascii="宋体" w:hAnsi="宋体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="00E4191E">
              <w:rPr>
                <w:rFonts w:ascii="宋体" w:hAnsi="宋体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15E11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915E11" w:rsidRDefault="00915E1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15E11" w:rsidRDefault="00E419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</w:t>
            </w:r>
            <w:r w:rsidR="00A521B6">
              <w:rPr>
                <w:rFonts w:ascii="宋体" w:hAnsi="宋体" w:hint="eastAsia"/>
                <w:color w:val="000000"/>
                <w:sz w:val="24"/>
              </w:rPr>
              <w:t>转换转入起始日</w:t>
            </w:r>
          </w:p>
        </w:tc>
        <w:tc>
          <w:tcPr>
            <w:tcW w:w="6529" w:type="dxa"/>
            <w:gridSpan w:val="3"/>
            <w:vAlign w:val="center"/>
          </w:tcPr>
          <w:p w:rsidR="00915E11" w:rsidRDefault="00E4191E" w:rsidP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15E11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915E11" w:rsidRDefault="00915E1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15E11" w:rsidRDefault="00E4191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</w:t>
            </w:r>
            <w:r w:rsidR="00A521B6">
              <w:rPr>
                <w:rFonts w:ascii="宋体" w:hAnsi="宋体" w:hint="eastAsia"/>
                <w:color w:val="000000"/>
                <w:sz w:val="24"/>
              </w:rPr>
              <w:t>定期定额投资起始日</w:t>
            </w:r>
          </w:p>
        </w:tc>
        <w:tc>
          <w:tcPr>
            <w:tcW w:w="6529" w:type="dxa"/>
            <w:gridSpan w:val="3"/>
            <w:vAlign w:val="center"/>
          </w:tcPr>
          <w:p w:rsidR="00915E11" w:rsidRDefault="00E4191E" w:rsidP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15E11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915E11" w:rsidRDefault="00915E1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15E11" w:rsidRDefault="00E4191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</w:t>
            </w:r>
            <w:r w:rsidR="00A521B6">
              <w:rPr>
                <w:rFonts w:ascii="宋体" w:hAnsi="宋体" w:hint="eastAsia"/>
                <w:color w:val="000000"/>
                <w:sz w:val="24"/>
              </w:rPr>
              <w:t>申购、转换转入及定期定额投资的原因说明</w:t>
            </w:r>
          </w:p>
        </w:tc>
        <w:tc>
          <w:tcPr>
            <w:tcW w:w="6529" w:type="dxa"/>
            <w:gridSpan w:val="3"/>
            <w:vAlign w:val="center"/>
          </w:tcPr>
          <w:p w:rsidR="00915E11" w:rsidRDefault="007D633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7D6335">
              <w:rPr>
                <w:rFonts w:ascii="宋体" w:hAnsi="宋体" w:hint="eastAsia"/>
                <w:color w:val="000000"/>
                <w:kern w:val="0"/>
                <w:sz w:val="24"/>
              </w:rPr>
              <w:t>本基金目前运作平稳，之前考虑限制申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购、转换转入及定期定额投资业务的因素对基金投资运作的影响已消除</w:t>
            </w:r>
            <w:bookmarkStart w:id="1" w:name="_GoBack"/>
            <w:bookmarkEnd w:id="1"/>
            <w:r w:rsidR="00A521B6">
              <w:rPr>
                <w:rFonts w:ascii="宋体" w:hAnsi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915E1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2176" w:type="dxa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富国裕利债券A</w:t>
            </w:r>
          </w:p>
        </w:tc>
        <w:tc>
          <w:tcPr>
            <w:tcW w:w="2176" w:type="dxa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富国裕利债券C</w:t>
            </w:r>
          </w:p>
        </w:tc>
        <w:tc>
          <w:tcPr>
            <w:tcW w:w="2177" w:type="dxa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富国裕利债券E</w:t>
            </w:r>
          </w:p>
        </w:tc>
      </w:tr>
      <w:tr w:rsidR="00915E1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2176" w:type="dxa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014671</w:t>
            </w:r>
          </w:p>
        </w:tc>
        <w:tc>
          <w:tcPr>
            <w:tcW w:w="2176" w:type="dxa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014672</w:t>
            </w:r>
          </w:p>
        </w:tc>
        <w:tc>
          <w:tcPr>
            <w:tcW w:w="2177" w:type="dxa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018187</w:t>
            </w:r>
          </w:p>
        </w:tc>
      </w:tr>
      <w:tr w:rsidR="00915E1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</w:t>
            </w:r>
            <w:r w:rsidR="00E4191E">
              <w:rPr>
                <w:rFonts w:ascii="宋体" w:hAnsi="宋体" w:hint="eastAsia"/>
                <w:color w:val="000000"/>
                <w:sz w:val="24"/>
              </w:rPr>
              <w:t>恢复</w:t>
            </w:r>
            <w:r>
              <w:rPr>
                <w:rFonts w:ascii="宋体" w:hAnsi="宋体" w:hint="eastAsia"/>
                <w:color w:val="000000"/>
                <w:sz w:val="24"/>
              </w:rPr>
              <w:t>申购、转换转入、定期定额投资</w:t>
            </w:r>
          </w:p>
        </w:tc>
        <w:tc>
          <w:tcPr>
            <w:tcW w:w="2176" w:type="dxa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176" w:type="dxa"/>
            <w:vAlign w:val="center"/>
          </w:tcPr>
          <w:p w:rsidR="00915E11" w:rsidRDefault="00A521B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7" w:type="dxa"/>
            <w:vAlign w:val="center"/>
          </w:tcPr>
          <w:p w:rsidR="00915E11" w:rsidRDefault="00A521B6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</w:tr>
    </w:tbl>
    <w:p w:rsidR="00915E11" w:rsidRDefault="00A521B6">
      <w:pPr>
        <w:pStyle w:val="a"/>
      </w:pPr>
      <w:bookmarkStart w:id="2" w:name="_Toc275961406"/>
      <w:r>
        <w:t>其他需要提示的事项</w:t>
      </w:r>
      <w:bookmarkEnd w:id="2"/>
    </w:p>
    <w:p w:rsidR="00915E11" w:rsidRDefault="00A521B6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、本基金管理人决定自</w:t>
      </w:r>
      <w:r w:rsidR="00E4191E">
        <w:rPr>
          <w:rFonts w:ascii="宋体" w:hAnsi="宋体" w:hint="eastAsia"/>
          <w:color w:val="000000"/>
          <w:kern w:val="0"/>
          <w:sz w:val="24"/>
        </w:rPr>
        <w:t>2025年</w:t>
      </w:r>
      <w:r w:rsidR="00E4191E">
        <w:rPr>
          <w:rFonts w:ascii="宋体" w:hAnsi="宋体"/>
          <w:color w:val="000000"/>
          <w:kern w:val="0"/>
          <w:sz w:val="24"/>
        </w:rPr>
        <w:t>10</w:t>
      </w:r>
      <w:r w:rsidR="00E4191E">
        <w:rPr>
          <w:rFonts w:ascii="宋体" w:hAnsi="宋体" w:hint="eastAsia"/>
          <w:color w:val="000000"/>
          <w:kern w:val="0"/>
          <w:sz w:val="24"/>
        </w:rPr>
        <w:t>月</w:t>
      </w:r>
      <w:r w:rsidR="00E4191E">
        <w:rPr>
          <w:rFonts w:ascii="宋体" w:hAnsi="宋体"/>
          <w:color w:val="000000"/>
          <w:kern w:val="0"/>
          <w:sz w:val="24"/>
        </w:rPr>
        <w:t>15</w:t>
      </w:r>
      <w:r w:rsidR="00E4191E">
        <w:rPr>
          <w:rFonts w:ascii="宋体" w:hAnsi="宋体" w:hint="eastAsia"/>
          <w:color w:val="000000"/>
          <w:kern w:val="0"/>
          <w:sz w:val="24"/>
        </w:rPr>
        <w:t>日</w:t>
      </w:r>
      <w:r>
        <w:rPr>
          <w:color w:val="000000"/>
          <w:sz w:val="24"/>
        </w:rPr>
        <w:t>起</w:t>
      </w:r>
      <w:r w:rsidR="00E4191E">
        <w:rPr>
          <w:color w:val="000000"/>
          <w:sz w:val="24"/>
        </w:rPr>
        <w:t>恢复</w:t>
      </w:r>
      <w:r>
        <w:rPr>
          <w:color w:val="000000"/>
          <w:sz w:val="24"/>
        </w:rPr>
        <w:t>接受单个基金账户通过</w:t>
      </w:r>
      <w:r w:rsidRPr="00A521B6">
        <w:rPr>
          <w:rFonts w:hint="eastAsia"/>
          <w:color w:val="000000"/>
          <w:sz w:val="24"/>
        </w:rPr>
        <w:t>光大银行</w:t>
      </w:r>
      <w:r>
        <w:rPr>
          <w:color w:val="000000"/>
          <w:sz w:val="24"/>
        </w:rPr>
        <w:t>对本基金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类份额的申购、转换转入及定期定额投资业务申请。</w:t>
      </w:r>
    </w:p>
    <w:p w:rsidR="00915E11" w:rsidRDefault="00E4191E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 w:rsidR="00A521B6">
        <w:rPr>
          <w:color w:val="000000"/>
          <w:sz w:val="24"/>
        </w:rPr>
        <w:t>、投资者可以登录富国基金管理有限公司网站</w:t>
      </w:r>
      <w:r w:rsidR="00A521B6">
        <w:rPr>
          <w:color w:val="000000"/>
          <w:sz w:val="24"/>
        </w:rPr>
        <w:t>www.fullgoal.com.cn</w:t>
      </w:r>
      <w:r w:rsidR="00A521B6">
        <w:rPr>
          <w:color w:val="000000"/>
          <w:sz w:val="24"/>
        </w:rPr>
        <w:t>或拨打富国基金管理有限公司客户服务热线</w:t>
      </w:r>
      <w:r w:rsidR="00A521B6">
        <w:rPr>
          <w:color w:val="000000"/>
          <w:sz w:val="24"/>
        </w:rPr>
        <w:t>95105686</w:t>
      </w:r>
      <w:r w:rsidR="00A521B6">
        <w:rPr>
          <w:color w:val="000000"/>
          <w:sz w:val="24"/>
        </w:rPr>
        <w:t>、</w:t>
      </w:r>
      <w:r w:rsidR="00A521B6">
        <w:rPr>
          <w:color w:val="000000"/>
          <w:sz w:val="24"/>
        </w:rPr>
        <w:t>4008880688</w:t>
      </w:r>
      <w:r w:rsidR="00A521B6">
        <w:rPr>
          <w:color w:val="000000"/>
          <w:sz w:val="24"/>
        </w:rPr>
        <w:t>（全国统一，均免长途费）进行相关咨询。</w:t>
      </w:r>
    </w:p>
    <w:p w:rsidR="00915E11" w:rsidRDefault="00E4191E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lastRenderedPageBreak/>
        <w:t>3</w:t>
      </w:r>
      <w:r w:rsidR="00A521B6"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915E11" w:rsidRDefault="00A521B6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915E11" w:rsidRDefault="00A521B6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915E11" w:rsidRDefault="00E4191E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2025年</w:t>
      </w:r>
      <w:r>
        <w:rPr>
          <w:rFonts w:ascii="宋体" w:hAnsi="宋体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/>
          <w:color w:val="000000"/>
          <w:kern w:val="0"/>
          <w:sz w:val="24"/>
        </w:rPr>
        <w:t>15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915E11" w:rsidSect="0019723C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AD6" w:rsidRDefault="00AB0AD6" w:rsidP="00E4191E">
      <w:r>
        <w:separator/>
      </w:r>
    </w:p>
  </w:endnote>
  <w:endnote w:type="continuationSeparator" w:id="0">
    <w:p w:rsidR="00AB0AD6" w:rsidRDefault="00AB0AD6" w:rsidP="00E41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AD6" w:rsidRDefault="00AB0AD6" w:rsidP="00E4191E">
      <w:r>
        <w:separator/>
      </w:r>
    </w:p>
  </w:footnote>
  <w:footnote w:type="continuationSeparator" w:id="0">
    <w:p w:rsidR="00AB0AD6" w:rsidRDefault="00AB0AD6" w:rsidP="00E41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1DE"/>
    <w:rsid w:val="00032D94"/>
    <w:rsid w:val="000455FD"/>
    <w:rsid w:val="000634F0"/>
    <w:rsid w:val="000819CB"/>
    <w:rsid w:val="000B15ED"/>
    <w:rsid w:val="000B5FFC"/>
    <w:rsid w:val="000D09B6"/>
    <w:rsid w:val="000D34BA"/>
    <w:rsid w:val="00103B85"/>
    <w:rsid w:val="00125246"/>
    <w:rsid w:val="001434F1"/>
    <w:rsid w:val="00160463"/>
    <w:rsid w:val="0017409F"/>
    <w:rsid w:val="0019723C"/>
    <w:rsid w:val="001A23F3"/>
    <w:rsid w:val="001C6EF6"/>
    <w:rsid w:val="001E3807"/>
    <w:rsid w:val="002246FB"/>
    <w:rsid w:val="00242AF0"/>
    <w:rsid w:val="002553C3"/>
    <w:rsid w:val="0025618E"/>
    <w:rsid w:val="00281AE2"/>
    <w:rsid w:val="00282DEB"/>
    <w:rsid w:val="00293001"/>
    <w:rsid w:val="00297C7D"/>
    <w:rsid w:val="002D4627"/>
    <w:rsid w:val="002D4A9A"/>
    <w:rsid w:val="002D774C"/>
    <w:rsid w:val="00335FBE"/>
    <w:rsid w:val="0033773A"/>
    <w:rsid w:val="00340BC0"/>
    <w:rsid w:val="00363752"/>
    <w:rsid w:val="003673E9"/>
    <w:rsid w:val="00370B6E"/>
    <w:rsid w:val="00387F42"/>
    <w:rsid w:val="00393457"/>
    <w:rsid w:val="00397CAB"/>
    <w:rsid w:val="003B4695"/>
    <w:rsid w:val="003B74CD"/>
    <w:rsid w:val="003C2515"/>
    <w:rsid w:val="003C6409"/>
    <w:rsid w:val="003F07FE"/>
    <w:rsid w:val="00400574"/>
    <w:rsid w:val="0046512C"/>
    <w:rsid w:val="00467B56"/>
    <w:rsid w:val="00473206"/>
    <w:rsid w:val="00475730"/>
    <w:rsid w:val="00492A32"/>
    <w:rsid w:val="004A0315"/>
    <w:rsid w:val="004D08A0"/>
    <w:rsid w:val="004E7045"/>
    <w:rsid w:val="00507A11"/>
    <w:rsid w:val="00513F60"/>
    <w:rsid w:val="00544911"/>
    <w:rsid w:val="00552AD6"/>
    <w:rsid w:val="005929FF"/>
    <w:rsid w:val="005A6FFF"/>
    <w:rsid w:val="005F1E8E"/>
    <w:rsid w:val="0061664E"/>
    <w:rsid w:val="00627A7F"/>
    <w:rsid w:val="00627E9A"/>
    <w:rsid w:val="006462FC"/>
    <w:rsid w:val="00684853"/>
    <w:rsid w:val="006915BB"/>
    <w:rsid w:val="006D382F"/>
    <w:rsid w:val="006F0CFF"/>
    <w:rsid w:val="006F26F9"/>
    <w:rsid w:val="007158BF"/>
    <w:rsid w:val="00752807"/>
    <w:rsid w:val="007D4DDF"/>
    <w:rsid w:val="007D6335"/>
    <w:rsid w:val="007E2B84"/>
    <w:rsid w:val="00804656"/>
    <w:rsid w:val="008162FD"/>
    <w:rsid w:val="00821974"/>
    <w:rsid w:val="008256C6"/>
    <w:rsid w:val="0083283D"/>
    <w:rsid w:val="00846ED6"/>
    <w:rsid w:val="0089500E"/>
    <w:rsid w:val="00897A96"/>
    <w:rsid w:val="008E08B6"/>
    <w:rsid w:val="0090555B"/>
    <w:rsid w:val="00915E11"/>
    <w:rsid w:val="009269A3"/>
    <w:rsid w:val="00932CA8"/>
    <w:rsid w:val="009413D9"/>
    <w:rsid w:val="00961000"/>
    <w:rsid w:val="009752B9"/>
    <w:rsid w:val="009E3371"/>
    <w:rsid w:val="009F21A3"/>
    <w:rsid w:val="00A04FD8"/>
    <w:rsid w:val="00A06FF9"/>
    <w:rsid w:val="00A521B6"/>
    <w:rsid w:val="00A54746"/>
    <w:rsid w:val="00A90AC9"/>
    <w:rsid w:val="00AB0AD6"/>
    <w:rsid w:val="00AC478E"/>
    <w:rsid w:val="00AF02DA"/>
    <w:rsid w:val="00B020E2"/>
    <w:rsid w:val="00B039C5"/>
    <w:rsid w:val="00B23342"/>
    <w:rsid w:val="00B252A6"/>
    <w:rsid w:val="00B27512"/>
    <w:rsid w:val="00B37EDF"/>
    <w:rsid w:val="00B5552F"/>
    <w:rsid w:val="00BA0B26"/>
    <w:rsid w:val="00BB0834"/>
    <w:rsid w:val="00BB3F60"/>
    <w:rsid w:val="00BB41FD"/>
    <w:rsid w:val="00BC2B20"/>
    <w:rsid w:val="00C0304E"/>
    <w:rsid w:val="00C14369"/>
    <w:rsid w:val="00C32EF7"/>
    <w:rsid w:val="00C82B41"/>
    <w:rsid w:val="00C8335E"/>
    <w:rsid w:val="00C979D2"/>
    <w:rsid w:val="00CE7544"/>
    <w:rsid w:val="00D3544B"/>
    <w:rsid w:val="00D7653E"/>
    <w:rsid w:val="00D91D63"/>
    <w:rsid w:val="00DB794B"/>
    <w:rsid w:val="00DC1C3B"/>
    <w:rsid w:val="00E4191E"/>
    <w:rsid w:val="00E458D5"/>
    <w:rsid w:val="00E6133E"/>
    <w:rsid w:val="00E63817"/>
    <w:rsid w:val="00E663C8"/>
    <w:rsid w:val="00EC409E"/>
    <w:rsid w:val="00ED2EA3"/>
    <w:rsid w:val="00F04119"/>
    <w:rsid w:val="00F076FE"/>
    <w:rsid w:val="00F74BED"/>
    <w:rsid w:val="00F93F60"/>
    <w:rsid w:val="00FD2AE2"/>
    <w:rsid w:val="3672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972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19723C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19723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19723C"/>
    <w:pPr>
      <w:shd w:val="clear" w:color="auto" w:fill="000080"/>
    </w:pPr>
  </w:style>
  <w:style w:type="paragraph" w:styleId="3">
    <w:name w:val="toc 3"/>
    <w:next w:val="a0"/>
    <w:uiPriority w:val="39"/>
    <w:unhideWhenUsed/>
    <w:rsid w:val="0019723C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19723C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rsid w:val="00197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197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qFormat/>
    <w:rsid w:val="0019723C"/>
    <w:pPr>
      <w:spacing w:after="100"/>
    </w:pPr>
  </w:style>
  <w:style w:type="paragraph" w:styleId="4">
    <w:name w:val="toc 4"/>
    <w:next w:val="a0"/>
    <w:uiPriority w:val="39"/>
    <w:unhideWhenUsed/>
    <w:qFormat/>
    <w:rsid w:val="0019723C"/>
    <w:pPr>
      <w:spacing w:after="100"/>
      <w:ind w:left="660"/>
    </w:pPr>
  </w:style>
  <w:style w:type="paragraph" w:styleId="a8">
    <w:name w:val="footnote text"/>
    <w:basedOn w:val="a0"/>
    <w:rsid w:val="0019723C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qFormat/>
    <w:rsid w:val="0019723C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19723C"/>
    <w:pPr>
      <w:numPr>
        <w:numId w:val="2"/>
      </w:numPr>
      <w:spacing w:before="120" w:after="120" w:line="360" w:lineRule="auto"/>
      <w:jc w:val="left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qFormat/>
    <w:rsid w:val="0019723C"/>
    <w:rPr>
      <w:color w:val="0563C1" w:themeColor="hyperlink"/>
      <w:u w:val="single"/>
    </w:rPr>
  </w:style>
  <w:style w:type="character" w:styleId="aa">
    <w:name w:val="footnote reference"/>
    <w:rsid w:val="0019723C"/>
    <w:rPr>
      <w:vertAlign w:val="superscript"/>
    </w:rPr>
  </w:style>
  <w:style w:type="paragraph" w:customStyle="1" w:styleId="Char3">
    <w:name w:val="Char"/>
    <w:basedOn w:val="a0"/>
    <w:rsid w:val="0019723C"/>
  </w:style>
  <w:style w:type="character" w:customStyle="1" w:styleId="Char1">
    <w:name w:val="页眉 Char"/>
    <w:link w:val="a7"/>
    <w:qFormat/>
    <w:rsid w:val="0019723C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19723C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19723C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19723C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19723C"/>
    <w:rPr>
      <w:lang w:eastAsia="ja-JP"/>
    </w:rPr>
  </w:style>
  <w:style w:type="character" w:customStyle="1" w:styleId="Char">
    <w:name w:val="批注框文本 Char"/>
    <w:link w:val="a5"/>
    <w:uiPriority w:val="99"/>
    <w:semiHidden/>
    <w:rsid w:val="00197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6085;&#24120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共同基金_临时公告(基金暂停日常业务公告)_LS0000_公募临时公告.dotx</Template>
  <TotalTime>0</TotalTime>
  <Pages>2</Pages>
  <Words>118</Words>
  <Characters>675</Characters>
  <Application>Microsoft Office Word</Application>
  <DocSecurity>4</DocSecurity>
  <Lines>5</Lines>
  <Paragraphs>1</Paragraphs>
  <ScaleCrop>false</ScaleCrop>
  <Company>fullgoal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2025-10-14T16:01:00Z</dcterms:created>
  <dcterms:modified xsi:type="dcterms:W3CDTF">2025-10-14T16:01:00Z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47F4DAC0D7CC4AA1AE5A10E2F75DF8C9</vt:lpwstr>
  </property>
</Properties>
</file>