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BD0" w:rsidRDefault="0001714E">
      <w:pPr>
        <w:spacing w:line="276" w:lineRule="auto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关于</w:t>
      </w:r>
      <w:r w:rsidR="007F19F3">
        <w:rPr>
          <w:rFonts w:ascii="Times New Roman" w:eastAsia="宋体" w:hAnsi="Times New Roman" w:cs="Times New Roman"/>
          <w:b/>
          <w:sz w:val="28"/>
          <w:szCs w:val="28"/>
        </w:rPr>
        <w:t>国泰标普</w:t>
      </w:r>
      <w:r w:rsidR="007F19F3">
        <w:rPr>
          <w:rFonts w:ascii="Times New Roman" w:eastAsia="宋体" w:hAnsi="Times New Roman" w:cs="Times New Roman"/>
          <w:b/>
          <w:sz w:val="28"/>
          <w:szCs w:val="28"/>
        </w:rPr>
        <w:t>500</w:t>
      </w:r>
      <w:r w:rsidR="007F19F3">
        <w:rPr>
          <w:rFonts w:ascii="Times New Roman" w:eastAsia="宋体" w:hAnsi="Times New Roman" w:cs="Times New Roman"/>
          <w:b/>
          <w:sz w:val="28"/>
          <w:szCs w:val="28"/>
        </w:rPr>
        <w:t>交易型开放式指数证券投资基金发起式联接基金（</w:t>
      </w:r>
      <w:r w:rsidR="007F19F3">
        <w:rPr>
          <w:rFonts w:ascii="Times New Roman" w:eastAsia="宋体" w:hAnsi="Times New Roman" w:cs="Times New Roman"/>
          <w:b/>
          <w:sz w:val="28"/>
          <w:szCs w:val="28"/>
        </w:rPr>
        <w:t>QDII</w:t>
      </w:r>
      <w:r w:rsidR="007F19F3">
        <w:rPr>
          <w:rFonts w:ascii="Times New Roman" w:eastAsia="宋体" w:hAnsi="Times New Roman" w:cs="Times New Roman"/>
          <w:b/>
          <w:sz w:val="28"/>
          <w:szCs w:val="28"/>
        </w:rPr>
        <w:t>）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调整大额</w:t>
      </w:r>
      <w:r w:rsidR="00D65FCD">
        <w:rPr>
          <w:rFonts w:ascii="Times New Roman" w:eastAsia="宋体" w:hAnsi="Times New Roman" w:cs="Times New Roman"/>
          <w:b/>
          <w:sz w:val="28"/>
          <w:szCs w:val="28"/>
        </w:rPr>
        <w:t>申购</w:t>
      </w:r>
      <w:r w:rsidR="00D65FCD">
        <w:rPr>
          <w:rFonts w:ascii="Times New Roman" w:eastAsia="宋体" w:hAnsi="Times New Roman" w:cs="Times New Roman" w:hint="eastAsia"/>
          <w:b/>
          <w:sz w:val="28"/>
          <w:szCs w:val="28"/>
        </w:rPr>
        <w:t>及</w:t>
      </w:r>
      <w:r>
        <w:rPr>
          <w:rFonts w:ascii="Times New Roman" w:eastAsia="宋体" w:hAnsi="Times New Roman" w:cs="Times New Roman"/>
          <w:b/>
          <w:sz w:val="28"/>
          <w:szCs w:val="28"/>
        </w:rPr>
        <w:t>定期定额投资业务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金额限制</w:t>
      </w:r>
      <w:r>
        <w:rPr>
          <w:rFonts w:ascii="Times New Roman" w:eastAsia="宋体" w:hAnsi="Times New Roman" w:cs="Times New Roman"/>
          <w:b/>
          <w:sz w:val="28"/>
          <w:szCs w:val="28"/>
        </w:rPr>
        <w:t>的公告</w:t>
      </w:r>
    </w:p>
    <w:p w:rsidR="009A6BD0" w:rsidRDefault="0001714E">
      <w:pPr>
        <w:spacing w:line="276" w:lineRule="auto"/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公告送出日期：</w:t>
      </w:r>
      <w:r w:rsidR="007D24A2">
        <w:rPr>
          <w:rFonts w:ascii="Times New Roman" w:eastAsia="宋体" w:hAnsi="Times New Roman" w:cs="Times New Roman"/>
          <w:b/>
          <w:szCs w:val="21"/>
        </w:rPr>
        <w:t>2025</w:t>
      </w:r>
      <w:r w:rsidR="007D24A2">
        <w:rPr>
          <w:rFonts w:ascii="Times New Roman" w:eastAsia="宋体" w:hAnsi="Times New Roman" w:cs="Times New Roman"/>
          <w:b/>
          <w:szCs w:val="21"/>
        </w:rPr>
        <w:t>年</w:t>
      </w:r>
      <w:r w:rsidR="006751A4">
        <w:rPr>
          <w:rFonts w:ascii="Times New Roman" w:eastAsia="宋体" w:hAnsi="Times New Roman" w:cs="Times New Roman"/>
          <w:b/>
          <w:szCs w:val="21"/>
        </w:rPr>
        <w:t>10</w:t>
      </w:r>
      <w:r w:rsidR="007D24A2">
        <w:rPr>
          <w:rFonts w:ascii="Times New Roman" w:eastAsia="宋体" w:hAnsi="Times New Roman" w:cs="Times New Roman"/>
          <w:b/>
          <w:szCs w:val="21"/>
        </w:rPr>
        <w:t>月</w:t>
      </w:r>
      <w:r w:rsidR="006751A4">
        <w:rPr>
          <w:rFonts w:ascii="Times New Roman" w:eastAsia="宋体" w:hAnsi="Times New Roman" w:cs="Times New Roman"/>
          <w:b/>
          <w:szCs w:val="21"/>
        </w:rPr>
        <w:t>15</w:t>
      </w:r>
      <w:r w:rsidR="007D24A2">
        <w:rPr>
          <w:rFonts w:ascii="Times New Roman" w:eastAsia="宋体" w:hAnsi="Times New Roman" w:cs="Times New Roman"/>
          <w:b/>
          <w:szCs w:val="21"/>
        </w:rPr>
        <w:t>日</w:t>
      </w:r>
    </w:p>
    <w:p w:rsidR="009A6BD0" w:rsidRDefault="0001714E">
      <w:pPr>
        <w:spacing w:line="276" w:lineRule="auto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一、公告基本信息</w:t>
      </w:r>
    </w:p>
    <w:tbl>
      <w:tblPr>
        <w:tblStyle w:val="a9"/>
        <w:tblW w:w="9634" w:type="dxa"/>
        <w:jc w:val="center"/>
        <w:tblLook w:val="04A0"/>
      </w:tblPr>
      <w:tblGrid>
        <w:gridCol w:w="2972"/>
        <w:gridCol w:w="3472"/>
        <w:gridCol w:w="3190"/>
      </w:tblGrid>
      <w:tr w:rsidR="009A6BD0">
        <w:trPr>
          <w:jc w:val="center"/>
        </w:trPr>
        <w:tc>
          <w:tcPr>
            <w:tcW w:w="2972" w:type="dxa"/>
            <w:vAlign w:val="center"/>
          </w:tcPr>
          <w:p w:rsidR="009A6BD0" w:rsidRDefault="0001714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基金名称</w:t>
            </w:r>
          </w:p>
        </w:tc>
        <w:tc>
          <w:tcPr>
            <w:tcW w:w="6662" w:type="dxa"/>
            <w:gridSpan w:val="2"/>
            <w:vAlign w:val="center"/>
          </w:tcPr>
          <w:p w:rsidR="009A6BD0" w:rsidRDefault="003547F4">
            <w:pPr>
              <w:rPr>
                <w:rStyle w:val="aa"/>
                <w:rFonts w:ascii="Times New Roman" w:eastAsia="宋体" w:hAnsi="Times New Roman" w:cs="Times New Roman"/>
                <w:color w:val="313131"/>
                <w:shd w:val="clear" w:color="auto" w:fill="F8F8F8"/>
              </w:rPr>
            </w:pPr>
            <w:hyperlink r:id="rId7" w:tgtFrame="_blank" w:history="1">
              <w:r w:rsidR="007F19F3">
                <w:rPr>
                  <w:rStyle w:val="aa"/>
                  <w:rFonts w:ascii="Times New Roman" w:eastAsia="宋体" w:hAnsi="Times New Roman" w:cs="Times New Roman"/>
                  <w:color w:val="313131"/>
                  <w:szCs w:val="21"/>
                  <w:shd w:val="clear" w:color="auto" w:fill="F8F8F8"/>
                </w:rPr>
                <w:t>国泰标普</w:t>
              </w:r>
              <w:r w:rsidR="007F19F3">
                <w:rPr>
                  <w:rStyle w:val="aa"/>
                  <w:rFonts w:ascii="Times New Roman" w:eastAsia="宋体" w:hAnsi="Times New Roman" w:cs="Times New Roman"/>
                  <w:color w:val="313131"/>
                  <w:szCs w:val="21"/>
                  <w:shd w:val="clear" w:color="auto" w:fill="F8F8F8"/>
                </w:rPr>
                <w:t>500</w:t>
              </w:r>
              <w:r w:rsidR="007F19F3">
                <w:rPr>
                  <w:rStyle w:val="aa"/>
                  <w:rFonts w:ascii="Times New Roman" w:eastAsia="宋体" w:hAnsi="Times New Roman" w:cs="Times New Roman"/>
                  <w:color w:val="313131"/>
                  <w:szCs w:val="21"/>
                  <w:shd w:val="clear" w:color="auto" w:fill="F8F8F8"/>
                </w:rPr>
                <w:t>交易型开放式指数证券投资基金发起式联接基金（</w:t>
              </w:r>
              <w:r w:rsidR="007F19F3">
                <w:rPr>
                  <w:rStyle w:val="aa"/>
                  <w:rFonts w:ascii="Times New Roman" w:eastAsia="宋体" w:hAnsi="Times New Roman" w:cs="Times New Roman"/>
                  <w:color w:val="313131"/>
                  <w:szCs w:val="21"/>
                  <w:shd w:val="clear" w:color="auto" w:fill="F8F8F8"/>
                </w:rPr>
                <w:t>QDII</w:t>
              </w:r>
              <w:r w:rsidR="007F19F3">
                <w:rPr>
                  <w:rStyle w:val="aa"/>
                  <w:rFonts w:ascii="Times New Roman" w:eastAsia="宋体" w:hAnsi="Times New Roman" w:cs="Times New Roman"/>
                  <w:color w:val="313131"/>
                  <w:szCs w:val="21"/>
                  <w:shd w:val="clear" w:color="auto" w:fill="F8F8F8"/>
                </w:rPr>
                <w:t>）</w:t>
              </w:r>
            </w:hyperlink>
          </w:p>
        </w:tc>
      </w:tr>
      <w:tr w:rsidR="009A6BD0">
        <w:trPr>
          <w:jc w:val="center"/>
        </w:trPr>
        <w:tc>
          <w:tcPr>
            <w:tcW w:w="2972" w:type="dxa"/>
            <w:vAlign w:val="center"/>
          </w:tcPr>
          <w:p w:rsidR="009A6BD0" w:rsidRDefault="0001714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基金简称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9A6BD0" w:rsidRDefault="00924EBA">
            <w:pPr>
              <w:rPr>
                <w:rStyle w:val="aa"/>
                <w:rFonts w:ascii="Times New Roman" w:eastAsia="宋体" w:hAnsi="Times New Roman" w:cs="Times New Roman"/>
                <w:color w:val="313131"/>
                <w:shd w:val="clear" w:color="auto" w:fill="F8F8F8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国泰标普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500ETF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发起联接（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QDII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</w:tr>
      <w:tr w:rsidR="009A6BD0">
        <w:trPr>
          <w:jc w:val="center"/>
        </w:trPr>
        <w:tc>
          <w:tcPr>
            <w:tcW w:w="2972" w:type="dxa"/>
            <w:vAlign w:val="center"/>
          </w:tcPr>
          <w:p w:rsidR="009A6BD0" w:rsidRDefault="0001714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基金主代码</w:t>
            </w:r>
          </w:p>
        </w:tc>
        <w:tc>
          <w:tcPr>
            <w:tcW w:w="6662" w:type="dxa"/>
            <w:gridSpan w:val="2"/>
            <w:vAlign w:val="center"/>
          </w:tcPr>
          <w:p w:rsidR="009A6BD0" w:rsidRDefault="00924EB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017028</w:t>
            </w:r>
          </w:p>
        </w:tc>
      </w:tr>
      <w:tr w:rsidR="009A6BD0">
        <w:trPr>
          <w:trHeight w:val="314"/>
          <w:jc w:val="center"/>
        </w:trPr>
        <w:tc>
          <w:tcPr>
            <w:tcW w:w="2972" w:type="dxa"/>
            <w:vAlign w:val="center"/>
          </w:tcPr>
          <w:p w:rsidR="009A6BD0" w:rsidRDefault="0001714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基金管理人名称</w:t>
            </w:r>
          </w:p>
        </w:tc>
        <w:tc>
          <w:tcPr>
            <w:tcW w:w="6662" w:type="dxa"/>
            <w:gridSpan w:val="2"/>
            <w:vAlign w:val="center"/>
          </w:tcPr>
          <w:p w:rsidR="009A6BD0" w:rsidRDefault="0001714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国泰基金管理有限公司</w:t>
            </w:r>
          </w:p>
        </w:tc>
      </w:tr>
      <w:tr w:rsidR="009A6BD0" w:rsidTr="00924EBA">
        <w:trPr>
          <w:trHeight w:val="353"/>
          <w:jc w:val="center"/>
        </w:trPr>
        <w:tc>
          <w:tcPr>
            <w:tcW w:w="2972" w:type="dxa"/>
            <w:vAlign w:val="center"/>
          </w:tcPr>
          <w:p w:rsidR="009A6BD0" w:rsidRDefault="0001714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公告依据</w:t>
            </w:r>
          </w:p>
        </w:tc>
        <w:tc>
          <w:tcPr>
            <w:tcW w:w="6662" w:type="dxa"/>
            <w:gridSpan w:val="2"/>
            <w:vAlign w:val="center"/>
          </w:tcPr>
          <w:p w:rsidR="009A6BD0" w:rsidRDefault="0001714E" w:rsidP="00924EB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根据《公开募集证券投资基金信息披露管理办法》、</w:t>
            </w:r>
            <w:r w:rsidR="00924EBA">
              <w:rPr>
                <w:rFonts w:ascii="Times New Roman" w:eastAsia="宋体" w:hAnsi="Times New Roman" w:cs="Times New Roman" w:hint="eastAsia"/>
                <w:szCs w:val="21"/>
              </w:rPr>
              <w:t>《国泰标普</w:t>
            </w:r>
            <w:r w:rsidR="00924EBA">
              <w:rPr>
                <w:rFonts w:ascii="Times New Roman" w:eastAsia="宋体" w:hAnsi="Times New Roman" w:cs="Times New Roman" w:hint="eastAsia"/>
                <w:szCs w:val="21"/>
              </w:rPr>
              <w:t>500</w:t>
            </w:r>
            <w:r w:rsidR="00924EBA">
              <w:rPr>
                <w:rFonts w:ascii="Times New Roman" w:eastAsia="宋体" w:hAnsi="Times New Roman" w:cs="Times New Roman" w:hint="eastAsia"/>
                <w:szCs w:val="21"/>
              </w:rPr>
              <w:t>交易型开放式指数证券投资基金发起式联接基金（</w:t>
            </w:r>
            <w:r w:rsidR="00924EBA">
              <w:rPr>
                <w:rFonts w:ascii="Times New Roman" w:eastAsia="宋体" w:hAnsi="Times New Roman" w:cs="Times New Roman" w:hint="eastAsia"/>
                <w:szCs w:val="21"/>
              </w:rPr>
              <w:t>QDII</w:t>
            </w:r>
            <w:r w:rsidR="00924EBA">
              <w:rPr>
                <w:rFonts w:ascii="Times New Roman" w:eastAsia="宋体" w:hAnsi="Times New Roman" w:cs="Times New Roman" w:hint="eastAsia"/>
                <w:szCs w:val="21"/>
              </w:rPr>
              <w:t>）基金合同》、《国泰标普</w:t>
            </w:r>
            <w:r w:rsidR="00924EBA">
              <w:rPr>
                <w:rFonts w:ascii="Times New Roman" w:eastAsia="宋体" w:hAnsi="Times New Roman" w:cs="Times New Roman" w:hint="eastAsia"/>
                <w:szCs w:val="21"/>
              </w:rPr>
              <w:t>500</w:t>
            </w:r>
            <w:r w:rsidR="00924EBA">
              <w:rPr>
                <w:rFonts w:ascii="Times New Roman" w:eastAsia="宋体" w:hAnsi="Times New Roman" w:cs="Times New Roman" w:hint="eastAsia"/>
                <w:szCs w:val="21"/>
              </w:rPr>
              <w:t>交易型开放式指数证券投资基金发起式联接基金（</w:t>
            </w:r>
            <w:r w:rsidR="00924EBA">
              <w:rPr>
                <w:rFonts w:ascii="Times New Roman" w:eastAsia="宋体" w:hAnsi="Times New Roman" w:cs="Times New Roman" w:hint="eastAsia"/>
                <w:szCs w:val="21"/>
              </w:rPr>
              <w:t>QDII</w:t>
            </w:r>
            <w:r w:rsidR="00924EBA">
              <w:rPr>
                <w:rFonts w:ascii="Times New Roman" w:eastAsia="宋体" w:hAnsi="Times New Roman" w:cs="Times New Roman" w:hint="eastAsia"/>
                <w:szCs w:val="21"/>
              </w:rPr>
              <w:t>）招募说明书》等相关文件的规定</w:t>
            </w:r>
            <w:r w:rsidR="00924EBA"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</w:tc>
      </w:tr>
      <w:tr w:rsidR="009A6BD0">
        <w:trPr>
          <w:trHeight w:val="70"/>
          <w:jc w:val="center"/>
        </w:trPr>
        <w:tc>
          <w:tcPr>
            <w:tcW w:w="2972" w:type="dxa"/>
            <w:vMerge w:val="restart"/>
            <w:vAlign w:val="center"/>
          </w:tcPr>
          <w:p w:rsidR="009A6BD0" w:rsidRDefault="0001714E" w:rsidP="0001714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</w:rPr>
              <w:t>调整相关业务的起始日、金额及原因说明</w:t>
            </w:r>
          </w:p>
        </w:tc>
        <w:tc>
          <w:tcPr>
            <w:tcW w:w="3472" w:type="dxa"/>
            <w:vAlign w:val="center"/>
          </w:tcPr>
          <w:p w:rsidR="009A6BD0" w:rsidRDefault="0001714E">
            <w:pPr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</w:rPr>
              <w:t>调整大额申购业务金额限制起始日</w:t>
            </w:r>
          </w:p>
        </w:tc>
        <w:tc>
          <w:tcPr>
            <w:tcW w:w="3190" w:type="dxa"/>
            <w:vAlign w:val="center"/>
          </w:tcPr>
          <w:p w:rsidR="009A6BD0" w:rsidRDefault="007D24A2" w:rsidP="00304E4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2025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 w:rsidR="006751A4">
              <w:rPr>
                <w:rFonts w:ascii="Times New Roman" w:eastAsia="宋体" w:hAnsi="Times New Roman" w:cs="Times New Roman"/>
                <w:szCs w:val="21"/>
              </w:rPr>
              <w:t>10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 w:rsidR="006751A4">
              <w:rPr>
                <w:rFonts w:ascii="Times New Roman" w:eastAsia="宋体" w:hAnsi="Times New Roman" w:cs="Times New Roman"/>
                <w:szCs w:val="21"/>
              </w:rPr>
              <w:t>15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9A6BD0">
        <w:trPr>
          <w:trHeight w:val="70"/>
          <w:jc w:val="center"/>
        </w:trPr>
        <w:tc>
          <w:tcPr>
            <w:tcW w:w="2972" w:type="dxa"/>
            <w:vMerge/>
            <w:vAlign w:val="center"/>
          </w:tcPr>
          <w:p w:rsidR="009A6BD0" w:rsidRDefault="009A6BD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472" w:type="dxa"/>
            <w:vAlign w:val="center"/>
          </w:tcPr>
          <w:p w:rsidR="009A6BD0" w:rsidRDefault="0001714E">
            <w:pPr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</w:rPr>
              <w:t>调整大额定期定额投资业务金额限制起始日</w:t>
            </w:r>
          </w:p>
        </w:tc>
        <w:tc>
          <w:tcPr>
            <w:tcW w:w="3190" w:type="dxa"/>
          </w:tcPr>
          <w:p w:rsidR="009A6BD0" w:rsidRDefault="007D24A2" w:rsidP="00304E4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2025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 w:rsidR="006751A4">
              <w:rPr>
                <w:rFonts w:ascii="Times New Roman" w:eastAsia="宋体" w:hAnsi="Times New Roman" w:cs="Times New Roman"/>
                <w:szCs w:val="21"/>
              </w:rPr>
              <w:t>10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 w:rsidR="006751A4">
              <w:rPr>
                <w:rFonts w:ascii="Times New Roman" w:eastAsia="宋体" w:hAnsi="Times New Roman" w:cs="Times New Roman"/>
                <w:szCs w:val="21"/>
              </w:rPr>
              <w:t>15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9A6BD0">
        <w:trPr>
          <w:trHeight w:val="90"/>
          <w:jc w:val="center"/>
        </w:trPr>
        <w:tc>
          <w:tcPr>
            <w:tcW w:w="2972" w:type="dxa"/>
            <w:vMerge/>
            <w:vAlign w:val="center"/>
          </w:tcPr>
          <w:p w:rsidR="009A6BD0" w:rsidRDefault="009A6BD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472" w:type="dxa"/>
            <w:vAlign w:val="center"/>
          </w:tcPr>
          <w:p w:rsidR="009A6BD0" w:rsidRDefault="0001714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限制申购金额（单位：元）</w:t>
            </w:r>
          </w:p>
        </w:tc>
        <w:tc>
          <w:tcPr>
            <w:tcW w:w="3190" w:type="dxa"/>
            <w:vAlign w:val="center"/>
          </w:tcPr>
          <w:p w:rsidR="009A6BD0" w:rsidRDefault="00EC119D" w:rsidP="001573F4">
            <w:pPr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01714E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1573F4">
              <w:rPr>
                <w:rFonts w:ascii="Times New Roman" w:eastAsia="宋体" w:hAnsi="Times New Roman" w:cs="Times New Roman"/>
                <w:szCs w:val="21"/>
              </w:rPr>
              <w:t>,</w:t>
            </w:r>
            <w:r w:rsidR="0001714E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304E48">
              <w:rPr>
                <w:rFonts w:ascii="Times New Roman" w:eastAsia="宋体" w:hAnsi="Times New Roman" w:cs="Times New Roman"/>
                <w:szCs w:val="21"/>
              </w:rPr>
              <w:t>00</w:t>
            </w:r>
            <w:r w:rsidR="0001714E">
              <w:rPr>
                <w:rFonts w:ascii="Times New Roman" w:eastAsia="宋体" w:hAnsi="Times New Roman" w:cs="Times New Roman" w:hint="eastAsia"/>
                <w:szCs w:val="21"/>
              </w:rPr>
              <w:t>.00</w:t>
            </w:r>
          </w:p>
        </w:tc>
      </w:tr>
      <w:tr w:rsidR="009A6BD0">
        <w:trPr>
          <w:trHeight w:val="90"/>
          <w:jc w:val="center"/>
        </w:trPr>
        <w:tc>
          <w:tcPr>
            <w:tcW w:w="2972" w:type="dxa"/>
            <w:vMerge/>
            <w:vAlign w:val="center"/>
          </w:tcPr>
          <w:p w:rsidR="009A6BD0" w:rsidRDefault="009A6BD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472" w:type="dxa"/>
            <w:vAlign w:val="center"/>
          </w:tcPr>
          <w:p w:rsidR="009A6BD0" w:rsidRDefault="0001714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限制定期定额投资金额（单位：元）</w:t>
            </w:r>
          </w:p>
        </w:tc>
        <w:tc>
          <w:tcPr>
            <w:tcW w:w="3190" w:type="dxa"/>
            <w:vAlign w:val="center"/>
          </w:tcPr>
          <w:p w:rsidR="009A6BD0" w:rsidRDefault="00EC119D">
            <w:pPr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01714E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1573F4">
              <w:rPr>
                <w:rFonts w:ascii="Times New Roman" w:eastAsia="宋体" w:hAnsi="Times New Roman" w:cs="Times New Roman"/>
                <w:szCs w:val="21"/>
              </w:rPr>
              <w:t>,</w:t>
            </w:r>
            <w:r w:rsidR="00304E48">
              <w:rPr>
                <w:rFonts w:ascii="Times New Roman" w:eastAsia="宋体" w:hAnsi="Times New Roman" w:cs="Times New Roman"/>
                <w:szCs w:val="21"/>
              </w:rPr>
              <w:t>00</w:t>
            </w:r>
            <w:r w:rsidR="0001714E">
              <w:rPr>
                <w:rFonts w:ascii="Times New Roman" w:eastAsia="宋体" w:hAnsi="Times New Roman" w:cs="Times New Roman" w:hint="eastAsia"/>
                <w:szCs w:val="21"/>
              </w:rPr>
              <w:t>0.00</w:t>
            </w:r>
          </w:p>
        </w:tc>
      </w:tr>
      <w:tr w:rsidR="009A6BD0">
        <w:trPr>
          <w:trHeight w:val="133"/>
          <w:jc w:val="center"/>
        </w:trPr>
        <w:tc>
          <w:tcPr>
            <w:tcW w:w="2972" w:type="dxa"/>
            <w:vMerge/>
            <w:vAlign w:val="center"/>
          </w:tcPr>
          <w:p w:rsidR="009A6BD0" w:rsidRDefault="009A6BD0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472" w:type="dxa"/>
            <w:vAlign w:val="center"/>
          </w:tcPr>
          <w:p w:rsidR="009A6BD0" w:rsidRDefault="0001714E" w:rsidP="00C874B7">
            <w:pPr>
              <w:tabs>
                <w:tab w:val="left" w:pos="675"/>
              </w:tabs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</w:rPr>
              <w:t>调整大额申购、定期定额投资业务金额限制原因说明</w:t>
            </w:r>
          </w:p>
        </w:tc>
        <w:tc>
          <w:tcPr>
            <w:tcW w:w="3190" w:type="dxa"/>
            <w:vAlign w:val="center"/>
          </w:tcPr>
          <w:p w:rsidR="009A6BD0" w:rsidRDefault="0001714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维护基金份额持有人的利益</w:t>
            </w:r>
          </w:p>
        </w:tc>
      </w:tr>
      <w:tr w:rsidR="00D65FCD">
        <w:trPr>
          <w:trHeight w:val="90"/>
          <w:jc w:val="center"/>
        </w:trPr>
        <w:tc>
          <w:tcPr>
            <w:tcW w:w="2972" w:type="dxa"/>
            <w:vAlign w:val="center"/>
          </w:tcPr>
          <w:p w:rsidR="00D65FCD" w:rsidRDefault="00D65FCD" w:rsidP="00D65FCD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下属分级基金的基金简称</w:t>
            </w:r>
          </w:p>
        </w:tc>
        <w:tc>
          <w:tcPr>
            <w:tcW w:w="3472" w:type="dxa"/>
            <w:vAlign w:val="center"/>
          </w:tcPr>
          <w:p w:rsidR="00D65FCD" w:rsidRPr="00D65FCD" w:rsidRDefault="00D65FCD" w:rsidP="00D65FCD">
            <w:pPr>
              <w:tabs>
                <w:tab w:val="left" w:pos="675"/>
              </w:tabs>
              <w:rPr>
                <w:rFonts w:ascii="Times New Roman" w:eastAsia="宋体" w:hAnsi="Times New Roman" w:cs="Times New Roman"/>
                <w:szCs w:val="21"/>
              </w:rPr>
            </w:pPr>
            <w:r w:rsidRPr="00D65FCD">
              <w:rPr>
                <w:rFonts w:ascii="Times New Roman" w:hAnsi="Times New Roman" w:cs="Times New Roman"/>
                <w:szCs w:val="21"/>
              </w:rPr>
              <w:t>国泰标普</w:t>
            </w:r>
            <w:r w:rsidRPr="00D65FCD">
              <w:rPr>
                <w:rFonts w:ascii="Times New Roman" w:hAnsi="Times New Roman" w:cs="Times New Roman"/>
                <w:szCs w:val="21"/>
              </w:rPr>
              <w:t>500ETF</w:t>
            </w:r>
            <w:r w:rsidRPr="00D65FCD">
              <w:rPr>
                <w:rFonts w:ascii="Times New Roman" w:hAnsi="Times New Roman" w:cs="Times New Roman"/>
                <w:szCs w:val="21"/>
              </w:rPr>
              <w:t>发起联接（</w:t>
            </w:r>
            <w:r w:rsidRPr="00D65FCD">
              <w:rPr>
                <w:rFonts w:ascii="Times New Roman" w:hAnsi="Times New Roman" w:cs="Times New Roman"/>
                <w:szCs w:val="21"/>
              </w:rPr>
              <w:t>QDII</w:t>
            </w:r>
            <w:r w:rsidRPr="00D65FCD">
              <w:rPr>
                <w:rFonts w:ascii="Times New Roman" w:hAnsi="Times New Roman" w:cs="Times New Roman"/>
                <w:szCs w:val="21"/>
              </w:rPr>
              <w:t>）</w:t>
            </w:r>
            <w:r w:rsidRPr="00D65FCD">
              <w:rPr>
                <w:rFonts w:ascii="Times New Roman" w:hAnsi="Times New Roman" w:cs="Times New Roman"/>
                <w:szCs w:val="21"/>
              </w:rPr>
              <w:t>A</w:t>
            </w:r>
            <w:r w:rsidRPr="00D65FCD">
              <w:rPr>
                <w:rFonts w:ascii="Times New Roman" w:hAnsi="Times New Roman" w:cs="Times New Roman"/>
                <w:szCs w:val="21"/>
              </w:rPr>
              <w:t>人民币</w:t>
            </w:r>
          </w:p>
        </w:tc>
        <w:tc>
          <w:tcPr>
            <w:tcW w:w="3190" w:type="dxa"/>
            <w:vAlign w:val="center"/>
          </w:tcPr>
          <w:p w:rsidR="00D65FCD" w:rsidRPr="00D65FCD" w:rsidRDefault="00D65FCD" w:rsidP="00D65FC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65FCD">
              <w:rPr>
                <w:rFonts w:ascii="Times New Roman" w:hAnsi="Times New Roman" w:cs="Times New Roman"/>
                <w:szCs w:val="21"/>
              </w:rPr>
              <w:t>国泰标普</w:t>
            </w:r>
            <w:r w:rsidRPr="00D65FCD">
              <w:rPr>
                <w:rFonts w:ascii="Times New Roman" w:hAnsi="Times New Roman" w:cs="Times New Roman"/>
                <w:szCs w:val="21"/>
              </w:rPr>
              <w:t>500ETF</w:t>
            </w:r>
            <w:r w:rsidRPr="00D65FCD">
              <w:rPr>
                <w:rFonts w:ascii="Times New Roman" w:hAnsi="Times New Roman" w:cs="Times New Roman"/>
                <w:szCs w:val="21"/>
              </w:rPr>
              <w:t>发起联接（</w:t>
            </w:r>
            <w:r w:rsidRPr="00D65FCD">
              <w:rPr>
                <w:rFonts w:ascii="Times New Roman" w:hAnsi="Times New Roman" w:cs="Times New Roman"/>
                <w:szCs w:val="21"/>
              </w:rPr>
              <w:t>QDII</w:t>
            </w:r>
            <w:r w:rsidRPr="00D65FCD">
              <w:rPr>
                <w:rFonts w:ascii="Times New Roman" w:hAnsi="Times New Roman" w:cs="Times New Roman"/>
                <w:szCs w:val="21"/>
              </w:rPr>
              <w:t>）</w:t>
            </w:r>
            <w:r w:rsidRPr="00D65FCD">
              <w:rPr>
                <w:rFonts w:ascii="Times New Roman" w:hAnsi="Times New Roman" w:cs="Times New Roman"/>
                <w:szCs w:val="21"/>
              </w:rPr>
              <w:t>C</w:t>
            </w:r>
            <w:r w:rsidRPr="00D65FCD">
              <w:rPr>
                <w:rFonts w:ascii="Times New Roman" w:hAnsi="Times New Roman" w:cs="Times New Roman"/>
                <w:szCs w:val="21"/>
              </w:rPr>
              <w:t>人民币</w:t>
            </w:r>
          </w:p>
        </w:tc>
      </w:tr>
      <w:tr w:rsidR="00D65FCD">
        <w:trPr>
          <w:trHeight w:val="133"/>
          <w:jc w:val="center"/>
        </w:trPr>
        <w:tc>
          <w:tcPr>
            <w:tcW w:w="2972" w:type="dxa"/>
            <w:vAlign w:val="center"/>
          </w:tcPr>
          <w:p w:rsidR="00D65FCD" w:rsidRDefault="00D65FCD" w:rsidP="00D65FCD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下属分级基金的交易代码</w:t>
            </w:r>
          </w:p>
        </w:tc>
        <w:tc>
          <w:tcPr>
            <w:tcW w:w="3472" w:type="dxa"/>
            <w:vAlign w:val="center"/>
          </w:tcPr>
          <w:p w:rsidR="00D65FCD" w:rsidRPr="00D65FCD" w:rsidRDefault="00D65FCD" w:rsidP="00D65FCD">
            <w:pPr>
              <w:tabs>
                <w:tab w:val="left" w:pos="675"/>
              </w:tabs>
              <w:rPr>
                <w:rFonts w:ascii="Times New Roman" w:eastAsia="宋体" w:hAnsi="Times New Roman" w:cs="Times New Roman"/>
                <w:szCs w:val="21"/>
              </w:rPr>
            </w:pPr>
            <w:r w:rsidRPr="00D65FCD">
              <w:rPr>
                <w:rFonts w:ascii="Times New Roman" w:hAnsi="Times New Roman" w:cs="Times New Roman"/>
                <w:szCs w:val="21"/>
              </w:rPr>
              <w:t>017028</w:t>
            </w:r>
          </w:p>
        </w:tc>
        <w:tc>
          <w:tcPr>
            <w:tcW w:w="3190" w:type="dxa"/>
            <w:vAlign w:val="center"/>
          </w:tcPr>
          <w:p w:rsidR="00D65FCD" w:rsidRPr="00D65FCD" w:rsidRDefault="00D65FCD" w:rsidP="00D65FC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65FCD">
              <w:rPr>
                <w:rFonts w:ascii="Times New Roman" w:hAnsi="Times New Roman" w:cs="Times New Roman"/>
                <w:szCs w:val="21"/>
              </w:rPr>
              <w:t>017030</w:t>
            </w:r>
          </w:p>
        </w:tc>
      </w:tr>
      <w:tr w:rsidR="009A6BD0">
        <w:trPr>
          <w:trHeight w:val="90"/>
          <w:jc w:val="center"/>
        </w:trPr>
        <w:tc>
          <w:tcPr>
            <w:tcW w:w="2972" w:type="dxa"/>
            <w:vAlign w:val="center"/>
          </w:tcPr>
          <w:p w:rsidR="009A6BD0" w:rsidRDefault="0001714E" w:rsidP="00816C62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</w:rPr>
              <w:t>该分级基金是否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调整大额</w:t>
            </w:r>
            <w:r>
              <w:rPr>
                <w:rFonts w:ascii="Times New Roman" w:eastAsia="宋体" w:hAnsi="Times New Roman" w:cs="Times New Roman"/>
                <w:szCs w:val="21"/>
              </w:rPr>
              <w:t>申购、定期定额投资业务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金额限制</w:t>
            </w:r>
          </w:p>
        </w:tc>
        <w:tc>
          <w:tcPr>
            <w:tcW w:w="3472" w:type="dxa"/>
            <w:vAlign w:val="center"/>
          </w:tcPr>
          <w:p w:rsidR="009A6BD0" w:rsidRDefault="0001714E">
            <w:pPr>
              <w:tabs>
                <w:tab w:val="left" w:pos="675"/>
              </w:tabs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是</w:t>
            </w:r>
          </w:p>
        </w:tc>
        <w:tc>
          <w:tcPr>
            <w:tcW w:w="3190" w:type="dxa"/>
            <w:vAlign w:val="center"/>
          </w:tcPr>
          <w:p w:rsidR="009A6BD0" w:rsidRDefault="0001714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是</w:t>
            </w:r>
          </w:p>
        </w:tc>
      </w:tr>
    </w:tbl>
    <w:p w:rsidR="009A6BD0" w:rsidRDefault="0001714E">
      <w:pPr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注：自</w:t>
      </w:r>
      <w:r>
        <w:rPr>
          <w:rFonts w:ascii="Times New Roman" w:eastAsia="宋体" w:hAnsi="Times New Roman" w:cs="Times New Roman"/>
          <w:szCs w:val="21"/>
        </w:rPr>
        <w:t>202</w:t>
      </w:r>
      <w:r w:rsidR="002F4F7B">
        <w:rPr>
          <w:rFonts w:ascii="Times New Roman" w:eastAsia="宋体" w:hAnsi="Times New Roman" w:cs="Times New Roman"/>
          <w:szCs w:val="21"/>
        </w:rPr>
        <w:t>5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6751A4">
        <w:rPr>
          <w:rFonts w:ascii="Times New Roman" w:eastAsia="宋体" w:hAnsi="Times New Roman" w:cs="Times New Roman"/>
          <w:szCs w:val="21"/>
        </w:rPr>
        <w:t>10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6751A4">
        <w:rPr>
          <w:rFonts w:ascii="Times New Roman" w:eastAsia="宋体" w:hAnsi="Times New Roman" w:cs="Times New Roman"/>
          <w:szCs w:val="21"/>
        </w:rPr>
        <w:t>15</w:t>
      </w:r>
      <w:r>
        <w:rPr>
          <w:rFonts w:ascii="Times New Roman" w:eastAsia="宋体" w:hAnsi="Times New Roman" w:cs="Times New Roman" w:hint="eastAsia"/>
          <w:szCs w:val="21"/>
        </w:rPr>
        <w:t>日起，</w:t>
      </w:r>
      <w:r>
        <w:rPr>
          <w:rFonts w:ascii="Times New Roman" w:hAnsi="Times New Roman" w:cs="Times New Roman"/>
          <w:szCs w:val="21"/>
        </w:rPr>
        <w:t>本基金管理人决定对本基金的申购</w:t>
      </w:r>
      <w:r w:rsidR="00617967">
        <w:rPr>
          <w:rFonts w:ascii="Times New Roman" w:hAnsi="Times New Roman" w:cs="Times New Roman" w:hint="eastAsia"/>
          <w:szCs w:val="21"/>
        </w:rPr>
        <w:t>及</w:t>
      </w:r>
      <w:r>
        <w:rPr>
          <w:rFonts w:ascii="Times New Roman" w:hAnsi="Times New Roman" w:cs="Times New Roman" w:hint="eastAsia"/>
          <w:szCs w:val="21"/>
        </w:rPr>
        <w:t>定期定额投资</w:t>
      </w:r>
      <w:r>
        <w:rPr>
          <w:rFonts w:ascii="Times New Roman" w:hAnsi="Times New Roman" w:cs="Times New Roman"/>
          <w:szCs w:val="21"/>
        </w:rPr>
        <w:t>业务的限制金额</w:t>
      </w:r>
      <w:r>
        <w:rPr>
          <w:rFonts w:ascii="Times New Roman" w:hAnsi="Times New Roman" w:cs="Times New Roman" w:hint="eastAsia"/>
          <w:szCs w:val="21"/>
        </w:rPr>
        <w:t>进行调整</w:t>
      </w:r>
      <w:r>
        <w:rPr>
          <w:rFonts w:ascii="Times New Roman" w:hAnsi="Times New Roman" w:cs="Times New Roman"/>
          <w:szCs w:val="21"/>
        </w:rPr>
        <w:t>。</w:t>
      </w:r>
      <w:r>
        <w:rPr>
          <w:rFonts w:ascii="Times New Roman" w:eastAsia="宋体" w:hAnsi="Times New Roman" w:cs="Times New Roman" w:hint="eastAsia"/>
          <w:szCs w:val="21"/>
        </w:rPr>
        <w:t>单日每个基金账户的累计</w:t>
      </w:r>
      <w:r w:rsidR="00617967">
        <w:rPr>
          <w:rFonts w:ascii="Times New Roman" w:hAnsi="Times New Roman" w:cs="Times New Roman"/>
          <w:szCs w:val="21"/>
        </w:rPr>
        <w:t>申购</w:t>
      </w:r>
      <w:r w:rsidR="00617967">
        <w:rPr>
          <w:rFonts w:ascii="Times New Roman" w:hAnsi="Times New Roman" w:cs="Times New Roman" w:hint="eastAsia"/>
          <w:szCs w:val="21"/>
        </w:rPr>
        <w:t>及定期定额投资</w:t>
      </w:r>
      <w:r w:rsidR="00617967">
        <w:rPr>
          <w:rFonts w:ascii="Times New Roman" w:hAnsi="Times New Roman" w:cs="Times New Roman"/>
          <w:szCs w:val="21"/>
        </w:rPr>
        <w:t>业务</w:t>
      </w:r>
      <w:r>
        <w:rPr>
          <w:rFonts w:ascii="Times New Roman" w:eastAsia="宋体" w:hAnsi="Times New Roman" w:cs="Times New Roman" w:hint="eastAsia"/>
          <w:szCs w:val="21"/>
        </w:rPr>
        <w:t>的金额不应超过</w:t>
      </w:r>
      <w:r w:rsidR="002F4F7B">
        <w:rPr>
          <w:rFonts w:ascii="Times New Roman" w:eastAsia="宋体" w:hAnsi="Times New Roman" w:cs="Times New Roman"/>
          <w:szCs w:val="21"/>
        </w:rPr>
        <w:t>1</w:t>
      </w:r>
      <w:r w:rsidR="00304E48">
        <w:rPr>
          <w:rFonts w:ascii="Times New Roman" w:eastAsia="宋体" w:hAnsi="Times New Roman" w:cs="Times New Roman"/>
          <w:szCs w:val="21"/>
        </w:rPr>
        <w:t>0</w:t>
      </w:r>
      <w:r w:rsidR="001573F4">
        <w:rPr>
          <w:rFonts w:ascii="Times New Roman" w:eastAsia="宋体" w:hAnsi="Times New Roman" w:cs="Times New Roman"/>
          <w:szCs w:val="21"/>
        </w:rPr>
        <w:t>,</w:t>
      </w:r>
      <w:r w:rsidR="00304E48">
        <w:rPr>
          <w:rFonts w:ascii="Times New Roman" w:eastAsia="宋体" w:hAnsi="Times New Roman" w:cs="Times New Roman"/>
          <w:szCs w:val="21"/>
        </w:rPr>
        <w:t>0</w:t>
      </w:r>
      <w:r>
        <w:rPr>
          <w:rFonts w:ascii="Times New Roman" w:eastAsia="宋体" w:hAnsi="Times New Roman" w:cs="Times New Roman" w:hint="eastAsia"/>
          <w:szCs w:val="21"/>
        </w:rPr>
        <w:t>00.00</w:t>
      </w:r>
      <w:r>
        <w:rPr>
          <w:rFonts w:ascii="Times New Roman" w:eastAsia="宋体" w:hAnsi="Times New Roman" w:cs="Times New Roman" w:hint="eastAsia"/>
          <w:szCs w:val="21"/>
        </w:rPr>
        <w:t>元</w:t>
      </w:r>
      <w:r w:rsidR="00950A22">
        <w:rPr>
          <w:rFonts w:ascii="Times New Roman" w:eastAsia="宋体" w:hAnsi="Times New Roman" w:cs="Times New Roman" w:hint="eastAsia"/>
          <w:szCs w:val="21"/>
        </w:rPr>
        <w:t>（</w:t>
      </w:r>
      <w:r w:rsidR="00950A22" w:rsidRPr="00B37027">
        <w:rPr>
          <w:rFonts w:ascii="Times New Roman" w:hAnsi="Times New Roman" w:cs="Times New Roman" w:hint="eastAsia"/>
          <w:color w:val="000000"/>
          <w:szCs w:val="21"/>
        </w:rPr>
        <w:t>不同份额类别申购</w:t>
      </w:r>
      <w:r w:rsidR="00950A22">
        <w:rPr>
          <w:rFonts w:ascii="Times New Roman" w:hAnsi="Times New Roman" w:cs="Times New Roman" w:hint="eastAsia"/>
          <w:color w:val="000000"/>
          <w:szCs w:val="21"/>
        </w:rPr>
        <w:t>及</w:t>
      </w:r>
      <w:r w:rsidR="00950A22" w:rsidRPr="00B37027">
        <w:rPr>
          <w:rFonts w:ascii="Times New Roman" w:hAnsi="Times New Roman" w:cs="Times New Roman" w:hint="eastAsia"/>
          <w:color w:val="000000"/>
          <w:szCs w:val="21"/>
        </w:rPr>
        <w:t>定期定额投资业务的申请金额合并计算）</w:t>
      </w:r>
      <w:r>
        <w:rPr>
          <w:rFonts w:ascii="Times New Roman" w:eastAsia="宋体" w:hAnsi="Times New Roman" w:cs="Times New Roman" w:hint="eastAsia"/>
          <w:szCs w:val="21"/>
        </w:rPr>
        <w:t>，如单日每个基金账户的累计</w:t>
      </w:r>
      <w:r w:rsidR="00617967">
        <w:rPr>
          <w:rFonts w:ascii="Times New Roman" w:hAnsi="Times New Roman" w:cs="Times New Roman"/>
          <w:szCs w:val="21"/>
        </w:rPr>
        <w:t>申购</w:t>
      </w:r>
      <w:r w:rsidR="00617967">
        <w:rPr>
          <w:rFonts w:ascii="Times New Roman" w:hAnsi="Times New Roman" w:cs="Times New Roman" w:hint="eastAsia"/>
          <w:szCs w:val="21"/>
        </w:rPr>
        <w:t>及定期定额投资</w:t>
      </w:r>
      <w:r w:rsidR="00617967">
        <w:rPr>
          <w:rFonts w:ascii="Times New Roman" w:hAnsi="Times New Roman" w:cs="Times New Roman"/>
          <w:szCs w:val="21"/>
        </w:rPr>
        <w:t>业务</w:t>
      </w:r>
      <w:r>
        <w:rPr>
          <w:rFonts w:ascii="Times New Roman" w:eastAsia="宋体" w:hAnsi="Times New Roman" w:cs="Times New Roman" w:hint="eastAsia"/>
          <w:szCs w:val="21"/>
        </w:rPr>
        <w:t>的金额超过</w:t>
      </w:r>
      <w:r w:rsidR="002F4F7B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0</w:t>
      </w:r>
      <w:r w:rsidR="001573F4">
        <w:rPr>
          <w:rFonts w:ascii="Times New Roman" w:eastAsia="宋体" w:hAnsi="Times New Roman" w:cs="Times New Roman"/>
          <w:szCs w:val="21"/>
        </w:rPr>
        <w:t>,</w:t>
      </w:r>
      <w:r>
        <w:rPr>
          <w:rFonts w:ascii="Times New Roman" w:eastAsia="宋体" w:hAnsi="Times New Roman" w:cs="Times New Roman" w:hint="eastAsia"/>
          <w:szCs w:val="21"/>
        </w:rPr>
        <w:t>0</w:t>
      </w:r>
      <w:r w:rsidR="00304E48">
        <w:rPr>
          <w:rFonts w:ascii="Times New Roman" w:eastAsia="宋体" w:hAnsi="Times New Roman" w:cs="Times New Roman"/>
          <w:szCs w:val="21"/>
        </w:rPr>
        <w:t>00</w:t>
      </w:r>
      <w:r>
        <w:rPr>
          <w:rFonts w:ascii="Times New Roman" w:eastAsia="宋体" w:hAnsi="Times New Roman" w:cs="Times New Roman" w:hint="eastAsia"/>
          <w:szCs w:val="21"/>
        </w:rPr>
        <w:t>.00</w:t>
      </w:r>
      <w:r>
        <w:rPr>
          <w:rFonts w:ascii="Times New Roman" w:eastAsia="宋体" w:hAnsi="Times New Roman" w:cs="Times New Roman" w:hint="eastAsia"/>
          <w:szCs w:val="21"/>
        </w:rPr>
        <w:t>元，本基金管理人将有权部分或全部确认失败。</w:t>
      </w:r>
    </w:p>
    <w:p w:rsidR="009A6BD0" w:rsidRDefault="0001714E" w:rsidP="001F022C">
      <w:pPr>
        <w:spacing w:beforeLines="50" w:line="360" w:lineRule="auto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二、其他需要提示的事项</w:t>
      </w:r>
    </w:p>
    <w:p w:rsidR="009A6BD0" w:rsidRDefault="0001714E">
      <w:pPr>
        <w:spacing w:line="360" w:lineRule="auto"/>
        <w:ind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在本基金限制大额申购、定期定额投资业务期间，本基金的赎回等业务正常办理。</w:t>
      </w:r>
      <w:r>
        <w:rPr>
          <w:rFonts w:ascii="Times New Roman" w:eastAsia="宋体" w:hAnsi="Times New Roman" w:cs="Times New Roman" w:hint="eastAsia"/>
          <w:szCs w:val="21"/>
        </w:rPr>
        <w:t>本基金取消或调整上述大额申购、定期定额投资业务限制的具体时间将另行公告。</w:t>
      </w:r>
    </w:p>
    <w:p w:rsidR="009A6BD0" w:rsidRDefault="0001714E">
      <w:pPr>
        <w:spacing w:line="360" w:lineRule="auto"/>
        <w:ind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投资者可登录本公司网站</w:t>
      </w:r>
      <w:r>
        <w:rPr>
          <w:rFonts w:ascii="Times New Roman" w:eastAsia="宋体" w:hAnsi="Times New Roman" w:cs="Times New Roman"/>
        </w:rPr>
        <w:t>www.gtfund.com</w:t>
      </w:r>
      <w:r>
        <w:rPr>
          <w:rFonts w:ascii="Times New Roman" w:eastAsia="宋体" w:hAnsi="Times New Roman" w:cs="Times New Roman"/>
        </w:rPr>
        <w:t>，或拨打客户服务电话</w:t>
      </w:r>
      <w:r>
        <w:rPr>
          <w:rFonts w:ascii="Times New Roman" w:eastAsia="宋体" w:hAnsi="Times New Roman" w:cs="Times New Roman"/>
        </w:rPr>
        <w:t>400-888-8688</w:t>
      </w:r>
      <w:r>
        <w:rPr>
          <w:rFonts w:ascii="Times New Roman" w:eastAsia="宋体" w:hAnsi="Times New Roman" w:cs="Times New Roman"/>
        </w:rPr>
        <w:t>咨询相关信息。</w:t>
      </w:r>
    </w:p>
    <w:p w:rsidR="009A6BD0" w:rsidRDefault="009A6BD0">
      <w:pPr>
        <w:spacing w:line="360" w:lineRule="auto"/>
        <w:ind w:firstLine="420"/>
        <w:rPr>
          <w:rFonts w:ascii="Times New Roman" w:eastAsia="宋体" w:hAnsi="Times New Roman" w:cs="Times New Roman"/>
        </w:rPr>
      </w:pPr>
    </w:p>
    <w:p w:rsidR="009A6BD0" w:rsidRDefault="0001714E">
      <w:pPr>
        <w:pStyle w:val="Default"/>
        <w:spacing w:line="360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风险提示：本基金管理人承诺以诚实信用、勤勉尽责的原则管理和运用基金资产，但不</w:t>
      </w:r>
      <w:r>
        <w:rPr>
          <w:rFonts w:ascii="Times New Roman" w:hAnsi="Times New Roman" w:cs="Times New Roman"/>
          <w:sz w:val="21"/>
          <w:szCs w:val="21"/>
        </w:rPr>
        <w:lastRenderedPageBreak/>
        <w:t>保证基金一定盈利，也不保证最低收益。投资者投资于本基金管理人管理的基金时应认真阅读该基金的《基金合同》、《招募说明书》等法律文件，了解基金产品的详细情况，选择与自己风险识别能力和风险承受能力相匹配的基金，并注意投资风险。</w:t>
      </w:r>
    </w:p>
    <w:p w:rsidR="009A6BD0" w:rsidRDefault="0001714E">
      <w:pPr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</w:rPr>
        <w:t>特此公告</w:t>
      </w:r>
    </w:p>
    <w:p w:rsidR="009A6BD0" w:rsidRDefault="009A6BD0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9A6BD0" w:rsidRDefault="009A6BD0">
      <w:pPr>
        <w:spacing w:line="360" w:lineRule="auto"/>
        <w:ind w:right="840"/>
        <w:rPr>
          <w:rFonts w:ascii="Times New Roman" w:eastAsia="宋体" w:hAnsi="Times New Roman" w:cs="Times New Roman"/>
          <w:szCs w:val="21"/>
        </w:rPr>
      </w:pPr>
    </w:p>
    <w:p w:rsidR="009A6BD0" w:rsidRDefault="0001714E">
      <w:pPr>
        <w:spacing w:line="360" w:lineRule="auto"/>
        <w:ind w:firstLine="420"/>
        <w:jc w:val="righ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国泰基金管理有限公司</w:t>
      </w:r>
    </w:p>
    <w:p w:rsidR="009A6BD0" w:rsidRDefault="0001714E">
      <w:pPr>
        <w:spacing w:line="360" w:lineRule="auto"/>
        <w:jc w:val="righ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202</w:t>
      </w:r>
      <w:r w:rsidR="002F4F7B">
        <w:rPr>
          <w:rFonts w:ascii="Times New Roman" w:eastAsia="宋体" w:hAnsi="Times New Roman" w:cs="Times New Roman"/>
          <w:szCs w:val="21"/>
        </w:rPr>
        <w:t>5</w:t>
      </w:r>
      <w:r>
        <w:rPr>
          <w:rFonts w:ascii="Times New Roman" w:eastAsia="宋体" w:hAnsi="Times New Roman" w:cs="Times New Roman"/>
          <w:szCs w:val="21"/>
        </w:rPr>
        <w:t>年</w:t>
      </w:r>
      <w:r w:rsidR="006751A4">
        <w:rPr>
          <w:rFonts w:ascii="Times New Roman" w:eastAsia="宋体" w:hAnsi="Times New Roman" w:cs="Times New Roman"/>
          <w:szCs w:val="21"/>
        </w:rPr>
        <w:t>10</w:t>
      </w:r>
      <w:r>
        <w:rPr>
          <w:rFonts w:ascii="Times New Roman" w:eastAsia="宋体" w:hAnsi="Times New Roman" w:cs="Times New Roman"/>
          <w:szCs w:val="21"/>
        </w:rPr>
        <w:t>月</w:t>
      </w:r>
      <w:r w:rsidR="006751A4">
        <w:rPr>
          <w:rFonts w:ascii="Times New Roman" w:eastAsia="宋体" w:hAnsi="Times New Roman" w:cs="Times New Roman"/>
          <w:szCs w:val="21"/>
        </w:rPr>
        <w:t>15</w:t>
      </w:r>
      <w:bookmarkStart w:id="0" w:name="_GoBack"/>
      <w:bookmarkEnd w:id="0"/>
      <w:r>
        <w:rPr>
          <w:rFonts w:ascii="Times New Roman" w:eastAsia="宋体" w:hAnsi="Times New Roman" w:cs="Times New Roman"/>
          <w:szCs w:val="21"/>
        </w:rPr>
        <w:t>日</w:t>
      </w:r>
    </w:p>
    <w:p w:rsidR="009A6BD0" w:rsidRDefault="009A6BD0"/>
    <w:p w:rsidR="009A6BD0" w:rsidRDefault="009A6BD0"/>
    <w:p w:rsidR="009A6BD0" w:rsidRDefault="009A6BD0"/>
    <w:sectPr w:rsidR="009A6BD0" w:rsidSect="003547F4">
      <w:pgSz w:w="11906" w:h="16838"/>
      <w:pgMar w:top="1276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6F2" w:rsidRDefault="00A556F2" w:rsidP="007F19F3">
      <w:r>
        <w:separator/>
      </w:r>
    </w:p>
  </w:endnote>
  <w:endnote w:type="continuationSeparator" w:id="0">
    <w:p w:rsidR="00A556F2" w:rsidRDefault="00A556F2" w:rsidP="007F19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6F2" w:rsidRDefault="00A556F2" w:rsidP="007F19F3">
      <w:r>
        <w:separator/>
      </w:r>
    </w:p>
  </w:footnote>
  <w:footnote w:type="continuationSeparator" w:id="0">
    <w:p w:rsidR="00A556F2" w:rsidRDefault="00A556F2" w:rsidP="007F19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2MzE0NjZjYjYyOTVmYTY0ZGU4NDFhMzk1OWM5ZTkifQ=="/>
  </w:docVars>
  <w:rsids>
    <w:rsidRoot w:val="0004453E"/>
    <w:rsid w:val="0000350E"/>
    <w:rsid w:val="000049F5"/>
    <w:rsid w:val="00005D48"/>
    <w:rsid w:val="00015EEC"/>
    <w:rsid w:val="0001714E"/>
    <w:rsid w:val="00031E35"/>
    <w:rsid w:val="0004453E"/>
    <w:rsid w:val="000477A4"/>
    <w:rsid w:val="00050A28"/>
    <w:rsid w:val="00080746"/>
    <w:rsid w:val="000835AD"/>
    <w:rsid w:val="00083BF3"/>
    <w:rsid w:val="000B681D"/>
    <w:rsid w:val="000C3CEA"/>
    <w:rsid w:val="000C530B"/>
    <w:rsid w:val="000D3540"/>
    <w:rsid w:val="000D48BF"/>
    <w:rsid w:val="000E4889"/>
    <w:rsid w:val="00102E6F"/>
    <w:rsid w:val="00121406"/>
    <w:rsid w:val="00130E9F"/>
    <w:rsid w:val="00134A97"/>
    <w:rsid w:val="0014028F"/>
    <w:rsid w:val="001573F4"/>
    <w:rsid w:val="001878D5"/>
    <w:rsid w:val="00194C28"/>
    <w:rsid w:val="001A54A4"/>
    <w:rsid w:val="001C50E4"/>
    <w:rsid w:val="001D5E8F"/>
    <w:rsid w:val="001E365C"/>
    <w:rsid w:val="001F022C"/>
    <w:rsid w:val="001F2361"/>
    <w:rsid w:val="001F4D7B"/>
    <w:rsid w:val="001F6BE5"/>
    <w:rsid w:val="00231C9D"/>
    <w:rsid w:val="002378F7"/>
    <w:rsid w:val="00242F01"/>
    <w:rsid w:val="002538BF"/>
    <w:rsid w:val="002602E2"/>
    <w:rsid w:val="00260317"/>
    <w:rsid w:val="00265B50"/>
    <w:rsid w:val="002832E0"/>
    <w:rsid w:val="00290EDC"/>
    <w:rsid w:val="002B29E0"/>
    <w:rsid w:val="002C4835"/>
    <w:rsid w:val="002C5135"/>
    <w:rsid w:val="002C6EEB"/>
    <w:rsid w:val="002D2B81"/>
    <w:rsid w:val="002F0718"/>
    <w:rsid w:val="002F4F7B"/>
    <w:rsid w:val="002F5468"/>
    <w:rsid w:val="00304E48"/>
    <w:rsid w:val="00305935"/>
    <w:rsid w:val="003059E9"/>
    <w:rsid w:val="00305CBC"/>
    <w:rsid w:val="00320C99"/>
    <w:rsid w:val="00321CF0"/>
    <w:rsid w:val="003547F4"/>
    <w:rsid w:val="00371E62"/>
    <w:rsid w:val="00373423"/>
    <w:rsid w:val="00380955"/>
    <w:rsid w:val="003A393D"/>
    <w:rsid w:val="003A5D12"/>
    <w:rsid w:val="003C0C09"/>
    <w:rsid w:val="003C1B32"/>
    <w:rsid w:val="003D3089"/>
    <w:rsid w:val="003E7213"/>
    <w:rsid w:val="003F48BA"/>
    <w:rsid w:val="004121B7"/>
    <w:rsid w:val="0042183F"/>
    <w:rsid w:val="00423D03"/>
    <w:rsid w:val="00436985"/>
    <w:rsid w:val="00451D5B"/>
    <w:rsid w:val="00454F06"/>
    <w:rsid w:val="00461FE5"/>
    <w:rsid w:val="00467B73"/>
    <w:rsid w:val="00474BD1"/>
    <w:rsid w:val="004A564A"/>
    <w:rsid w:val="004B7446"/>
    <w:rsid w:val="004E71FF"/>
    <w:rsid w:val="004F3E13"/>
    <w:rsid w:val="0051180B"/>
    <w:rsid w:val="00514C0B"/>
    <w:rsid w:val="005212B3"/>
    <w:rsid w:val="00525609"/>
    <w:rsid w:val="00527E88"/>
    <w:rsid w:val="00534074"/>
    <w:rsid w:val="00545891"/>
    <w:rsid w:val="00550D5C"/>
    <w:rsid w:val="005576BC"/>
    <w:rsid w:val="00571371"/>
    <w:rsid w:val="00573D62"/>
    <w:rsid w:val="00581807"/>
    <w:rsid w:val="00594FA4"/>
    <w:rsid w:val="00597539"/>
    <w:rsid w:val="005B36B5"/>
    <w:rsid w:val="005D299E"/>
    <w:rsid w:val="005E3D58"/>
    <w:rsid w:val="005E63F0"/>
    <w:rsid w:val="005E79ED"/>
    <w:rsid w:val="005F3F04"/>
    <w:rsid w:val="005F6FE2"/>
    <w:rsid w:val="00601CD1"/>
    <w:rsid w:val="0061724A"/>
    <w:rsid w:val="0061743E"/>
    <w:rsid w:val="00617967"/>
    <w:rsid w:val="0062466E"/>
    <w:rsid w:val="00626EF2"/>
    <w:rsid w:val="00641385"/>
    <w:rsid w:val="006523FF"/>
    <w:rsid w:val="00655E9E"/>
    <w:rsid w:val="006627AE"/>
    <w:rsid w:val="00672AAB"/>
    <w:rsid w:val="006751A4"/>
    <w:rsid w:val="006921C6"/>
    <w:rsid w:val="006978D2"/>
    <w:rsid w:val="006A7FEB"/>
    <w:rsid w:val="006B08A0"/>
    <w:rsid w:val="006B4F04"/>
    <w:rsid w:val="006C448C"/>
    <w:rsid w:val="006D336F"/>
    <w:rsid w:val="006D5171"/>
    <w:rsid w:val="006D5DA8"/>
    <w:rsid w:val="006E04E7"/>
    <w:rsid w:val="006E1AA2"/>
    <w:rsid w:val="006E4968"/>
    <w:rsid w:val="00705657"/>
    <w:rsid w:val="00711426"/>
    <w:rsid w:val="0071526E"/>
    <w:rsid w:val="00737E4A"/>
    <w:rsid w:val="00755DDB"/>
    <w:rsid w:val="0076217C"/>
    <w:rsid w:val="00781890"/>
    <w:rsid w:val="00791D6C"/>
    <w:rsid w:val="007A0AB3"/>
    <w:rsid w:val="007D026F"/>
    <w:rsid w:val="007D1445"/>
    <w:rsid w:val="007D24A2"/>
    <w:rsid w:val="007E6B80"/>
    <w:rsid w:val="007F19F3"/>
    <w:rsid w:val="007F6448"/>
    <w:rsid w:val="008119EB"/>
    <w:rsid w:val="0081497B"/>
    <w:rsid w:val="00816C62"/>
    <w:rsid w:val="00821381"/>
    <w:rsid w:val="0082451B"/>
    <w:rsid w:val="00843D5A"/>
    <w:rsid w:val="00862AFF"/>
    <w:rsid w:val="00876194"/>
    <w:rsid w:val="008977EB"/>
    <w:rsid w:val="008B5057"/>
    <w:rsid w:val="008E64F7"/>
    <w:rsid w:val="00901129"/>
    <w:rsid w:val="00916E0A"/>
    <w:rsid w:val="00924EBA"/>
    <w:rsid w:val="00950A22"/>
    <w:rsid w:val="00950D15"/>
    <w:rsid w:val="0095300E"/>
    <w:rsid w:val="0095501C"/>
    <w:rsid w:val="00964B48"/>
    <w:rsid w:val="00981183"/>
    <w:rsid w:val="00987B21"/>
    <w:rsid w:val="00990D74"/>
    <w:rsid w:val="009A6BD0"/>
    <w:rsid w:val="009B15D0"/>
    <w:rsid w:val="009B2A51"/>
    <w:rsid w:val="009C68F0"/>
    <w:rsid w:val="00A03B35"/>
    <w:rsid w:val="00A106FA"/>
    <w:rsid w:val="00A30345"/>
    <w:rsid w:val="00A42E20"/>
    <w:rsid w:val="00A505E2"/>
    <w:rsid w:val="00A556F2"/>
    <w:rsid w:val="00A6702E"/>
    <w:rsid w:val="00A90066"/>
    <w:rsid w:val="00AB6293"/>
    <w:rsid w:val="00AE1449"/>
    <w:rsid w:val="00AF2610"/>
    <w:rsid w:val="00B007B7"/>
    <w:rsid w:val="00B00A0C"/>
    <w:rsid w:val="00B208B0"/>
    <w:rsid w:val="00B42D38"/>
    <w:rsid w:val="00B47AC1"/>
    <w:rsid w:val="00B57863"/>
    <w:rsid w:val="00B7021B"/>
    <w:rsid w:val="00B74B9D"/>
    <w:rsid w:val="00B90A90"/>
    <w:rsid w:val="00B94123"/>
    <w:rsid w:val="00B94575"/>
    <w:rsid w:val="00B9461C"/>
    <w:rsid w:val="00BA1837"/>
    <w:rsid w:val="00BC308A"/>
    <w:rsid w:val="00C035FB"/>
    <w:rsid w:val="00C226EF"/>
    <w:rsid w:val="00C2485C"/>
    <w:rsid w:val="00C2754D"/>
    <w:rsid w:val="00C27D3F"/>
    <w:rsid w:val="00C33D6D"/>
    <w:rsid w:val="00C46C93"/>
    <w:rsid w:val="00C52FE6"/>
    <w:rsid w:val="00C537EC"/>
    <w:rsid w:val="00C53AB8"/>
    <w:rsid w:val="00C57858"/>
    <w:rsid w:val="00C61F1B"/>
    <w:rsid w:val="00C64F6D"/>
    <w:rsid w:val="00C76E56"/>
    <w:rsid w:val="00C874B7"/>
    <w:rsid w:val="00C9517C"/>
    <w:rsid w:val="00CD2FE7"/>
    <w:rsid w:val="00D028D2"/>
    <w:rsid w:val="00D05E51"/>
    <w:rsid w:val="00D2673C"/>
    <w:rsid w:val="00D3545E"/>
    <w:rsid w:val="00D47F1B"/>
    <w:rsid w:val="00D65FCD"/>
    <w:rsid w:val="00D711D5"/>
    <w:rsid w:val="00D8132F"/>
    <w:rsid w:val="00D85BB4"/>
    <w:rsid w:val="00DC14CC"/>
    <w:rsid w:val="00DD30EE"/>
    <w:rsid w:val="00DE459A"/>
    <w:rsid w:val="00DF67ED"/>
    <w:rsid w:val="00DF7992"/>
    <w:rsid w:val="00E35E14"/>
    <w:rsid w:val="00E408EC"/>
    <w:rsid w:val="00E43FAC"/>
    <w:rsid w:val="00E474C0"/>
    <w:rsid w:val="00E7074E"/>
    <w:rsid w:val="00E743E7"/>
    <w:rsid w:val="00E74BCB"/>
    <w:rsid w:val="00EA46AA"/>
    <w:rsid w:val="00EC119D"/>
    <w:rsid w:val="00EC317D"/>
    <w:rsid w:val="00EF7FF8"/>
    <w:rsid w:val="00F10FCE"/>
    <w:rsid w:val="00F14ED7"/>
    <w:rsid w:val="00F30B74"/>
    <w:rsid w:val="00F368D4"/>
    <w:rsid w:val="00F43302"/>
    <w:rsid w:val="00F44231"/>
    <w:rsid w:val="00F535C4"/>
    <w:rsid w:val="00F75306"/>
    <w:rsid w:val="00F85D0A"/>
    <w:rsid w:val="00F930CC"/>
    <w:rsid w:val="00F974D4"/>
    <w:rsid w:val="00FB0110"/>
    <w:rsid w:val="00FB47E0"/>
    <w:rsid w:val="00FB4FFE"/>
    <w:rsid w:val="00FB6876"/>
    <w:rsid w:val="00FD162E"/>
    <w:rsid w:val="00FE2990"/>
    <w:rsid w:val="02687B07"/>
    <w:rsid w:val="065304D8"/>
    <w:rsid w:val="09C43D62"/>
    <w:rsid w:val="0B84674B"/>
    <w:rsid w:val="13D133D8"/>
    <w:rsid w:val="14753F97"/>
    <w:rsid w:val="196D7E15"/>
    <w:rsid w:val="1C7A7700"/>
    <w:rsid w:val="1C9571A6"/>
    <w:rsid w:val="2AEA114D"/>
    <w:rsid w:val="2D1418B2"/>
    <w:rsid w:val="2D8D6FE9"/>
    <w:rsid w:val="337A652B"/>
    <w:rsid w:val="35953E89"/>
    <w:rsid w:val="37074DB5"/>
    <w:rsid w:val="38D8245B"/>
    <w:rsid w:val="44E15A5E"/>
    <w:rsid w:val="45434C4E"/>
    <w:rsid w:val="45CB74ED"/>
    <w:rsid w:val="4E020EED"/>
    <w:rsid w:val="4F9045BB"/>
    <w:rsid w:val="50E22759"/>
    <w:rsid w:val="5266601B"/>
    <w:rsid w:val="5C9321AD"/>
    <w:rsid w:val="63DB3B48"/>
    <w:rsid w:val="69146B39"/>
    <w:rsid w:val="691C78D4"/>
    <w:rsid w:val="735B7105"/>
    <w:rsid w:val="75622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3547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3547F4"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sid w:val="003547F4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rsid w:val="003547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rsid w:val="00354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unhideWhenUsed/>
    <w:qFormat/>
    <w:rsid w:val="003547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autoRedefine/>
    <w:uiPriority w:val="99"/>
    <w:semiHidden/>
    <w:unhideWhenUsed/>
    <w:qFormat/>
    <w:rsid w:val="003547F4"/>
    <w:rPr>
      <w:b/>
      <w:bCs/>
    </w:rPr>
  </w:style>
  <w:style w:type="table" w:styleId="a9">
    <w:name w:val="Table Grid"/>
    <w:basedOn w:val="a1"/>
    <w:autoRedefine/>
    <w:uiPriority w:val="59"/>
    <w:qFormat/>
    <w:rsid w:val="003547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autoRedefine/>
    <w:uiPriority w:val="99"/>
    <w:semiHidden/>
    <w:unhideWhenUsed/>
    <w:qFormat/>
    <w:rsid w:val="003547F4"/>
    <w:rPr>
      <w:color w:val="0A72C9"/>
      <w:u w:val="none"/>
      <w:shd w:val="clear" w:color="auto" w:fill="auto"/>
    </w:rPr>
  </w:style>
  <w:style w:type="character" w:styleId="ab">
    <w:name w:val="annotation reference"/>
    <w:basedOn w:val="a0"/>
    <w:autoRedefine/>
    <w:uiPriority w:val="99"/>
    <w:semiHidden/>
    <w:unhideWhenUsed/>
    <w:qFormat/>
    <w:rsid w:val="003547F4"/>
    <w:rPr>
      <w:sz w:val="21"/>
      <w:szCs w:val="21"/>
    </w:rPr>
  </w:style>
  <w:style w:type="character" w:customStyle="1" w:styleId="Char2">
    <w:name w:val="页眉 Char"/>
    <w:basedOn w:val="a0"/>
    <w:link w:val="a6"/>
    <w:autoRedefine/>
    <w:uiPriority w:val="99"/>
    <w:qFormat/>
    <w:rsid w:val="003547F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547F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3547F4"/>
    <w:rPr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3547F4"/>
  </w:style>
  <w:style w:type="character" w:customStyle="1" w:styleId="Char3">
    <w:name w:val="批注主题 Char"/>
    <w:basedOn w:val="Char"/>
    <w:link w:val="a8"/>
    <w:autoRedefine/>
    <w:uiPriority w:val="99"/>
    <w:semiHidden/>
    <w:qFormat/>
    <w:rsid w:val="003547F4"/>
    <w:rPr>
      <w:b/>
      <w:bCs/>
    </w:rPr>
  </w:style>
  <w:style w:type="paragraph" w:customStyle="1" w:styleId="1">
    <w:name w:val="修订1"/>
    <w:autoRedefine/>
    <w:hidden/>
    <w:uiPriority w:val="99"/>
    <w:semiHidden/>
    <w:qFormat/>
    <w:rsid w:val="003547F4"/>
    <w:rPr>
      <w:kern w:val="2"/>
      <w:sz w:val="21"/>
      <w:szCs w:val="22"/>
    </w:rPr>
  </w:style>
  <w:style w:type="paragraph" w:customStyle="1" w:styleId="Default">
    <w:name w:val="Default"/>
    <w:autoRedefine/>
    <w:qFormat/>
    <w:rsid w:val="003547F4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.gtfund.com/report/2022/05/%E5%9B%BD%E6%B3%B0%E4%B8%AD%E8%AF%81%E5%90%8C%E4%B8%9A%E5%AD%98%E5%8D%95AAA%E6%8C%87%E6%95%B07%E5%A4%A9%E6%8C%81%E6%9C%89%E6%9C%9F%E8%AF%81%E5%88%B8%E6%8A%95%E8%B5%84%E5%9F%BA%E9%87%91%E5%9F%BA%E9%87%91%E5%90%88%E5%90%8C%E7%94%9F%E6%95%88%E5%85%AC%E5%91%8A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A8F5F-38F8-47DB-8506-FC6894F37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1218</Characters>
  <Application>Microsoft Office Word</Application>
  <DocSecurity>4</DocSecurity>
  <Lines>10</Lines>
  <Paragraphs>2</Paragraphs>
  <ScaleCrop>false</ScaleCrop>
  <Company>P R C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张莹雪:</dc:creator>
  <cp:lastModifiedBy>ZHONGM</cp:lastModifiedBy>
  <cp:revision>2</cp:revision>
  <dcterms:created xsi:type="dcterms:W3CDTF">2025-10-14T16:02:00Z</dcterms:created>
  <dcterms:modified xsi:type="dcterms:W3CDTF">2025-10-14T16:02:00Z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023C4528014246C1B2C945FA7DB3235F_13</vt:lpwstr>
  </property>
</Properties>
</file>