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8B8" w:rsidRDefault="009C5492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国泰标普500交易型开放式指数证券投资基金发起式联接基金（QDII）暂停大额申购及定期定额投资的公告</w:t>
      </w:r>
    </w:p>
    <w:p w:rsidR="000718B8" w:rsidRDefault="009C5492">
      <w:pPr>
        <w:spacing w:line="560" w:lineRule="exact"/>
        <w:jc w:val="center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公告送出日期：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>2025年10月14日</w:t>
      </w:r>
    </w:p>
    <w:p w:rsidR="000718B8" w:rsidRDefault="000718B8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0718B8" w:rsidRDefault="009C5492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5"/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1 公告基本信息</w:t>
      </w:r>
      <w:bookmarkEnd w:id="0"/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77"/>
        <w:gridCol w:w="2953"/>
        <w:gridCol w:w="24"/>
        <w:gridCol w:w="3544"/>
      </w:tblGrid>
      <w:tr w:rsidR="000718B8" w:rsidTr="00C82310">
        <w:trPr>
          <w:jc w:val="center"/>
        </w:trPr>
        <w:tc>
          <w:tcPr>
            <w:tcW w:w="3077" w:type="dxa"/>
          </w:tcPr>
          <w:p w:rsidR="000718B8" w:rsidRDefault="009C5492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  <w:highlight w:val="cyan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6521" w:type="dxa"/>
            <w:gridSpan w:val="3"/>
            <w:vAlign w:val="center"/>
          </w:tcPr>
          <w:p w:rsidR="000718B8" w:rsidRDefault="009C54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国泰标普500交易型开放式指数证券投资基金发起式联接基金（QDII）</w:t>
            </w:r>
          </w:p>
        </w:tc>
      </w:tr>
      <w:tr w:rsidR="000718B8" w:rsidTr="00C82310">
        <w:trPr>
          <w:jc w:val="center"/>
        </w:trPr>
        <w:tc>
          <w:tcPr>
            <w:tcW w:w="3077" w:type="dxa"/>
          </w:tcPr>
          <w:p w:rsidR="000718B8" w:rsidRDefault="009C5492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6521" w:type="dxa"/>
            <w:gridSpan w:val="3"/>
            <w:vAlign w:val="center"/>
          </w:tcPr>
          <w:p w:rsidR="000718B8" w:rsidRDefault="009C54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国泰标普500ETF发起联接（QDII）</w:t>
            </w:r>
          </w:p>
        </w:tc>
      </w:tr>
      <w:tr w:rsidR="000718B8" w:rsidTr="00C82310">
        <w:trPr>
          <w:jc w:val="center"/>
        </w:trPr>
        <w:tc>
          <w:tcPr>
            <w:tcW w:w="3077" w:type="dxa"/>
            <w:vAlign w:val="center"/>
          </w:tcPr>
          <w:p w:rsidR="000718B8" w:rsidRDefault="009C5492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6521" w:type="dxa"/>
            <w:gridSpan w:val="3"/>
            <w:vAlign w:val="center"/>
          </w:tcPr>
          <w:p w:rsidR="000718B8" w:rsidRDefault="009C54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017028</w:t>
            </w:r>
          </w:p>
        </w:tc>
      </w:tr>
      <w:tr w:rsidR="000718B8" w:rsidTr="00C82310">
        <w:trPr>
          <w:jc w:val="center"/>
        </w:trPr>
        <w:tc>
          <w:tcPr>
            <w:tcW w:w="3077" w:type="dxa"/>
          </w:tcPr>
          <w:p w:rsidR="000718B8" w:rsidRDefault="009C5492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6521" w:type="dxa"/>
            <w:gridSpan w:val="3"/>
            <w:vAlign w:val="center"/>
          </w:tcPr>
          <w:p w:rsidR="000718B8" w:rsidRDefault="009C54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国泰基金管理有限公司</w:t>
            </w:r>
          </w:p>
        </w:tc>
      </w:tr>
      <w:tr w:rsidR="000718B8" w:rsidTr="00C82310">
        <w:trPr>
          <w:jc w:val="center"/>
        </w:trPr>
        <w:tc>
          <w:tcPr>
            <w:tcW w:w="3077" w:type="dxa"/>
          </w:tcPr>
          <w:p w:rsidR="000718B8" w:rsidRDefault="009C5492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6521" w:type="dxa"/>
            <w:gridSpan w:val="3"/>
            <w:vAlign w:val="center"/>
          </w:tcPr>
          <w:p w:rsidR="000718B8" w:rsidRDefault="009C54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根据《国泰标普500交易型开放式指数证券投资基金发起式联接基金（QDII）基金合同》、《国泰标普500交易型开放式指数证券投资基金发起式联接基金（QDII）招募说明书》等相关文件的规定。</w:t>
            </w:r>
          </w:p>
        </w:tc>
      </w:tr>
      <w:tr w:rsidR="000718B8" w:rsidTr="00C82310">
        <w:trPr>
          <w:jc w:val="center"/>
        </w:trPr>
        <w:tc>
          <w:tcPr>
            <w:tcW w:w="3077" w:type="dxa"/>
            <w:vMerge w:val="restart"/>
            <w:vAlign w:val="center"/>
          </w:tcPr>
          <w:p w:rsidR="000718B8" w:rsidRDefault="009C5492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953" w:type="dxa"/>
          </w:tcPr>
          <w:p w:rsidR="000718B8" w:rsidRDefault="009C5492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暂停大额申购起始日</w:t>
            </w:r>
          </w:p>
        </w:tc>
        <w:tc>
          <w:tcPr>
            <w:tcW w:w="3568" w:type="dxa"/>
            <w:gridSpan w:val="2"/>
            <w:vAlign w:val="center"/>
          </w:tcPr>
          <w:p w:rsidR="000718B8" w:rsidRDefault="009C54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2025年10月14日</w:t>
            </w:r>
          </w:p>
        </w:tc>
      </w:tr>
      <w:tr w:rsidR="000718B8" w:rsidTr="00C82310">
        <w:trPr>
          <w:jc w:val="center"/>
        </w:trPr>
        <w:tc>
          <w:tcPr>
            <w:tcW w:w="3077" w:type="dxa"/>
            <w:vMerge/>
          </w:tcPr>
          <w:p w:rsidR="000718B8" w:rsidRDefault="000718B8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</w:tcPr>
          <w:p w:rsidR="000718B8" w:rsidRDefault="009C5492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暂停定期定额投资起始日</w:t>
            </w:r>
          </w:p>
        </w:tc>
        <w:tc>
          <w:tcPr>
            <w:tcW w:w="3568" w:type="dxa"/>
            <w:gridSpan w:val="2"/>
            <w:vAlign w:val="center"/>
          </w:tcPr>
          <w:p w:rsidR="000718B8" w:rsidRDefault="009C54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2025年10月14日</w:t>
            </w:r>
          </w:p>
        </w:tc>
      </w:tr>
      <w:tr w:rsidR="000718B8" w:rsidTr="00C82310">
        <w:trPr>
          <w:jc w:val="center"/>
        </w:trPr>
        <w:tc>
          <w:tcPr>
            <w:tcW w:w="3077" w:type="dxa"/>
            <w:vMerge/>
          </w:tcPr>
          <w:p w:rsidR="000718B8" w:rsidRDefault="000718B8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</w:tcPr>
          <w:p w:rsidR="000718B8" w:rsidRDefault="009C5492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限制申购金额（单位：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 ）</w:t>
            </w:r>
          </w:p>
        </w:tc>
        <w:tc>
          <w:tcPr>
            <w:tcW w:w="3568" w:type="dxa"/>
            <w:gridSpan w:val="2"/>
            <w:vAlign w:val="center"/>
          </w:tcPr>
          <w:p w:rsidR="000718B8" w:rsidRDefault="009C54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30,000.00</w:t>
            </w:r>
          </w:p>
        </w:tc>
      </w:tr>
      <w:tr w:rsidR="009C5492" w:rsidTr="00C82310">
        <w:trPr>
          <w:jc w:val="center"/>
        </w:trPr>
        <w:tc>
          <w:tcPr>
            <w:tcW w:w="3077" w:type="dxa"/>
            <w:vMerge/>
          </w:tcPr>
          <w:p w:rsidR="009C5492" w:rsidRDefault="009C5492" w:rsidP="009C5492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vAlign w:val="center"/>
          </w:tcPr>
          <w:p w:rsidR="009C5492" w:rsidRDefault="009C5492" w:rsidP="00C82310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限制定期定额投资金额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（单位：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 ）</w:t>
            </w:r>
          </w:p>
        </w:tc>
        <w:tc>
          <w:tcPr>
            <w:tcW w:w="3568" w:type="dxa"/>
            <w:gridSpan w:val="2"/>
            <w:vAlign w:val="center"/>
          </w:tcPr>
          <w:p w:rsidR="009C5492" w:rsidRDefault="009C5492" w:rsidP="009C54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30,000.00</w:t>
            </w:r>
          </w:p>
        </w:tc>
      </w:tr>
      <w:tr w:rsidR="009C5492" w:rsidTr="00C82310">
        <w:trPr>
          <w:jc w:val="center"/>
        </w:trPr>
        <w:tc>
          <w:tcPr>
            <w:tcW w:w="3077" w:type="dxa"/>
            <w:vMerge/>
          </w:tcPr>
          <w:p w:rsidR="009C5492" w:rsidRDefault="009C5492" w:rsidP="009C5492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</w:tcPr>
          <w:p w:rsidR="009C5492" w:rsidRDefault="009C5492" w:rsidP="009C5492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暂停大额申购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及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定期定额投资的原因说明</w:t>
            </w:r>
          </w:p>
        </w:tc>
        <w:tc>
          <w:tcPr>
            <w:tcW w:w="3568" w:type="dxa"/>
            <w:gridSpan w:val="2"/>
            <w:vAlign w:val="center"/>
          </w:tcPr>
          <w:p w:rsidR="009C5492" w:rsidRDefault="009C5492" w:rsidP="009C54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维护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基金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份额持有人利益</w:t>
            </w:r>
          </w:p>
        </w:tc>
      </w:tr>
      <w:tr w:rsidR="009C5492" w:rsidTr="00C82310">
        <w:trPr>
          <w:jc w:val="center"/>
        </w:trPr>
        <w:tc>
          <w:tcPr>
            <w:tcW w:w="3077" w:type="dxa"/>
            <w:vAlign w:val="center"/>
          </w:tcPr>
          <w:p w:rsidR="009C5492" w:rsidRDefault="009C5492" w:rsidP="009C5492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2977" w:type="dxa"/>
            <w:gridSpan w:val="2"/>
            <w:vAlign w:val="center"/>
          </w:tcPr>
          <w:p w:rsidR="009C5492" w:rsidRDefault="009C5492" w:rsidP="009C54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国泰标普500ETF发起联接（QDII）A人民币</w:t>
            </w:r>
          </w:p>
        </w:tc>
        <w:tc>
          <w:tcPr>
            <w:tcW w:w="3544" w:type="dxa"/>
            <w:vAlign w:val="center"/>
          </w:tcPr>
          <w:p w:rsidR="009C5492" w:rsidRDefault="009C5492" w:rsidP="009C54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国泰标普500ETF发起联接（QDII）C人民币</w:t>
            </w:r>
          </w:p>
        </w:tc>
      </w:tr>
      <w:tr w:rsidR="009C5492" w:rsidTr="00C82310">
        <w:trPr>
          <w:jc w:val="center"/>
        </w:trPr>
        <w:tc>
          <w:tcPr>
            <w:tcW w:w="3077" w:type="dxa"/>
            <w:vAlign w:val="center"/>
          </w:tcPr>
          <w:p w:rsidR="009C5492" w:rsidRDefault="009C5492" w:rsidP="009C5492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下属分级基金的交易代码</w:t>
            </w:r>
          </w:p>
        </w:tc>
        <w:tc>
          <w:tcPr>
            <w:tcW w:w="2977" w:type="dxa"/>
            <w:gridSpan w:val="2"/>
            <w:vAlign w:val="center"/>
          </w:tcPr>
          <w:p w:rsidR="009C5492" w:rsidRDefault="009C5492" w:rsidP="009C54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017028</w:t>
            </w:r>
          </w:p>
        </w:tc>
        <w:tc>
          <w:tcPr>
            <w:tcW w:w="3544" w:type="dxa"/>
            <w:vAlign w:val="center"/>
          </w:tcPr>
          <w:p w:rsidR="009C5492" w:rsidRDefault="009C5492" w:rsidP="009C54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017030</w:t>
            </w:r>
          </w:p>
        </w:tc>
      </w:tr>
      <w:tr w:rsidR="009C5492" w:rsidTr="00C82310">
        <w:trPr>
          <w:jc w:val="center"/>
        </w:trPr>
        <w:tc>
          <w:tcPr>
            <w:tcW w:w="3077" w:type="dxa"/>
          </w:tcPr>
          <w:p w:rsidR="009C5492" w:rsidRDefault="009C5492" w:rsidP="009C5492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该分级基金是否暂停大额申购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及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定期定额投资</w:t>
            </w:r>
          </w:p>
        </w:tc>
        <w:tc>
          <w:tcPr>
            <w:tcW w:w="2977" w:type="dxa"/>
            <w:gridSpan w:val="2"/>
            <w:vAlign w:val="center"/>
          </w:tcPr>
          <w:p w:rsidR="009C5492" w:rsidRDefault="009C5492" w:rsidP="009C54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  <w:tc>
          <w:tcPr>
            <w:tcW w:w="3544" w:type="dxa"/>
            <w:vAlign w:val="center"/>
          </w:tcPr>
          <w:p w:rsidR="009C5492" w:rsidRDefault="009C5492" w:rsidP="009C54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</w:tr>
    </w:tbl>
    <w:p w:rsidR="00D47782" w:rsidRPr="00C82310" w:rsidRDefault="00D47782" w:rsidP="00C82310">
      <w:pPr>
        <w:spacing w:line="560" w:lineRule="exact"/>
        <w:ind w:firstLine="420"/>
        <w:rPr>
          <w:rFonts w:asciiTheme="minorEastAsia" w:eastAsiaTheme="minorEastAsia" w:hAnsiTheme="minorEastAsia"/>
          <w:bCs/>
          <w:sz w:val="24"/>
          <w:szCs w:val="24"/>
        </w:rPr>
      </w:pPr>
      <w:bookmarkStart w:id="1" w:name="_Toc275961406"/>
      <w:r w:rsidRPr="00C82310">
        <w:rPr>
          <w:rFonts w:asciiTheme="minorEastAsia" w:eastAsiaTheme="minorEastAsia" w:hAnsiTheme="minorEastAsia" w:hint="eastAsia"/>
          <w:sz w:val="24"/>
          <w:szCs w:val="24"/>
        </w:rPr>
        <w:t>注</w:t>
      </w:r>
      <w:r>
        <w:rPr>
          <w:rFonts w:asciiTheme="minorEastAsia" w:eastAsiaTheme="minorEastAsia" w:hAnsiTheme="minorEastAsia" w:hint="eastAsia"/>
          <w:sz w:val="24"/>
          <w:szCs w:val="24"/>
        </w:rPr>
        <w:t>：自</w:t>
      </w:r>
      <w:r>
        <w:rPr>
          <w:rFonts w:asciiTheme="minorEastAsia" w:eastAsiaTheme="minorEastAsia" w:hAnsiTheme="minorEastAsia"/>
          <w:sz w:val="24"/>
          <w:szCs w:val="24"/>
        </w:rPr>
        <w:t>2025</w:t>
      </w:r>
      <w:r>
        <w:rPr>
          <w:rFonts w:asciiTheme="minorEastAsia" w:eastAsiaTheme="minorEastAsia" w:hAnsiTheme="minorEastAsia" w:hint="eastAsia"/>
          <w:sz w:val="24"/>
          <w:szCs w:val="24"/>
        </w:rPr>
        <w:t>年1</w:t>
      </w:r>
      <w:r>
        <w:rPr>
          <w:rFonts w:asciiTheme="minorEastAsia" w:eastAsiaTheme="minorEastAsia" w:hAnsiTheme="minorEastAsia"/>
          <w:sz w:val="24"/>
          <w:szCs w:val="24"/>
        </w:rPr>
        <w:t>0</w:t>
      </w:r>
      <w:r>
        <w:rPr>
          <w:rFonts w:asciiTheme="minorEastAsia" w:eastAsiaTheme="minorEastAsia" w:hAnsiTheme="minorEastAsia" w:hint="eastAsia"/>
          <w:sz w:val="24"/>
          <w:szCs w:val="24"/>
        </w:rPr>
        <w:t>月1</w:t>
      </w:r>
      <w:r>
        <w:rPr>
          <w:rFonts w:asciiTheme="minorEastAsia" w:eastAsiaTheme="minorEastAsia" w:hAnsiTheme="minorEastAsia"/>
          <w:sz w:val="24"/>
          <w:szCs w:val="24"/>
        </w:rPr>
        <w:t>4</w:t>
      </w:r>
      <w:r>
        <w:rPr>
          <w:rFonts w:asciiTheme="minorEastAsia" w:eastAsiaTheme="minorEastAsia" w:hAnsiTheme="minorEastAsia" w:hint="eastAsia"/>
          <w:sz w:val="24"/>
          <w:szCs w:val="24"/>
        </w:rPr>
        <w:t>日起，</w:t>
      </w:r>
      <w:r w:rsidRPr="00C82310">
        <w:rPr>
          <w:rFonts w:asciiTheme="minorEastAsia" w:eastAsiaTheme="minorEastAsia" w:hAnsiTheme="minorEastAsia" w:hint="eastAsia"/>
          <w:sz w:val="24"/>
          <w:szCs w:val="24"/>
        </w:rPr>
        <w:t>对本基金的申购</w:t>
      </w:r>
      <w:r>
        <w:rPr>
          <w:rFonts w:asciiTheme="minorEastAsia" w:eastAsiaTheme="minorEastAsia" w:hAnsiTheme="minorEastAsia" w:hint="eastAsia"/>
          <w:sz w:val="24"/>
          <w:szCs w:val="24"/>
        </w:rPr>
        <w:t>及</w:t>
      </w:r>
      <w:r w:rsidRPr="00C82310">
        <w:rPr>
          <w:rFonts w:asciiTheme="minorEastAsia" w:eastAsiaTheme="minorEastAsia" w:hAnsiTheme="minorEastAsia" w:hint="eastAsia"/>
          <w:sz w:val="24"/>
          <w:szCs w:val="24"/>
        </w:rPr>
        <w:t>定期定额投资业务的金额进行限制。单日每个基金账户的累计申购</w:t>
      </w:r>
      <w:r>
        <w:rPr>
          <w:rFonts w:asciiTheme="minorEastAsia" w:eastAsiaTheme="minorEastAsia" w:hAnsiTheme="minorEastAsia" w:hint="eastAsia"/>
          <w:sz w:val="24"/>
          <w:szCs w:val="24"/>
        </w:rPr>
        <w:t>及</w:t>
      </w:r>
      <w:r w:rsidRPr="00C82310">
        <w:rPr>
          <w:rFonts w:asciiTheme="minorEastAsia" w:eastAsiaTheme="minorEastAsia" w:hAnsiTheme="minorEastAsia" w:hint="eastAsia"/>
          <w:sz w:val="24"/>
          <w:szCs w:val="24"/>
        </w:rPr>
        <w:t>定期定额投资</w:t>
      </w:r>
      <w:r>
        <w:rPr>
          <w:rFonts w:asciiTheme="minorEastAsia" w:eastAsiaTheme="minorEastAsia" w:hAnsiTheme="minorEastAsia" w:hint="eastAsia"/>
          <w:sz w:val="24"/>
          <w:szCs w:val="24"/>
        </w:rPr>
        <w:t>业务</w:t>
      </w:r>
      <w:r w:rsidRPr="00C82310">
        <w:rPr>
          <w:rFonts w:asciiTheme="minorEastAsia" w:eastAsiaTheme="minorEastAsia" w:hAnsiTheme="minorEastAsia" w:hint="eastAsia"/>
          <w:sz w:val="24"/>
          <w:szCs w:val="24"/>
        </w:rPr>
        <w:t>的金额不应超过</w:t>
      </w:r>
      <w:r w:rsidR="003B3DCB">
        <w:rPr>
          <w:rFonts w:asciiTheme="minorEastAsia" w:eastAsiaTheme="minorEastAsia" w:hAnsiTheme="minorEastAsia"/>
          <w:sz w:val="24"/>
          <w:szCs w:val="24"/>
        </w:rPr>
        <w:t>30,000.00</w:t>
      </w:r>
      <w:r w:rsidRPr="00C82310">
        <w:rPr>
          <w:rFonts w:asciiTheme="minorEastAsia" w:eastAsiaTheme="minorEastAsia" w:hAnsiTheme="minorEastAsia" w:hint="eastAsia"/>
          <w:sz w:val="24"/>
          <w:szCs w:val="24"/>
        </w:rPr>
        <w:t>元（不同份额类别申购</w:t>
      </w:r>
      <w:r w:rsidR="003B3DCB">
        <w:rPr>
          <w:rFonts w:asciiTheme="minorEastAsia" w:eastAsiaTheme="minorEastAsia" w:hAnsiTheme="minorEastAsia" w:hint="eastAsia"/>
          <w:sz w:val="24"/>
          <w:szCs w:val="24"/>
        </w:rPr>
        <w:t>及</w:t>
      </w:r>
      <w:r w:rsidRPr="00C82310">
        <w:rPr>
          <w:rFonts w:asciiTheme="minorEastAsia" w:eastAsiaTheme="minorEastAsia" w:hAnsiTheme="minorEastAsia" w:hint="eastAsia"/>
          <w:sz w:val="24"/>
          <w:szCs w:val="24"/>
        </w:rPr>
        <w:t>定期定额投资业务的申请金额合并计算），如单日每个基金账户的累计申购</w:t>
      </w:r>
      <w:r w:rsidR="003B3DCB">
        <w:rPr>
          <w:rFonts w:asciiTheme="minorEastAsia" w:eastAsiaTheme="minorEastAsia" w:hAnsiTheme="minorEastAsia" w:hint="eastAsia"/>
          <w:sz w:val="24"/>
          <w:szCs w:val="24"/>
        </w:rPr>
        <w:t>及</w:t>
      </w:r>
      <w:r w:rsidRPr="00C82310">
        <w:rPr>
          <w:rFonts w:asciiTheme="minorEastAsia" w:eastAsiaTheme="minorEastAsia" w:hAnsiTheme="minorEastAsia" w:hint="eastAsia"/>
          <w:sz w:val="24"/>
          <w:szCs w:val="24"/>
        </w:rPr>
        <w:t>定期定额投资业务的金额超过</w:t>
      </w:r>
      <w:r w:rsidR="003B3DCB">
        <w:rPr>
          <w:rFonts w:asciiTheme="minorEastAsia" w:eastAsiaTheme="minorEastAsia" w:hAnsiTheme="minorEastAsia"/>
          <w:sz w:val="24"/>
          <w:szCs w:val="24"/>
        </w:rPr>
        <w:t>30,000.00</w:t>
      </w:r>
      <w:r w:rsidRPr="00C82310">
        <w:rPr>
          <w:rFonts w:asciiTheme="minorEastAsia" w:eastAsiaTheme="minorEastAsia" w:hAnsiTheme="minorEastAsia" w:hint="eastAsia"/>
          <w:sz w:val="24"/>
          <w:szCs w:val="24"/>
        </w:rPr>
        <w:t>元，本基金管理人将有权部分或全部确认失败。</w:t>
      </w:r>
    </w:p>
    <w:p w:rsidR="000718B8" w:rsidRDefault="00D47782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lastRenderedPageBreak/>
        <w:t>2其他需要提示的事项</w:t>
      </w:r>
      <w:bookmarkEnd w:id="1"/>
    </w:p>
    <w:p w:rsidR="0023272C" w:rsidRDefault="000201DB" w:rsidP="000201DB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 w:rsidRPr="000201DB">
        <w:rPr>
          <w:rFonts w:asciiTheme="minorEastAsia" w:eastAsiaTheme="minorEastAsia" w:hAnsiTheme="minorEastAsia" w:hint="eastAsia"/>
          <w:sz w:val="24"/>
          <w:szCs w:val="24"/>
        </w:rPr>
        <w:t>在本基金限制大额申购、定期定额投资业务期间，本基金的赎回等业务正常办理。本基金取消或调整上述大额申购、定期定额投资业务限制的具体时间将另行公告。</w:t>
      </w:r>
    </w:p>
    <w:p w:rsidR="000718B8" w:rsidRDefault="009C5492" w:rsidP="000201DB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bookmarkStart w:id="2" w:name="_GoBack"/>
      <w:bookmarkEnd w:id="2"/>
      <w:r>
        <w:rPr>
          <w:rFonts w:asciiTheme="minorEastAsia" w:eastAsiaTheme="minorEastAsia" w:hAnsiTheme="minorEastAsia"/>
          <w:sz w:val="24"/>
          <w:szCs w:val="24"/>
        </w:rPr>
        <w:t>投资者可登录本公司网站www.gtfund.com，或拨打客户服务电话400-888-8688咨询相关信息。</w:t>
      </w:r>
    </w:p>
    <w:p w:rsidR="000718B8" w:rsidRDefault="000718B8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</w:p>
    <w:p w:rsidR="000718B8" w:rsidRDefault="009C5492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风险提示：本基金管理人承诺以诚实信用、勤勉尽责的原则管理和运用基金资产，但不保证基金一定盈利，也不保证最低收益。投资者投资于本基金管理人管理的基金时应认真阅读该基金的《基金合同》、《招募说明书》等法律文件，了解基金产品的详细情况，选择与自己风险识别能力和风险承受能力相匹配的基金，并注意投资风险。</w:t>
      </w:r>
    </w:p>
    <w:p w:rsidR="000718B8" w:rsidRDefault="009C5492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特此公告</w:t>
      </w:r>
    </w:p>
    <w:p w:rsidR="000718B8" w:rsidRDefault="000718B8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</w:p>
    <w:p w:rsidR="000718B8" w:rsidRDefault="000718B8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</w:p>
    <w:p w:rsidR="000718B8" w:rsidRDefault="000718B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0718B8" w:rsidRDefault="009C5492">
      <w:pPr>
        <w:widowControl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国泰基金管理有限公司</w:t>
      </w:r>
      <w:r>
        <w:rPr>
          <w:rFonts w:asciiTheme="minorEastAsia" w:eastAsiaTheme="minorEastAsia" w:hAnsiTheme="minorEastAsia" w:hint="eastAsia"/>
          <w:sz w:val="24"/>
          <w:szCs w:val="24"/>
        </w:rPr>
        <w:br/>
        <w:t>二〇二五年十月十四日</w:t>
      </w:r>
    </w:p>
    <w:sectPr w:rsidR="000718B8" w:rsidSect="00604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0590C"/>
    <w:rsid w:val="00014582"/>
    <w:rsid w:val="000201DB"/>
    <w:rsid w:val="00020378"/>
    <w:rsid w:val="00041353"/>
    <w:rsid w:val="000718B8"/>
    <w:rsid w:val="000746EF"/>
    <w:rsid w:val="00086822"/>
    <w:rsid w:val="000E2B3D"/>
    <w:rsid w:val="000E4CBF"/>
    <w:rsid w:val="001161A4"/>
    <w:rsid w:val="001169BB"/>
    <w:rsid w:val="00180DA3"/>
    <w:rsid w:val="001A3CA1"/>
    <w:rsid w:val="001B4F9F"/>
    <w:rsid w:val="001E4CD3"/>
    <w:rsid w:val="0023272C"/>
    <w:rsid w:val="00245724"/>
    <w:rsid w:val="00265B63"/>
    <w:rsid w:val="0028798D"/>
    <w:rsid w:val="002935EF"/>
    <w:rsid w:val="00297148"/>
    <w:rsid w:val="002C360B"/>
    <w:rsid w:val="002E26DF"/>
    <w:rsid w:val="002F7241"/>
    <w:rsid w:val="00327DA7"/>
    <w:rsid w:val="0033513C"/>
    <w:rsid w:val="003612CB"/>
    <w:rsid w:val="0036784E"/>
    <w:rsid w:val="00386A1F"/>
    <w:rsid w:val="003B3DCB"/>
    <w:rsid w:val="0048692B"/>
    <w:rsid w:val="004966BA"/>
    <w:rsid w:val="004B2983"/>
    <w:rsid w:val="004B7D89"/>
    <w:rsid w:val="004D6346"/>
    <w:rsid w:val="004E2421"/>
    <w:rsid w:val="004F0521"/>
    <w:rsid w:val="004F51E8"/>
    <w:rsid w:val="00540343"/>
    <w:rsid w:val="00564298"/>
    <w:rsid w:val="005E4E34"/>
    <w:rsid w:val="005F1AF0"/>
    <w:rsid w:val="006042C5"/>
    <w:rsid w:val="00614995"/>
    <w:rsid w:val="00646522"/>
    <w:rsid w:val="00727899"/>
    <w:rsid w:val="00753DDE"/>
    <w:rsid w:val="00770DB7"/>
    <w:rsid w:val="007B1D31"/>
    <w:rsid w:val="0082571C"/>
    <w:rsid w:val="00827D4A"/>
    <w:rsid w:val="0083445C"/>
    <w:rsid w:val="00841AFE"/>
    <w:rsid w:val="008472DB"/>
    <w:rsid w:val="00853A75"/>
    <w:rsid w:val="00875F57"/>
    <w:rsid w:val="008D3261"/>
    <w:rsid w:val="008F225D"/>
    <w:rsid w:val="00932FF1"/>
    <w:rsid w:val="00956B0F"/>
    <w:rsid w:val="009A0533"/>
    <w:rsid w:val="009A0B67"/>
    <w:rsid w:val="009C5492"/>
    <w:rsid w:val="009C5858"/>
    <w:rsid w:val="00A34F3D"/>
    <w:rsid w:val="00A516C4"/>
    <w:rsid w:val="00B101F7"/>
    <w:rsid w:val="00B13229"/>
    <w:rsid w:val="00B243AE"/>
    <w:rsid w:val="00B40A5A"/>
    <w:rsid w:val="00B43DCA"/>
    <w:rsid w:val="00B5053A"/>
    <w:rsid w:val="00BA6967"/>
    <w:rsid w:val="00BD601B"/>
    <w:rsid w:val="00BD6D93"/>
    <w:rsid w:val="00C50193"/>
    <w:rsid w:val="00C82310"/>
    <w:rsid w:val="00CA0866"/>
    <w:rsid w:val="00CB570A"/>
    <w:rsid w:val="00D100C9"/>
    <w:rsid w:val="00D114B7"/>
    <w:rsid w:val="00D327FA"/>
    <w:rsid w:val="00D33E60"/>
    <w:rsid w:val="00D47782"/>
    <w:rsid w:val="00D82740"/>
    <w:rsid w:val="00DE5E75"/>
    <w:rsid w:val="00E72255"/>
    <w:rsid w:val="00E77D74"/>
    <w:rsid w:val="00EE1823"/>
    <w:rsid w:val="00F14414"/>
    <w:rsid w:val="00F5252D"/>
    <w:rsid w:val="00F64447"/>
    <w:rsid w:val="00F81EBA"/>
    <w:rsid w:val="00F875F9"/>
    <w:rsid w:val="00F95610"/>
    <w:rsid w:val="00FD7428"/>
    <w:rsid w:val="784A7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2C5"/>
    <w:pPr>
      <w:widowControl w:val="0"/>
      <w:jc w:val="both"/>
    </w:pPr>
    <w:rPr>
      <w:rFonts w:ascii="Times New Roman" w:eastAsia="方正仿宋简体" w:hAnsi="Times New Roman" w:cs="Times New Roman"/>
      <w:kern w:val="2"/>
      <w:sz w:val="32"/>
    </w:rPr>
  </w:style>
  <w:style w:type="paragraph" w:styleId="1">
    <w:name w:val="heading 1"/>
    <w:basedOn w:val="a"/>
    <w:next w:val="a"/>
    <w:link w:val="1Char"/>
    <w:qFormat/>
    <w:rsid w:val="006042C5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6042C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042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04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04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link w:val="Char2"/>
    <w:qFormat/>
    <w:rsid w:val="006042C5"/>
    <w:pPr>
      <w:snapToGrid w:val="0"/>
      <w:jc w:val="left"/>
    </w:pPr>
    <w:rPr>
      <w:rFonts w:eastAsia="宋体"/>
      <w:sz w:val="18"/>
    </w:rPr>
  </w:style>
  <w:style w:type="character" w:styleId="a7">
    <w:name w:val="footnote reference"/>
    <w:basedOn w:val="a0"/>
    <w:qFormat/>
    <w:rsid w:val="006042C5"/>
    <w:rPr>
      <w:vertAlign w:val="superscript"/>
    </w:rPr>
  </w:style>
  <w:style w:type="character" w:customStyle="1" w:styleId="1Char">
    <w:name w:val="标题 1 Char"/>
    <w:basedOn w:val="a0"/>
    <w:link w:val="1"/>
    <w:qFormat/>
    <w:rsid w:val="006042C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6042C5"/>
    <w:rPr>
      <w:rFonts w:ascii="Arial" w:eastAsia="黑体" w:hAnsi="Arial" w:cs="Times New Roman"/>
      <w:b/>
      <w:bCs/>
      <w:sz w:val="32"/>
      <w:szCs w:val="32"/>
    </w:rPr>
  </w:style>
  <w:style w:type="character" w:customStyle="1" w:styleId="Char2">
    <w:name w:val="脚注文本 Char"/>
    <w:basedOn w:val="a0"/>
    <w:link w:val="a6"/>
    <w:qFormat/>
    <w:rsid w:val="006042C5"/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042C5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6042C5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042C5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Revision"/>
    <w:hidden/>
    <w:uiPriority w:val="99"/>
    <w:semiHidden/>
    <w:rsid w:val="00D47782"/>
    <w:rPr>
      <w:rFonts w:ascii="Times New Roman" w:eastAsia="方正仿宋简体" w:hAnsi="Times New Roman" w:cs="Times New Roman"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886</Characters>
  <Application>Microsoft Office Word</Application>
  <DocSecurity>4</DocSecurity>
  <Lines>7</Lines>
  <Paragraphs>2</Paragraphs>
  <ScaleCrop>false</ScaleCrop>
  <Company>微软中国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2025-10-13T16:01:00Z</dcterms:created>
  <dcterms:modified xsi:type="dcterms:W3CDTF">2025-10-13T16:01:00Z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eyJoZGlkIjoiNjRlMjhiMGI4NTY0NDBhNTgxNzhkMzJlYzE2NDViY2MiLCJ1c2VySWQiOiI5NTcyOTcxMjEifQ==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0D54F885CC664804BF156FFD6059167A_13</vt:lpwstr>
  </property>
</Properties>
</file>