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2B" w:rsidRDefault="0055072D">
      <w:pPr>
        <w:spacing w:line="360" w:lineRule="auto"/>
        <w:jc w:val="center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海富通基金管理有限公司关于</w:t>
      </w:r>
      <w:r>
        <w:rPr>
          <w:rFonts w:hint="eastAsia"/>
          <w:b/>
          <w:bCs/>
          <w:kern w:val="0"/>
          <w:sz w:val="28"/>
          <w:szCs w:val="28"/>
        </w:rPr>
        <w:t>海富通稳鑫三个月持有期债券型证券投资基金</w:t>
      </w:r>
      <w:r>
        <w:rPr>
          <w:rFonts w:hint="eastAsia"/>
          <w:b/>
          <w:bCs/>
          <w:kern w:val="0"/>
          <w:sz w:val="28"/>
          <w:szCs w:val="28"/>
        </w:rPr>
        <w:t>新增销售机构的公告</w:t>
      </w:r>
    </w:p>
    <w:p w:rsidR="009E332B" w:rsidRDefault="009E332B">
      <w:pPr>
        <w:spacing w:line="360" w:lineRule="auto"/>
        <w:ind w:firstLineChars="200" w:firstLine="480"/>
        <w:rPr>
          <w:sz w:val="24"/>
          <w:szCs w:val="24"/>
        </w:rPr>
      </w:pPr>
    </w:p>
    <w:p w:rsidR="009E332B" w:rsidRDefault="0055072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一、根据海富通基金管理有限公司与</w:t>
      </w:r>
      <w:r>
        <w:rPr>
          <w:rFonts w:hint="eastAsia"/>
          <w:sz w:val="24"/>
          <w:szCs w:val="24"/>
        </w:rPr>
        <w:t>东海证券股份有限公司</w:t>
      </w:r>
      <w:r>
        <w:rPr>
          <w:sz w:val="24"/>
          <w:szCs w:val="24"/>
        </w:rPr>
        <w:t>（以下简称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东海证券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华福证券有限责任公司</w:t>
      </w:r>
      <w:r>
        <w:rPr>
          <w:sz w:val="24"/>
          <w:szCs w:val="24"/>
        </w:rPr>
        <w:t>（以下简称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华福</w:t>
      </w:r>
      <w:r>
        <w:rPr>
          <w:rFonts w:hint="eastAsia"/>
          <w:sz w:val="24"/>
          <w:szCs w:val="24"/>
        </w:rPr>
        <w:t>证券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）签署的开放式证券投资基金销售协议，现增加</w:t>
      </w:r>
      <w:r>
        <w:rPr>
          <w:rFonts w:hint="eastAsia"/>
          <w:sz w:val="24"/>
          <w:szCs w:val="24"/>
        </w:rPr>
        <w:t>东海证券、</w:t>
      </w:r>
      <w:r>
        <w:rPr>
          <w:rFonts w:hint="eastAsia"/>
          <w:sz w:val="24"/>
          <w:szCs w:val="24"/>
        </w:rPr>
        <w:t>华福</w:t>
      </w:r>
      <w:r>
        <w:rPr>
          <w:rFonts w:hint="eastAsia"/>
          <w:sz w:val="24"/>
          <w:szCs w:val="24"/>
        </w:rPr>
        <w:t>证券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（简称：</w:t>
      </w:r>
      <w:r>
        <w:rPr>
          <w:rFonts w:hint="eastAsia"/>
          <w:sz w:val="24"/>
          <w:szCs w:val="24"/>
        </w:rPr>
        <w:t>海富通稳鑫三个月持有债券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/C</w:t>
      </w:r>
      <w:r>
        <w:rPr>
          <w:sz w:val="24"/>
          <w:szCs w:val="24"/>
        </w:rPr>
        <w:t>，代码：</w:t>
      </w:r>
      <w:r>
        <w:rPr>
          <w:rFonts w:hint="eastAsia"/>
          <w:sz w:val="24"/>
          <w:szCs w:val="24"/>
        </w:rPr>
        <w:t>023575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类）</w:t>
      </w:r>
      <w:r>
        <w:rPr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>02357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（</w:t>
      </w:r>
      <w:r>
        <w:rPr>
          <w:sz w:val="24"/>
          <w:szCs w:val="24"/>
        </w:rPr>
        <w:t>C</w:t>
      </w:r>
      <w:r>
        <w:rPr>
          <w:sz w:val="24"/>
          <w:szCs w:val="24"/>
        </w:rPr>
        <w:t>类））的销售机构。</w:t>
      </w:r>
    </w:p>
    <w:p w:rsidR="009E332B" w:rsidRDefault="0055072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投资者欲了解基金的详细信息，请仔细阅读《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基金合同》、《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招募说明书》等相关法律文件。</w:t>
      </w:r>
    </w:p>
    <w:p w:rsidR="009E332B" w:rsidRDefault="009E332B">
      <w:pPr>
        <w:spacing w:line="360" w:lineRule="auto"/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9E332B" w:rsidRDefault="0055072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二、自</w:t>
      </w: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sz w:val="24"/>
          <w:szCs w:val="24"/>
        </w:rPr>
        <w:t>日起，投资者可以在</w:t>
      </w:r>
      <w:r>
        <w:rPr>
          <w:rFonts w:hint="eastAsia"/>
          <w:sz w:val="24"/>
          <w:szCs w:val="24"/>
        </w:rPr>
        <w:t>东海证券、</w:t>
      </w:r>
      <w:r>
        <w:rPr>
          <w:rFonts w:hint="eastAsia"/>
          <w:sz w:val="24"/>
          <w:szCs w:val="24"/>
        </w:rPr>
        <w:t>华福</w:t>
      </w:r>
      <w:r>
        <w:rPr>
          <w:rFonts w:hint="eastAsia"/>
          <w:sz w:val="24"/>
          <w:szCs w:val="24"/>
        </w:rPr>
        <w:t>证券</w:t>
      </w:r>
      <w:r>
        <w:rPr>
          <w:sz w:val="24"/>
          <w:szCs w:val="24"/>
        </w:rPr>
        <w:t>办理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的开户、认购等业务。具体的业务流程、办理方式和办理时间等以</w:t>
      </w:r>
      <w:r>
        <w:rPr>
          <w:rFonts w:hint="eastAsia"/>
          <w:sz w:val="24"/>
          <w:szCs w:val="24"/>
        </w:rPr>
        <w:t>东海证券、</w:t>
      </w:r>
      <w:r>
        <w:rPr>
          <w:rFonts w:hint="eastAsia"/>
          <w:sz w:val="24"/>
          <w:szCs w:val="24"/>
        </w:rPr>
        <w:t>华福</w:t>
      </w:r>
      <w:r>
        <w:rPr>
          <w:rFonts w:hint="eastAsia"/>
          <w:sz w:val="24"/>
          <w:szCs w:val="24"/>
        </w:rPr>
        <w:t>证券</w:t>
      </w:r>
      <w:r>
        <w:rPr>
          <w:sz w:val="24"/>
          <w:szCs w:val="24"/>
        </w:rPr>
        <w:t>的规定为准。</w:t>
      </w:r>
    </w:p>
    <w:p w:rsidR="009E332B" w:rsidRDefault="009E332B">
      <w:pPr>
        <w:spacing w:line="360" w:lineRule="auto"/>
        <w:ind w:firstLineChars="200" w:firstLine="480"/>
        <w:rPr>
          <w:sz w:val="24"/>
          <w:szCs w:val="24"/>
        </w:rPr>
      </w:pP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三、投资者可通过以下途径了解或咨询相关情况</w:t>
      </w: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东海证券股份有限公司</w:t>
      </w: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网址：</w:t>
      </w:r>
      <w:r>
        <w:rPr>
          <w:sz w:val="24"/>
          <w:szCs w:val="24"/>
        </w:rPr>
        <w:t>www.longone.com.cn</w:t>
      </w: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客服电话：</w:t>
      </w:r>
      <w:r>
        <w:rPr>
          <w:sz w:val="24"/>
          <w:szCs w:val="24"/>
        </w:rPr>
        <w:t>95531</w:t>
      </w: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华福证券有限责任公司</w:t>
      </w: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网址：</w:t>
      </w:r>
      <w:r>
        <w:rPr>
          <w:sz w:val="24"/>
          <w:szCs w:val="24"/>
        </w:rPr>
        <w:t>www.hfzq.com.cn</w:t>
      </w: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客服电话：</w:t>
      </w:r>
      <w:r>
        <w:rPr>
          <w:sz w:val="24"/>
          <w:szCs w:val="24"/>
        </w:rPr>
        <w:t>95547</w:t>
      </w: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sz w:val="24"/>
          <w:szCs w:val="24"/>
        </w:rPr>
        <w:t>海富通基金管理有限公司</w:t>
      </w: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网站：</w:t>
      </w:r>
      <w:hyperlink r:id="rId4" w:history="1">
        <w:r>
          <w:rPr>
            <w:sz w:val="24"/>
            <w:szCs w:val="24"/>
          </w:rPr>
          <w:t>www.hftfund.com</w:t>
        </w:r>
      </w:hyperlink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客户服务电话：</w:t>
      </w:r>
      <w:r>
        <w:rPr>
          <w:sz w:val="24"/>
          <w:szCs w:val="24"/>
        </w:rPr>
        <w:t>40088-40099</w:t>
      </w:r>
      <w:r>
        <w:rPr>
          <w:sz w:val="24"/>
          <w:szCs w:val="24"/>
        </w:rPr>
        <w:t>（免长途话费）</w:t>
      </w: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官方微信服务号：</w:t>
      </w:r>
      <w:r>
        <w:rPr>
          <w:sz w:val="24"/>
          <w:szCs w:val="24"/>
        </w:rPr>
        <w:t>fund_hft</w:t>
      </w:r>
    </w:p>
    <w:p w:rsidR="009E332B" w:rsidRDefault="009E332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本公告的解释权归海富通基金管理有限公司。</w:t>
      </w:r>
    </w:p>
    <w:p w:rsidR="009E332B" w:rsidRDefault="009E332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风险提示：</w:t>
      </w:r>
      <w:r>
        <w:rPr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sz w:val="24"/>
          <w:szCs w:val="24"/>
          <w:lang/>
        </w:rPr>
        <w:t>“</w:t>
      </w:r>
      <w:r>
        <w:rPr>
          <w:sz w:val="24"/>
          <w:szCs w:val="24"/>
          <w:lang/>
        </w:rPr>
        <w:t>买者自负</w:t>
      </w:r>
      <w:r>
        <w:rPr>
          <w:sz w:val="24"/>
          <w:szCs w:val="24"/>
          <w:lang/>
        </w:rPr>
        <w:t>”</w:t>
      </w:r>
      <w:r>
        <w:rPr>
          <w:sz w:val="24"/>
          <w:szCs w:val="24"/>
          <w:lang/>
        </w:rPr>
        <w:t>原则，在做出投资决策后，基金运营状况</w:t>
      </w:r>
      <w:r>
        <w:rPr>
          <w:sz w:val="24"/>
          <w:szCs w:val="24"/>
          <w:lang/>
        </w:rPr>
        <w:t>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</w:t>
      </w:r>
    </w:p>
    <w:p w:rsidR="009E332B" w:rsidRDefault="009E332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E332B" w:rsidRDefault="0055072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特此公告。</w:t>
      </w:r>
    </w:p>
    <w:p w:rsidR="009E332B" w:rsidRDefault="009E332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E332B" w:rsidRDefault="009E332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E332B" w:rsidRDefault="0055072D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海富通基金管理有限公司</w:t>
      </w:r>
    </w:p>
    <w:p w:rsidR="009E332B" w:rsidRDefault="0055072D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日</w:t>
      </w:r>
    </w:p>
    <w:sectPr w:rsidR="009E332B" w:rsidSect="009E33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32922"/>
    <w:rsid w:val="0000745F"/>
    <w:rsid w:val="00012DE8"/>
    <w:rsid w:val="000205EA"/>
    <w:rsid w:val="0002614F"/>
    <w:rsid w:val="0002659C"/>
    <w:rsid w:val="00027B67"/>
    <w:rsid w:val="000417DE"/>
    <w:rsid w:val="00042EE4"/>
    <w:rsid w:val="00047F9A"/>
    <w:rsid w:val="00054864"/>
    <w:rsid w:val="00056F33"/>
    <w:rsid w:val="00071573"/>
    <w:rsid w:val="0008062A"/>
    <w:rsid w:val="00086E97"/>
    <w:rsid w:val="000872A2"/>
    <w:rsid w:val="000A64BC"/>
    <w:rsid w:val="000A753F"/>
    <w:rsid w:val="000B741F"/>
    <w:rsid w:val="0010507E"/>
    <w:rsid w:val="001157B1"/>
    <w:rsid w:val="00117C30"/>
    <w:rsid w:val="00130975"/>
    <w:rsid w:val="0013181B"/>
    <w:rsid w:val="00165CF2"/>
    <w:rsid w:val="00170EEC"/>
    <w:rsid w:val="00177C26"/>
    <w:rsid w:val="00181894"/>
    <w:rsid w:val="00186594"/>
    <w:rsid w:val="00194134"/>
    <w:rsid w:val="001A0599"/>
    <w:rsid w:val="001A57C1"/>
    <w:rsid w:val="001B4C18"/>
    <w:rsid w:val="001C1190"/>
    <w:rsid w:val="001D501E"/>
    <w:rsid w:val="001D780E"/>
    <w:rsid w:val="001E0E44"/>
    <w:rsid w:val="001E271F"/>
    <w:rsid w:val="001E4E34"/>
    <w:rsid w:val="002064C6"/>
    <w:rsid w:val="002177A8"/>
    <w:rsid w:val="00232BCF"/>
    <w:rsid w:val="00234C8C"/>
    <w:rsid w:val="00234F44"/>
    <w:rsid w:val="00260361"/>
    <w:rsid w:val="00262E75"/>
    <w:rsid w:val="00264170"/>
    <w:rsid w:val="00264635"/>
    <w:rsid w:val="0026745D"/>
    <w:rsid w:val="00267FB6"/>
    <w:rsid w:val="002747D5"/>
    <w:rsid w:val="00292246"/>
    <w:rsid w:val="00294BE1"/>
    <w:rsid w:val="002A72A7"/>
    <w:rsid w:val="002B68D6"/>
    <w:rsid w:val="002C68A0"/>
    <w:rsid w:val="002D0E02"/>
    <w:rsid w:val="002D380F"/>
    <w:rsid w:val="002E7DBD"/>
    <w:rsid w:val="002F2497"/>
    <w:rsid w:val="00300F1B"/>
    <w:rsid w:val="00331768"/>
    <w:rsid w:val="003379E8"/>
    <w:rsid w:val="003537E6"/>
    <w:rsid w:val="0035592F"/>
    <w:rsid w:val="003939DF"/>
    <w:rsid w:val="003964A5"/>
    <w:rsid w:val="003C127F"/>
    <w:rsid w:val="003C23AC"/>
    <w:rsid w:val="003C3AD2"/>
    <w:rsid w:val="003D10F2"/>
    <w:rsid w:val="003D2707"/>
    <w:rsid w:val="004003CE"/>
    <w:rsid w:val="004035A6"/>
    <w:rsid w:val="004048EB"/>
    <w:rsid w:val="0041323F"/>
    <w:rsid w:val="00426886"/>
    <w:rsid w:val="00436E40"/>
    <w:rsid w:val="00440A15"/>
    <w:rsid w:val="00454605"/>
    <w:rsid w:val="00477369"/>
    <w:rsid w:val="0049383A"/>
    <w:rsid w:val="00495C38"/>
    <w:rsid w:val="004C19AC"/>
    <w:rsid w:val="004C407F"/>
    <w:rsid w:val="004C5112"/>
    <w:rsid w:val="004E785D"/>
    <w:rsid w:val="004F2715"/>
    <w:rsid w:val="004F474B"/>
    <w:rsid w:val="00523C60"/>
    <w:rsid w:val="005249B8"/>
    <w:rsid w:val="005304B2"/>
    <w:rsid w:val="005376C7"/>
    <w:rsid w:val="005460AB"/>
    <w:rsid w:val="0055072D"/>
    <w:rsid w:val="00552F38"/>
    <w:rsid w:val="005624D1"/>
    <w:rsid w:val="00573F3C"/>
    <w:rsid w:val="005B6F5A"/>
    <w:rsid w:val="005C6AA8"/>
    <w:rsid w:val="005E11D5"/>
    <w:rsid w:val="00611761"/>
    <w:rsid w:val="00614A7B"/>
    <w:rsid w:val="00626410"/>
    <w:rsid w:val="0065443B"/>
    <w:rsid w:val="00656923"/>
    <w:rsid w:val="00665EE3"/>
    <w:rsid w:val="006660C3"/>
    <w:rsid w:val="00666F04"/>
    <w:rsid w:val="006674F7"/>
    <w:rsid w:val="006723B4"/>
    <w:rsid w:val="00676EFC"/>
    <w:rsid w:val="00693FEE"/>
    <w:rsid w:val="006A2A20"/>
    <w:rsid w:val="006A500D"/>
    <w:rsid w:val="006E6F72"/>
    <w:rsid w:val="006F6922"/>
    <w:rsid w:val="00704A26"/>
    <w:rsid w:val="007058CB"/>
    <w:rsid w:val="0071187D"/>
    <w:rsid w:val="00732922"/>
    <w:rsid w:val="00751527"/>
    <w:rsid w:val="00752D29"/>
    <w:rsid w:val="00755397"/>
    <w:rsid w:val="00757A2D"/>
    <w:rsid w:val="00757F6E"/>
    <w:rsid w:val="00784280"/>
    <w:rsid w:val="007C641F"/>
    <w:rsid w:val="007D5814"/>
    <w:rsid w:val="007E5E89"/>
    <w:rsid w:val="0081002E"/>
    <w:rsid w:val="00812281"/>
    <w:rsid w:val="00822528"/>
    <w:rsid w:val="00823826"/>
    <w:rsid w:val="00832ABF"/>
    <w:rsid w:val="00836EC4"/>
    <w:rsid w:val="0084362B"/>
    <w:rsid w:val="0084474D"/>
    <w:rsid w:val="00862B1F"/>
    <w:rsid w:val="00862CF2"/>
    <w:rsid w:val="00863254"/>
    <w:rsid w:val="008818D5"/>
    <w:rsid w:val="00885288"/>
    <w:rsid w:val="008C16D8"/>
    <w:rsid w:val="008C327A"/>
    <w:rsid w:val="008C365F"/>
    <w:rsid w:val="008F3F45"/>
    <w:rsid w:val="00916EE1"/>
    <w:rsid w:val="00920589"/>
    <w:rsid w:val="00920B98"/>
    <w:rsid w:val="00922DB7"/>
    <w:rsid w:val="0093024F"/>
    <w:rsid w:val="009343BE"/>
    <w:rsid w:val="00936636"/>
    <w:rsid w:val="00951A2A"/>
    <w:rsid w:val="009752FB"/>
    <w:rsid w:val="00983C8E"/>
    <w:rsid w:val="009A1804"/>
    <w:rsid w:val="009A786C"/>
    <w:rsid w:val="009A7D7A"/>
    <w:rsid w:val="009B6C55"/>
    <w:rsid w:val="009E332B"/>
    <w:rsid w:val="009E61F9"/>
    <w:rsid w:val="009F5519"/>
    <w:rsid w:val="00A05AD1"/>
    <w:rsid w:val="00A069BD"/>
    <w:rsid w:val="00A30691"/>
    <w:rsid w:val="00A31C3B"/>
    <w:rsid w:val="00A33332"/>
    <w:rsid w:val="00A362DB"/>
    <w:rsid w:val="00A62244"/>
    <w:rsid w:val="00A76275"/>
    <w:rsid w:val="00A87D15"/>
    <w:rsid w:val="00A93A7F"/>
    <w:rsid w:val="00A93E66"/>
    <w:rsid w:val="00A961E7"/>
    <w:rsid w:val="00AB27F6"/>
    <w:rsid w:val="00AB4F0A"/>
    <w:rsid w:val="00AB55FB"/>
    <w:rsid w:val="00AD0956"/>
    <w:rsid w:val="00AF02F3"/>
    <w:rsid w:val="00B022E9"/>
    <w:rsid w:val="00B035E8"/>
    <w:rsid w:val="00B1114D"/>
    <w:rsid w:val="00B176F4"/>
    <w:rsid w:val="00B46DF9"/>
    <w:rsid w:val="00B51804"/>
    <w:rsid w:val="00B56E98"/>
    <w:rsid w:val="00B61837"/>
    <w:rsid w:val="00B82CFC"/>
    <w:rsid w:val="00B85576"/>
    <w:rsid w:val="00B9459B"/>
    <w:rsid w:val="00B95713"/>
    <w:rsid w:val="00B96F99"/>
    <w:rsid w:val="00BA1F08"/>
    <w:rsid w:val="00BB4061"/>
    <w:rsid w:val="00BE4ABA"/>
    <w:rsid w:val="00C01493"/>
    <w:rsid w:val="00C21330"/>
    <w:rsid w:val="00C35051"/>
    <w:rsid w:val="00C36283"/>
    <w:rsid w:val="00C42E8E"/>
    <w:rsid w:val="00C4493A"/>
    <w:rsid w:val="00C4498B"/>
    <w:rsid w:val="00C51B17"/>
    <w:rsid w:val="00C565D8"/>
    <w:rsid w:val="00C56984"/>
    <w:rsid w:val="00C5744A"/>
    <w:rsid w:val="00C57C8B"/>
    <w:rsid w:val="00C6226C"/>
    <w:rsid w:val="00C70C68"/>
    <w:rsid w:val="00C8611A"/>
    <w:rsid w:val="00C93727"/>
    <w:rsid w:val="00C94B78"/>
    <w:rsid w:val="00CA7284"/>
    <w:rsid w:val="00CB78B8"/>
    <w:rsid w:val="00CC2DBB"/>
    <w:rsid w:val="00CE3EC5"/>
    <w:rsid w:val="00CF1841"/>
    <w:rsid w:val="00CF5E8B"/>
    <w:rsid w:val="00D04ADA"/>
    <w:rsid w:val="00D04BA8"/>
    <w:rsid w:val="00D058B6"/>
    <w:rsid w:val="00D13052"/>
    <w:rsid w:val="00D164EC"/>
    <w:rsid w:val="00D2157D"/>
    <w:rsid w:val="00D429B1"/>
    <w:rsid w:val="00D477BB"/>
    <w:rsid w:val="00D641F4"/>
    <w:rsid w:val="00D6571B"/>
    <w:rsid w:val="00D70FFC"/>
    <w:rsid w:val="00D9238D"/>
    <w:rsid w:val="00DA59E6"/>
    <w:rsid w:val="00DB139F"/>
    <w:rsid w:val="00DB2163"/>
    <w:rsid w:val="00DB7E68"/>
    <w:rsid w:val="00DC0C97"/>
    <w:rsid w:val="00DC2CDD"/>
    <w:rsid w:val="00DC7AD0"/>
    <w:rsid w:val="00DD4A74"/>
    <w:rsid w:val="00DD71F4"/>
    <w:rsid w:val="00DE358B"/>
    <w:rsid w:val="00E01580"/>
    <w:rsid w:val="00E10D39"/>
    <w:rsid w:val="00E3040C"/>
    <w:rsid w:val="00E323F5"/>
    <w:rsid w:val="00E40445"/>
    <w:rsid w:val="00E420AE"/>
    <w:rsid w:val="00E42104"/>
    <w:rsid w:val="00E4654D"/>
    <w:rsid w:val="00E5303C"/>
    <w:rsid w:val="00E554F8"/>
    <w:rsid w:val="00E87428"/>
    <w:rsid w:val="00E90195"/>
    <w:rsid w:val="00EB0410"/>
    <w:rsid w:val="00EC267F"/>
    <w:rsid w:val="00EC3B91"/>
    <w:rsid w:val="00ED2D10"/>
    <w:rsid w:val="00ED53BD"/>
    <w:rsid w:val="00EE0CAC"/>
    <w:rsid w:val="00EF566A"/>
    <w:rsid w:val="00F01E45"/>
    <w:rsid w:val="00F15CE3"/>
    <w:rsid w:val="00F224F3"/>
    <w:rsid w:val="00F22545"/>
    <w:rsid w:val="00F57690"/>
    <w:rsid w:val="00F6306B"/>
    <w:rsid w:val="00F64641"/>
    <w:rsid w:val="00F71929"/>
    <w:rsid w:val="00F721AB"/>
    <w:rsid w:val="00F77A40"/>
    <w:rsid w:val="00F81CC9"/>
    <w:rsid w:val="00F820B6"/>
    <w:rsid w:val="00F84D2B"/>
    <w:rsid w:val="00F84DFA"/>
    <w:rsid w:val="00F923FE"/>
    <w:rsid w:val="00FC19B6"/>
    <w:rsid w:val="00FF0E79"/>
    <w:rsid w:val="02441867"/>
    <w:rsid w:val="05F349BA"/>
    <w:rsid w:val="08C61036"/>
    <w:rsid w:val="10495950"/>
    <w:rsid w:val="1092546C"/>
    <w:rsid w:val="16F41ED3"/>
    <w:rsid w:val="17CB6E6F"/>
    <w:rsid w:val="195C1485"/>
    <w:rsid w:val="1CD21026"/>
    <w:rsid w:val="1D2F69A0"/>
    <w:rsid w:val="1D3B659D"/>
    <w:rsid w:val="1ECB64CD"/>
    <w:rsid w:val="1F0D288D"/>
    <w:rsid w:val="213C3C52"/>
    <w:rsid w:val="23C804FD"/>
    <w:rsid w:val="24D72208"/>
    <w:rsid w:val="26FB2BE4"/>
    <w:rsid w:val="29B96025"/>
    <w:rsid w:val="2A215056"/>
    <w:rsid w:val="2CE06153"/>
    <w:rsid w:val="2D53731E"/>
    <w:rsid w:val="305E1566"/>
    <w:rsid w:val="3689088A"/>
    <w:rsid w:val="39D307B1"/>
    <w:rsid w:val="3A7E1798"/>
    <w:rsid w:val="3B0F14E9"/>
    <w:rsid w:val="3B5D5C76"/>
    <w:rsid w:val="3BF05618"/>
    <w:rsid w:val="3D51641B"/>
    <w:rsid w:val="3D93195B"/>
    <w:rsid w:val="3F3512C1"/>
    <w:rsid w:val="41A55D02"/>
    <w:rsid w:val="41FA684C"/>
    <w:rsid w:val="44912A32"/>
    <w:rsid w:val="44FB5E3E"/>
    <w:rsid w:val="48CE2090"/>
    <w:rsid w:val="4A1F7707"/>
    <w:rsid w:val="4CAC5A13"/>
    <w:rsid w:val="508A5F77"/>
    <w:rsid w:val="50EB0203"/>
    <w:rsid w:val="5305016C"/>
    <w:rsid w:val="544B2767"/>
    <w:rsid w:val="559E16BC"/>
    <w:rsid w:val="564007D8"/>
    <w:rsid w:val="57B91981"/>
    <w:rsid w:val="57C01978"/>
    <w:rsid w:val="58F124B5"/>
    <w:rsid w:val="5A317739"/>
    <w:rsid w:val="5C7013C4"/>
    <w:rsid w:val="62CF6576"/>
    <w:rsid w:val="666D31DB"/>
    <w:rsid w:val="66BB6921"/>
    <w:rsid w:val="68F92106"/>
    <w:rsid w:val="6AD40467"/>
    <w:rsid w:val="70DC2CFD"/>
    <w:rsid w:val="733C265E"/>
    <w:rsid w:val="7CAB1334"/>
    <w:rsid w:val="7E07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9E332B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9E332B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9E332B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sid w:val="009E332B"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E332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E3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9E33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sid w:val="009E332B"/>
    <w:rPr>
      <w:b/>
      <w:bCs/>
      <w:kern w:val="0"/>
      <w:sz w:val="20"/>
      <w:szCs w:val="20"/>
    </w:rPr>
  </w:style>
  <w:style w:type="character" w:styleId="aa">
    <w:name w:val="Hyperlink"/>
    <w:uiPriority w:val="99"/>
    <w:unhideWhenUsed/>
    <w:qFormat/>
    <w:rsid w:val="009E332B"/>
    <w:rPr>
      <w:color w:val="0563C1"/>
      <w:u w:val="single"/>
    </w:rPr>
  </w:style>
  <w:style w:type="character" w:styleId="ab">
    <w:name w:val="annotation reference"/>
    <w:uiPriority w:val="99"/>
    <w:unhideWhenUsed/>
    <w:qFormat/>
    <w:rsid w:val="009E332B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9E332B"/>
  </w:style>
  <w:style w:type="character" w:customStyle="1" w:styleId="Char1">
    <w:name w:val="批注框文本 Char"/>
    <w:link w:val="a5"/>
    <w:uiPriority w:val="99"/>
    <w:semiHidden/>
    <w:qFormat/>
    <w:rsid w:val="009E332B"/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9E332B"/>
    <w:rPr>
      <w:sz w:val="18"/>
      <w:szCs w:val="18"/>
    </w:rPr>
  </w:style>
  <w:style w:type="character" w:customStyle="1" w:styleId="Char3">
    <w:name w:val="页眉 Char"/>
    <w:link w:val="a7"/>
    <w:uiPriority w:val="99"/>
    <w:qFormat/>
    <w:rsid w:val="009E332B"/>
    <w:rPr>
      <w:sz w:val="18"/>
      <w:szCs w:val="18"/>
    </w:rPr>
  </w:style>
  <w:style w:type="character" w:customStyle="1" w:styleId="Char4">
    <w:name w:val="批注主题 Char"/>
    <w:link w:val="a9"/>
    <w:uiPriority w:val="99"/>
    <w:semiHidden/>
    <w:qFormat/>
    <w:rsid w:val="009E332B"/>
    <w:rPr>
      <w:b/>
      <w:bCs/>
    </w:rPr>
  </w:style>
  <w:style w:type="paragraph" w:styleId="ac">
    <w:name w:val="List Paragraph"/>
    <w:basedOn w:val="a"/>
    <w:uiPriority w:val="34"/>
    <w:qFormat/>
    <w:rsid w:val="009E332B"/>
    <w:pPr>
      <w:ind w:firstLineChars="200" w:firstLine="420"/>
    </w:pPr>
  </w:style>
  <w:style w:type="character" w:customStyle="1" w:styleId="10">
    <w:name w:val="未处理的提及1"/>
    <w:uiPriority w:val="99"/>
    <w:unhideWhenUsed/>
    <w:qFormat/>
    <w:rsid w:val="009E332B"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qFormat/>
    <w:rsid w:val="009E332B"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sid w:val="009E332B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9E332B"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9E332B"/>
    <w:rPr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9E332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ftfund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4</DocSecurity>
  <Lines>6</Lines>
  <Paragraphs>1</Paragraphs>
  <ScaleCrop>false</ScaleCrop>
  <Company>hftfund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jyzhong</dc:creator>
  <cp:lastModifiedBy>ZHONGM</cp:lastModifiedBy>
  <cp:revision>2</cp:revision>
  <cp:lastPrinted>2024-04-29T08:56:00Z</cp:lastPrinted>
  <dcterms:created xsi:type="dcterms:W3CDTF">2025-10-09T16:02:00Z</dcterms:created>
  <dcterms:modified xsi:type="dcterms:W3CDTF">2025-10-09T16:02:00Z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CF62BFC2DDF8482DAA92CACE131DE709</vt:lpwstr>
  </property>
</Properties>
</file>