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068F" w:rsidRDefault="000A068F" w:rsidP="00BB5806">
      <w:pPr>
        <w:pStyle w:val="XBRL2"/>
        <w:spacing w:before="156"/>
        <w:rPr>
          <w:lang w:eastAsia="zh-CN"/>
        </w:rPr>
      </w:pPr>
      <w:bookmarkStart w:id="0" w:name="_Toc348410291"/>
      <w:bookmarkEnd w:id="0"/>
      <w:r>
        <w:rPr>
          <w:lang w:eastAsia="zh-CN"/>
        </w:rPr>
        <w:t xml:space="preserve">　</w:t>
      </w:r>
      <w:r>
        <w:rPr>
          <w:lang w:eastAsia="zh-CN"/>
        </w:rPr>
        <w:t xml:space="preserve"> </w:t>
      </w:r>
    </w:p>
    <w:p w:rsidR="000A068F" w:rsidRDefault="000A068F">
      <w:pPr>
        <w:jc w:val="center"/>
      </w:pPr>
      <w:r>
        <w:rPr>
          <w:rFonts w:cs="Times New Roman" w:hint="eastAsia"/>
          <w:b/>
          <w:sz w:val="48"/>
          <w:szCs w:val="48"/>
        </w:rPr>
        <w:t>建信上证科创板200交易型开放式指数证券投资基金联接基金基金开放日常申购（赎回、转换、定期定额投资）业务公告</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pPr>
        <w:spacing w:line="360" w:lineRule="auto"/>
        <w:jc w:val="center"/>
        <w:rPr>
          <w:rFonts w:hint="eastAsia"/>
          <w:sz w:val="24"/>
          <w:szCs w:val="30"/>
        </w:rPr>
      </w:pPr>
      <w:r>
        <w:rPr>
          <w:rFonts w:hint="eastAsia"/>
          <w:sz w:val="24"/>
          <w:szCs w:val="30"/>
        </w:rPr>
        <w:t xml:space="preserve">　 </w:t>
      </w:r>
    </w:p>
    <w:p w:rsidR="000A068F" w:rsidRDefault="000A068F" w:rsidP="00BB5806">
      <w:pPr>
        <w:spacing w:line="360" w:lineRule="auto"/>
        <w:ind w:firstLineChars="800" w:firstLine="1928"/>
        <w:jc w:val="left"/>
        <w:rPr>
          <w:rFonts w:hint="eastAsia"/>
        </w:rPr>
      </w:pPr>
      <w:r>
        <w:rPr>
          <w:rFonts w:hint="eastAsia"/>
          <w:b/>
          <w:bCs/>
          <w:sz w:val="24"/>
          <w:szCs w:val="30"/>
        </w:rPr>
        <w:t>公告送出日期：2025年10月9日</w:t>
      </w:r>
    </w:p>
    <w:p w:rsidR="000A068F" w:rsidRDefault="000A068F">
      <w:pPr>
        <w:widowControl/>
        <w:spacing w:line="24" w:lineRule="auto"/>
        <w:jc w:val="left"/>
        <w:rPr>
          <w:rFonts w:hint="eastAsia"/>
          <w:vanish/>
        </w:rPr>
      </w:pPr>
      <w:r>
        <w:rPr>
          <w:rFonts w:hint="eastAsia"/>
          <w:color w:val="404040"/>
          <w:kern w:val="0"/>
        </w:rPr>
        <w:br w:type="page"/>
      </w:r>
      <w:bookmarkStart w:id="1" w:name="_Toc247616195"/>
      <w:r>
        <w:rPr>
          <w:rFonts w:hint="eastAsia"/>
          <w:vanish/>
        </w:rPr>
        <w:lastRenderedPageBreak/>
        <w:t xml:space="preserve">　 </w:t>
      </w:r>
      <w:bookmarkEnd w:id="1"/>
    </w:p>
    <w:p w:rsidR="000A068F" w:rsidRDefault="000A068F">
      <w:pPr>
        <w:pStyle w:val="10"/>
        <w:divId w:val="1999839746"/>
        <w:rPr>
          <w:rFonts w:hint="eastAsia"/>
          <w:vanish/>
        </w:rPr>
      </w:pPr>
      <w:r>
        <w:rPr>
          <w:rFonts w:hint="eastAsia"/>
          <w:vanish/>
          <w:sz w:val="24"/>
          <w:szCs w:val="30"/>
        </w:rPr>
        <w:fldChar w:fldCharType="begin"/>
      </w:r>
      <w:r>
        <w:rPr>
          <w:rFonts w:hint="eastAsia"/>
          <w:vanish/>
          <w:sz w:val="24"/>
          <w:szCs w:val="30"/>
        </w:rPr>
        <w:instrText xml:space="preserve">?TOC \o "1-2" \n \h \z \u </w:instrText>
      </w:r>
      <w:r>
        <w:rPr>
          <w:vanish/>
          <w:sz w:val="24"/>
          <w:szCs w:val="30"/>
        </w:rPr>
        <w:fldChar w:fldCharType="separate"/>
      </w:r>
      <w:hyperlink w:anchor="_Toc348410291" w:history="1">
        <w:r>
          <w:rPr>
            <w:rStyle w:val="a3"/>
            <w:rFonts w:hint="eastAsia"/>
            <w:vanish/>
          </w:rPr>
          <w:t>0、公告标题</w:t>
        </w:r>
      </w:hyperlink>
      <w:r w:rsidRPr="00BB5806">
        <w:rPr>
          <w:rFonts w:ascii="Calibri" w:hAnsi="Calibri" w:cs="Times New Roman"/>
          <w:vanish/>
          <w:szCs w:val="22"/>
        </w:rPr>
        <w:t xml:space="preserve"> </w:t>
      </w:r>
    </w:p>
    <w:bookmarkStart w:id="2" w:name="_Toc194311890"/>
    <w:bookmarkStart w:id="3" w:name="m01_01"/>
    <w:p w:rsidR="000A068F" w:rsidRDefault="000A068F">
      <w:pPr>
        <w:pStyle w:val="10"/>
        <w:divId w:val="1999839746"/>
        <w:rPr>
          <w:rFonts w:hint="eastAsia"/>
          <w:vanish/>
        </w:rPr>
      </w:pPr>
      <w:r>
        <w:rPr>
          <w:vanish/>
        </w:rPr>
        <w:fldChar w:fldCharType="begin"/>
      </w:r>
      <w:r>
        <w:rPr>
          <w:vanish/>
        </w:rPr>
        <w:instrText xml:space="preserve"> HYPERLINK "" \l "_Toc34841028" </w:instrText>
      </w:r>
      <w:r>
        <w:rPr>
          <w:vanish/>
        </w:rPr>
        <w:fldChar w:fldCharType="separate"/>
      </w:r>
      <w:r>
        <w:rPr>
          <w:rStyle w:val="a3"/>
          <w:rFonts w:hint="eastAsia"/>
          <w:vanish/>
        </w:rPr>
        <w:t>1 公告基本信息</w:t>
      </w:r>
      <w:r>
        <w:rPr>
          <w:vanish/>
        </w:rPr>
        <w:fldChar w:fldCharType="end"/>
      </w:r>
      <w:r w:rsidRPr="00BB5806">
        <w:rPr>
          <w:rFonts w:ascii="Calibri" w:hAnsi="Calibri" w:cs="Times New Roman"/>
          <w:vanish/>
          <w:szCs w:val="22"/>
        </w:rPr>
        <w:t xml:space="preserve"> </w:t>
      </w:r>
    </w:p>
    <w:p w:rsidR="000A068F" w:rsidRDefault="000A068F">
      <w:pPr>
        <w:pStyle w:val="10"/>
        <w:divId w:val="1999839746"/>
        <w:rPr>
          <w:rFonts w:hint="eastAsia"/>
          <w:vanish/>
        </w:rPr>
      </w:pPr>
      <w:hyperlink w:anchor="_Toc34841029" w:history="1">
        <w:r>
          <w:rPr>
            <w:rStyle w:val="a3"/>
            <w:rFonts w:hint="eastAsia"/>
            <w:vanish/>
          </w:rPr>
          <w:t>2 日常申购、赎回(转换、定期定额投资)业务的办理时间</w:t>
        </w:r>
      </w:hyperlink>
      <w:r w:rsidRPr="00BB5806">
        <w:rPr>
          <w:rFonts w:ascii="Calibri" w:hAnsi="Calibri" w:cs="Times New Roman"/>
          <w:vanish/>
          <w:szCs w:val="22"/>
        </w:rPr>
        <w:t xml:space="preserve"> </w:t>
      </w:r>
    </w:p>
    <w:p w:rsidR="000A068F" w:rsidRDefault="000A068F">
      <w:pPr>
        <w:pStyle w:val="10"/>
        <w:divId w:val="1999839746"/>
        <w:rPr>
          <w:rFonts w:hint="eastAsia"/>
          <w:vanish/>
        </w:rPr>
      </w:pPr>
      <w:hyperlink w:anchor="_Toc34841030" w:history="1">
        <w:r>
          <w:rPr>
            <w:rStyle w:val="a3"/>
            <w:rFonts w:hint="eastAsia"/>
            <w:vanish/>
          </w:rPr>
          <w:t>3 日常申购业务</w:t>
        </w:r>
      </w:hyperlink>
      <w:r w:rsidRPr="00BB5806">
        <w:rPr>
          <w:rFonts w:ascii="Calibri" w:hAnsi="Calibri" w:cs="Times New Roman"/>
          <w:vanish/>
          <w:szCs w:val="22"/>
        </w:rPr>
        <w:t xml:space="preserve"> </w:t>
      </w:r>
    </w:p>
    <w:p w:rsidR="000A068F" w:rsidRDefault="000A068F">
      <w:pPr>
        <w:pStyle w:val="30"/>
        <w:tabs>
          <w:tab w:val="right" w:leader="dot" w:pos="8835"/>
        </w:tabs>
        <w:divId w:val="1999839746"/>
        <w:rPr>
          <w:rFonts w:hint="eastAsia"/>
          <w:vanish/>
        </w:rPr>
      </w:pPr>
      <w:hyperlink w:anchor="_Toc34841031" w:history="1">
        <w:r>
          <w:rPr>
            <w:rStyle w:val="a3"/>
            <w:rFonts w:hint="eastAsia"/>
            <w:noProof/>
            <w:vanish/>
          </w:rPr>
          <w:t>3.1 申购金额限制</w:t>
        </w:r>
      </w:hyperlink>
      <w:r w:rsidRPr="00BB5806">
        <w:rPr>
          <w:rFonts w:ascii="Calibri" w:hAnsi="Calibri" w:cs="Times New Roman"/>
          <w:noProof/>
          <w:vanish/>
          <w:szCs w:val="22"/>
        </w:rPr>
        <w:t xml:space="preserve"> </w:t>
      </w:r>
    </w:p>
    <w:p w:rsidR="000A068F" w:rsidRDefault="000A068F">
      <w:pPr>
        <w:pStyle w:val="30"/>
        <w:tabs>
          <w:tab w:val="right" w:leader="dot" w:pos="8835"/>
        </w:tabs>
        <w:divId w:val="1999839746"/>
        <w:rPr>
          <w:rFonts w:hint="eastAsia"/>
          <w:vanish/>
        </w:rPr>
      </w:pPr>
      <w:hyperlink w:anchor="_Toc513465658" w:history="1">
        <w:r>
          <w:rPr>
            <w:rStyle w:val="a3"/>
            <w:rFonts w:hint="eastAsia"/>
            <w:noProof/>
            <w:vanish/>
          </w:rPr>
          <w:t>3.2 申购费率</w:t>
        </w:r>
      </w:hyperlink>
      <w:r w:rsidRPr="00BB5806">
        <w:rPr>
          <w:rFonts w:ascii="Calibri" w:hAnsi="Calibri" w:cs="Times New Roman"/>
          <w:noProof/>
          <w:vanish/>
          <w:szCs w:val="22"/>
        </w:rPr>
        <w:t xml:space="preserve"> </w:t>
      </w:r>
    </w:p>
    <w:p w:rsidR="000A068F" w:rsidRDefault="000A068F">
      <w:pPr>
        <w:pStyle w:val="30"/>
        <w:tabs>
          <w:tab w:val="right" w:leader="dot" w:pos="8835"/>
        </w:tabs>
        <w:divId w:val="1999839746"/>
        <w:rPr>
          <w:rFonts w:hint="eastAsia"/>
          <w:vanish/>
        </w:rPr>
      </w:pPr>
      <w:hyperlink w:anchor="_Toc513465659" w:history="1">
        <w:r>
          <w:rPr>
            <w:rStyle w:val="a3"/>
            <w:rFonts w:hint="eastAsia"/>
            <w:noProof/>
            <w:vanish/>
          </w:rPr>
          <w:t>3.2.1 前端收费</w:t>
        </w:r>
      </w:hyperlink>
      <w:r w:rsidRPr="00BB5806">
        <w:rPr>
          <w:rFonts w:ascii="Calibri" w:hAnsi="Calibri" w:cs="Times New Roman"/>
          <w:noProof/>
          <w:vanish/>
          <w:szCs w:val="22"/>
        </w:rPr>
        <w:t xml:space="preserve"> </w:t>
      </w:r>
    </w:p>
    <w:p w:rsidR="000A068F" w:rsidRDefault="000A068F">
      <w:pPr>
        <w:pStyle w:val="30"/>
        <w:tabs>
          <w:tab w:val="right" w:leader="dot" w:pos="8835"/>
        </w:tabs>
        <w:divId w:val="1999839746"/>
        <w:rPr>
          <w:rFonts w:hint="eastAsia"/>
          <w:vanish/>
        </w:rPr>
      </w:pPr>
      <w:hyperlink w:anchor="_Toc513465660" w:history="1">
        <w:r>
          <w:rPr>
            <w:rStyle w:val="a3"/>
            <w:rFonts w:hint="eastAsia"/>
            <w:noProof/>
            <w:vanish/>
          </w:rPr>
          <w:t>3.2.2 后端收费</w:t>
        </w:r>
      </w:hyperlink>
      <w:r w:rsidRPr="00BB5806">
        <w:rPr>
          <w:rFonts w:ascii="Calibri" w:hAnsi="Calibri" w:cs="Times New Roman"/>
          <w:noProof/>
          <w:vanish/>
          <w:szCs w:val="22"/>
        </w:rPr>
        <w:t xml:space="preserve"> </w:t>
      </w:r>
    </w:p>
    <w:p w:rsidR="000A068F" w:rsidRDefault="000A068F">
      <w:pPr>
        <w:pStyle w:val="30"/>
        <w:tabs>
          <w:tab w:val="right" w:leader="dot" w:pos="8835"/>
        </w:tabs>
        <w:divId w:val="1999839746"/>
        <w:rPr>
          <w:rFonts w:hint="eastAsia"/>
          <w:vanish/>
        </w:rPr>
      </w:pPr>
      <w:hyperlink w:anchor="_Toc34841033" w:history="1">
        <w:r>
          <w:rPr>
            <w:rStyle w:val="a3"/>
            <w:rFonts w:hint="eastAsia"/>
            <w:noProof/>
            <w:vanish/>
          </w:rPr>
          <w:t>3.3 其他与申购相关的事项</w:t>
        </w:r>
      </w:hyperlink>
      <w:r w:rsidRPr="00BB5806">
        <w:rPr>
          <w:rFonts w:ascii="Calibri" w:hAnsi="Calibri" w:cs="Times New Roman"/>
          <w:noProof/>
          <w:vanish/>
          <w:szCs w:val="22"/>
        </w:rPr>
        <w:t xml:space="preserve"> </w:t>
      </w:r>
    </w:p>
    <w:p w:rsidR="000A068F" w:rsidRDefault="000A068F">
      <w:pPr>
        <w:pStyle w:val="10"/>
        <w:divId w:val="1999839746"/>
        <w:rPr>
          <w:rFonts w:hint="eastAsia"/>
          <w:vanish/>
        </w:rPr>
      </w:pPr>
      <w:hyperlink w:anchor="_Toc34841034" w:history="1">
        <w:r>
          <w:rPr>
            <w:rStyle w:val="a3"/>
            <w:rFonts w:hint="eastAsia"/>
            <w:vanish/>
          </w:rPr>
          <w:t>4 日常赎回业务</w:t>
        </w:r>
      </w:hyperlink>
      <w:r w:rsidRPr="00BB5806">
        <w:rPr>
          <w:rFonts w:ascii="Calibri" w:hAnsi="Calibri" w:cs="Times New Roman"/>
          <w:vanish/>
          <w:szCs w:val="22"/>
        </w:rPr>
        <w:t xml:space="preserve"> </w:t>
      </w:r>
    </w:p>
    <w:p w:rsidR="000A068F" w:rsidRDefault="000A068F">
      <w:pPr>
        <w:pStyle w:val="20"/>
        <w:tabs>
          <w:tab w:val="right" w:leader="dot" w:pos="8835"/>
        </w:tabs>
        <w:divId w:val="1999839746"/>
        <w:rPr>
          <w:rFonts w:hint="eastAsia"/>
          <w:vanish/>
        </w:rPr>
      </w:pPr>
      <w:hyperlink w:anchor="_Toc34841035" w:history="1">
        <w:r>
          <w:rPr>
            <w:rStyle w:val="a3"/>
            <w:rFonts w:hint="eastAsia"/>
            <w:noProof/>
            <w:vanish/>
          </w:rPr>
          <w:t>4.1 赎回份额限制</w:t>
        </w:r>
      </w:hyperlink>
      <w:r w:rsidRPr="00BB5806">
        <w:rPr>
          <w:rFonts w:ascii="Calibri" w:hAnsi="Calibri" w:cs="Times New Roman"/>
          <w:noProof/>
          <w:vanish/>
          <w:szCs w:val="22"/>
        </w:rPr>
        <w:t xml:space="preserve"> </w:t>
      </w:r>
    </w:p>
    <w:p w:rsidR="000A068F" w:rsidRDefault="000A068F">
      <w:pPr>
        <w:pStyle w:val="20"/>
        <w:tabs>
          <w:tab w:val="right" w:leader="dot" w:pos="8835"/>
        </w:tabs>
        <w:divId w:val="1999839746"/>
        <w:rPr>
          <w:rFonts w:hint="eastAsia"/>
          <w:vanish/>
        </w:rPr>
      </w:pPr>
      <w:hyperlink w:anchor="_Toc34841036" w:history="1">
        <w:r>
          <w:rPr>
            <w:rStyle w:val="a3"/>
            <w:rFonts w:hint="eastAsia"/>
            <w:noProof/>
            <w:vanish/>
          </w:rPr>
          <w:t>4.2 赎回费率</w:t>
        </w:r>
      </w:hyperlink>
      <w:r w:rsidRPr="00BB5806">
        <w:rPr>
          <w:rFonts w:ascii="Calibri" w:hAnsi="Calibri" w:cs="Times New Roman"/>
          <w:noProof/>
          <w:vanish/>
          <w:szCs w:val="22"/>
        </w:rPr>
        <w:t xml:space="preserve"> </w:t>
      </w:r>
    </w:p>
    <w:p w:rsidR="000A068F" w:rsidRDefault="000A068F">
      <w:pPr>
        <w:pStyle w:val="20"/>
        <w:tabs>
          <w:tab w:val="right" w:leader="dot" w:pos="8835"/>
        </w:tabs>
        <w:divId w:val="1999839746"/>
        <w:rPr>
          <w:rFonts w:hint="eastAsia"/>
          <w:vanish/>
        </w:rPr>
      </w:pPr>
      <w:hyperlink w:anchor="_Toc34841037" w:history="1">
        <w:r>
          <w:rPr>
            <w:rStyle w:val="a3"/>
            <w:rFonts w:hint="eastAsia"/>
            <w:noProof/>
            <w:vanish/>
          </w:rPr>
          <w:t>4.3 其他与赎回相关的事项</w:t>
        </w:r>
      </w:hyperlink>
      <w:r w:rsidRPr="00BB5806">
        <w:rPr>
          <w:rFonts w:ascii="Calibri" w:hAnsi="Calibri" w:cs="Times New Roman"/>
          <w:noProof/>
          <w:vanish/>
          <w:szCs w:val="22"/>
        </w:rPr>
        <w:t xml:space="preserve"> </w:t>
      </w:r>
    </w:p>
    <w:p w:rsidR="000A068F" w:rsidRDefault="000A068F">
      <w:pPr>
        <w:pStyle w:val="10"/>
        <w:divId w:val="1999839746"/>
        <w:rPr>
          <w:rFonts w:hint="eastAsia"/>
          <w:vanish/>
        </w:rPr>
      </w:pPr>
      <w:hyperlink w:anchor="_Toc34841038" w:history="1">
        <w:r>
          <w:rPr>
            <w:rStyle w:val="a3"/>
            <w:rFonts w:hint="eastAsia"/>
            <w:vanish/>
          </w:rPr>
          <w:t>5 日常转换业务</w:t>
        </w:r>
      </w:hyperlink>
      <w:r w:rsidRPr="00BB5806">
        <w:rPr>
          <w:rFonts w:ascii="Calibri" w:hAnsi="Calibri" w:cs="Times New Roman"/>
          <w:vanish/>
          <w:szCs w:val="22"/>
        </w:rPr>
        <w:t xml:space="preserve"> </w:t>
      </w:r>
    </w:p>
    <w:p w:rsidR="000A068F" w:rsidRDefault="000A068F">
      <w:pPr>
        <w:pStyle w:val="20"/>
        <w:tabs>
          <w:tab w:val="right" w:leader="dot" w:pos="8835"/>
        </w:tabs>
        <w:divId w:val="1999839746"/>
        <w:rPr>
          <w:rFonts w:hint="eastAsia"/>
          <w:vanish/>
        </w:rPr>
      </w:pPr>
      <w:hyperlink w:anchor="_Toc34841039" w:history="1">
        <w:r>
          <w:rPr>
            <w:rStyle w:val="a3"/>
            <w:rFonts w:hint="eastAsia"/>
            <w:noProof/>
            <w:vanish/>
          </w:rPr>
          <w:t>5.1 转换费率</w:t>
        </w:r>
      </w:hyperlink>
      <w:r w:rsidRPr="00BB5806">
        <w:rPr>
          <w:rFonts w:ascii="Calibri" w:hAnsi="Calibri" w:cs="Times New Roman"/>
          <w:noProof/>
          <w:vanish/>
          <w:szCs w:val="22"/>
        </w:rPr>
        <w:t xml:space="preserve"> </w:t>
      </w:r>
    </w:p>
    <w:p w:rsidR="000A068F" w:rsidRDefault="000A068F">
      <w:pPr>
        <w:pStyle w:val="20"/>
        <w:tabs>
          <w:tab w:val="right" w:leader="dot" w:pos="8835"/>
        </w:tabs>
        <w:divId w:val="1999839746"/>
        <w:rPr>
          <w:rFonts w:hint="eastAsia"/>
          <w:vanish/>
        </w:rPr>
      </w:pPr>
      <w:hyperlink w:anchor="_Toc34841040" w:history="1">
        <w:r>
          <w:rPr>
            <w:rStyle w:val="a3"/>
            <w:rFonts w:hint="eastAsia"/>
            <w:noProof/>
            <w:vanish/>
          </w:rPr>
          <w:t>5.2 其他与转换相关的事项</w:t>
        </w:r>
      </w:hyperlink>
      <w:r w:rsidRPr="00BB5806">
        <w:rPr>
          <w:rFonts w:ascii="Calibri" w:hAnsi="Calibri" w:cs="Times New Roman"/>
          <w:noProof/>
          <w:vanish/>
          <w:szCs w:val="22"/>
        </w:rPr>
        <w:t xml:space="preserve"> </w:t>
      </w:r>
    </w:p>
    <w:p w:rsidR="000A068F" w:rsidRDefault="000A068F">
      <w:pPr>
        <w:pStyle w:val="10"/>
        <w:divId w:val="1999839746"/>
        <w:rPr>
          <w:rFonts w:hint="eastAsia"/>
          <w:vanish/>
        </w:rPr>
      </w:pPr>
      <w:hyperlink w:anchor="_Toc34841041" w:history="1">
        <w:r>
          <w:rPr>
            <w:rStyle w:val="a3"/>
            <w:rFonts w:hint="eastAsia"/>
            <w:vanish/>
          </w:rPr>
          <w:t>6 定期定额投资业务</w:t>
        </w:r>
      </w:hyperlink>
      <w:r w:rsidRPr="00BB5806">
        <w:rPr>
          <w:rFonts w:ascii="Calibri" w:hAnsi="Calibri" w:cs="Times New Roman"/>
          <w:vanish/>
          <w:szCs w:val="22"/>
        </w:rPr>
        <w:t xml:space="preserve"> </w:t>
      </w:r>
    </w:p>
    <w:p w:rsidR="000A068F" w:rsidRDefault="000A068F">
      <w:pPr>
        <w:pStyle w:val="10"/>
        <w:divId w:val="1999839746"/>
        <w:rPr>
          <w:rFonts w:hint="eastAsia"/>
          <w:vanish/>
        </w:rPr>
      </w:pPr>
      <w:hyperlink w:anchor="_Toc34841042" w:history="1">
        <w:r>
          <w:rPr>
            <w:rStyle w:val="a3"/>
            <w:rFonts w:hint="eastAsia"/>
            <w:vanish/>
          </w:rPr>
          <w:t>7 基金销售机构</w:t>
        </w:r>
      </w:hyperlink>
      <w:r w:rsidRPr="00BB5806">
        <w:rPr>
          <w:rFonts w:ascii="Calibri" w:hAnsi="Calibri" w:cs="Times New Roman"/>
          <w:vanish/>
          <w:szCs w:val="22"/>
        </w:rPr>
        <w:t xml:space="preserve"> </w:t>
      </w:r>
    </w:p>
    <w:p w:rsidR="000A068F" w:rsidRDefault="000A068F">
      <w:pPr>
        <w:pStyle w:val="20"/>
        <w:tabs>
          <w:tab w:val="right" w:leader="dot" w:pos="8835"/>
        </w:tabs>
        <w:divId w:val="1999839746"/>
        <w:rPr>
          <w:rFonts w:hint="eastAsia"/>
          <w:vanish/>
        </w:rPr>
      </w:pPr>
      <w:hyperlink w:anchor="_Toc51346565811" w:history="1">
        <w:r>
          <w:rPr>
            <w:rStyle w:val="a3"/>
            <w:rFonts w:hint="eastAsia"/>
            <w:noProof/>
            <w:vanish/>
          </w:rPr>
          <w:t>7.1 场外销售机构</w:t>
        </w:r>
      </w:hyperlink>
      <w:r w:rsidRPr="00BB5806">
        <w:rPr>
          <w:rFonts w:ascii="Calibri" w:hAnsi="Calibri" w:cs="Times New Roman"/>
          <w:noProof/>
          <w:vanish/>
          <w:szCs w:val="22"/>
        </w:rPr>
        <w:t xml:space="preserve"> </w:t>
      </w:r>
    </w:p>
    <w:p w:rsidR="000A068F" w:rsidRDefault="000A068F">
      <w:pPr>
        <w:pStyle w:val="30"/>
        <w:tabs>
          <w:tab w:val="right" w:leader="dot" w:pos="8835"/>
        </w:tabs>
        <w:divId w:val="1999839746"/>
        <w:rPr>
          <w:rFonts w:hint="eastAsia"/>
          <w:vanish/>
        </w:rPr>
      </w:pPr>
      <w:hyperlink w:anchor="_Toc51346565911" w:history="1">
        <w:r>
          <w:rPr>
            <w:rStyle w:val="a3"/>
            <w:rFonts w:hint="eastAsia"/>
            <w:noProof/>
            <w:vanish/>
          </w:rPr>
          <w:t>7.1.1 直销机构</w:t>
        </w:r>
      </w:hyperlink>
      <w:r w:rsidRPr="00BB5806">
        <w:rPr>
          <w:rFonts w:ascii="Calibri" w:hAnsi="Calibri" w:cs="Times New Roman"/>
          <w:noProof/>
          <w:vanish/>
          <w:szCs w:val="22"/>
        </w:rPr>
        <w:t xml:space="preserve"> </w:t>
      </w:r>
    </w:p>
    <w:p w:rsidR="000A068F" w:rsidRDefault="000A068F">
      <w:pPr>
        <w:pStyle w:val="30"/>
        <w:tabs>
          <w:tab w:val="right" w:leader="dot" w:pos="8835"/>
        </w:tabs>
        <w:divId w:val="1999839746"/>
        <w:rPr>
          <w:rFonts w:hint="eastAsia"/>
          <w:vanish/>
        </w:rPr>
      </w:pPr>
      <w:hyperlink w:anchor="_Toc51346566011" w:history="1">
        <w:r>
          <w:rPr>
            <w:rStyle w:val="a3"/>
            <w:rFonts w:hint="eastAsia"/>
            <w:noProof/>
            <w:vanish/>
          </w:rPr>
          <w:t>7.1.2 场外非直销机构</w:t>
        </w:r>
      </w:hyperlink>
      <w:r w:rsidRPr="00BB5806">
        <w:rPr>
          <w:rFonts w:ascii="Calibri" w:hAnsi="Calibri" w:cs="Times New Roman"/>
          <w:noProof/>
          <w:vanish/>
          <w:szCs w:val="22"/>
        </w:rPr>
        <w:t xml:space="preserve"> </w:t>
      </w:r>
    </w:p>
    <w:p w:rsidR="000A068F" w:rsidRDefault="000A068F">
      <w:pPr>
        <w:pStyle w:val="20"/>
        <w:tabs>
          <w:tab w:val="right" w:leader="dot" w:pos="8835"/>
        </w:tabs>
        <w:divId w:val="1999839746"/>
        <w:rPr>
          <w:rFonts w:hint="eastAsia"/>
          <w:vanish/>
        </w:rPr>
      </w:pPr>
      <w:hyperlink w:anchor="_Toc34841044" w:history="1">
        <w:r>
          <w:rPr>
            <w:rStyle w:val="a3"/>
            <w:rFonts w:hint="eastAsia"/>
            <w:noProof/>
            <w:vanish/>
          </w:rPr>
          <w:t>7.2 场内销售机构</w:t>
        </w:r>
      </w:hyperlink>
      <w:r w:rsidRPr="00BB5806">
        <w:rPr>
          <w:rFonts w:ascii="Calibri" w:hAnsi="Calibri" w:cs="Times New Roman"/>
          <w:noProof/>
          <w:vanish/>
          <w:szCs w:val="22"/>
        </w:rPr>
        <w:t xml:space="preserve"> </w:t>
      </w:r>
    </w:p>
    <w:p w:rsidR="000A068F" w:rsidRDefault="000A068F">
      <w:pPr>
        <w:pStyle w:val="10"/>
        <w:divId w:val="1999839746"/>
        <w:rPr>
          <w:rFonts w:hint="eastAsia"/>
          <w:vanish/>
        </w:rPr>
      </w:pPr>
      <w:hyperlink w:anchor="_Toc34841045" w:history="1">
        <w:r>
          <w:rPr>
            <w:rStyle w:val="a3"/>
            <w:rFonts w:hint="eastAsia"/>
            <w:vanish/>
          </w:rPr>
          <w:t>8 基金份额净值公告/基金收益公告的披露安排</w:t>
        </w:r>
      </w:hyperlink>
      <w:r w:rsidRPr="00BB5806">
        <w:rPr>
          <w:rFonts w:ascii="Calibri" w:hAnsi="Calibri" w:cs="Times New Roman"/>
          <w:vanish/>
          <w:szCs w:val="22"/>
        </w:rPr>
        <w:t xml:space="preserve"> </w:t>
      </w:r>
    </w:p>
    <w:p w:rsidR="000A068F" w:rsidRDefault="000A068F">
      <w:pPr>
        <w:pStyle w:val="10"/>
        <w:divId w:val="1999839746"/>
        <w:rPr>
          <w:rFonts w:hint="eastAsia"/>
          <w:vanish/>
        </w:rPr>
      </w:pPr>
      <w:hyperlink w:anchor="_Toc34841046" w:history="1">
        <w:r>
          <w:rPr>
            <w:rStyle w:val="a3"/>
            <w:rFonts w:hint="eastAsia"/>
            <w:vanish/>
          </w:rPr>
          <w:t>9 其他需要提示的事项</w:t>
        </w:r>
      </w:hyperlink>
      <w:r w:rsidRPr="00BB5806">
        <w:rPr>
          <w:rFonts w:ascii="Calibri" w:hAnsi="Calibri" w:cs="Times New Roman"/>
          <w:vanish/>
          <w:szCs w:val="22"/>
        </w:rPr>
        <w:t xml:space="preserve"> </w:t>
      </w:r>
    </w:p>
    <w:p w:rsidR="000A068F" w:rsidRDefault="000A068F">
      <w:pPr>
        <w:rPr>
          <w:rFonts w:hint="eastAsia"/>
        </w:rPr>
      </w:pPr>
      <w:r>
        <w:rPr>
          <w:rFonts w:hint="eastAsia"/>
        </w:rPr>
        <w:fldChar w:fldCharType="end"/>
      </w:r>
      <w:r>
        <w:rPr>
          <w:rFonts w:hint="eastAsia"/>
        </w:rPr>
        <w:t xml:space="preserve">　 </w:t>
      </w:r>
    </w:p>
    <w:p w:rsidR="000A068F" w:rsidRDefault="000A068F" w:rsidP="00BB5806">
      <w:pPr>
        <w:pStyle w:val="XBRLTitle1"/>
        <w:spacing w:before="156" w:line="360" w:lineRule="auto"/>
        <w:rPr>
          <w:rFonts w:hint="eastAsia"/>
        </w:rPr>
      </w:pPr>
      <w:bookmarkStart w:id="4" w:name="_Toc34841028"/>
      <w:bookmarkStart w:id="5" w:name="_Toc17898178"/>
      <w:bookmarkStart w:id="6" w:name="_Toc17897936"/>
      <w:bookmarkStart w:id="7" w:name="_Toc512519480"/>
      <w:bookmarkStart w:id="8" w:name="_Toc481075046"/>
      <w:bookmarkStart w:id="9" w:name="_Toc438646451"/>
      <w:bookmarkStart w:id="10" w:name="_Toc490050000"/>
      <w:bookmarkStart w:id="11" w:name="_Toc513295846"/>
      <w:bookmarkStart w:id="12" w:name="_Toc513295892"/>
      <w:bookmarkStart w:id="13" w:name="_Toc34758519"/>
      <w:bookmarkStart w:id="14" w:name="m101"/>
      <w:r>
        <w:rPr>
          <w:rFonts w:hAnsi="宋体" w:hint="eastAsia"/>
        </w:rPr>
        <w:t>公告基本信息</w:t>
      </w:r>
      <w:bookmarkEnd w:id="4"/>
      <w:bookmarkEnd w:id="5"/>
      <w:bookmarkEnd w:id="6"/>
      <w:bookmarkEnd w:id="7"/>
      <w:bookmarkEnd w:id="8"/>
      <w:bookmarkEnd w:id="9"/>
      <w:bookmarkEnd w:id="10"/>
      <w:bookmarkEnd w:id="11"/>
      <w:bookmarkEnd w:id="12"/>
      <w:bookmarkEnd w:id="13"/>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建信上证科创板200交易型开放式指数证券投资基金联接基金</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基金简称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建信上证科创板200ETF联接</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基金主代码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023686</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基金运作方式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契约型开放式</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基金合同生效日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2025年9月26日</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基金管理人名称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建信基金管理有限责任公司</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基金托管人名称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上海浦东发展银行股份有限公司</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基金注册登记机构名称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建信基金管理有限责任公司</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公告依据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中华人民共和国证券投资基金法》、《证券投资基金运作管理办法》等法律法规以及《建信上证科创板200交易型开放式指数证券投资基金联接基金招募说明书》、《建信上证科创板200交易型开放式指数证券投资基金联接基金基金合同》</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申购起始日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2025年10月10日</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赎回起始日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2025年10月10日</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转换转入起始日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2025年10月10日</w:t>
            </w:r>
          </w:p>
        </w:tc>
      </w:tr>
      <w:tr w:rsidR="000A068F" w:rsidRPr="00BB5806" w:rsidTr="00BB5806">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 xml:space="preserve">转换转出起始日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hint="eastAsia"/>
              </w:rPr>
              <w:t>2025年10月10日</w:t>
            </w:r>
          </w:p>
        </w:tc>
      </w:tr>
      <w:tr w:rsidR="000A068F" w:rsidRPr="00BB5806" w:rsidTr="00BB5806">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定期定额投资起始日</w:t>
            </w:r>
          </w:p>
        </w:tc>
        <w:tc>
          <w:tcPr>
            <w:tcW w:w="4870" w:type="dxa"/>
            <w:gridSpan w:val="2"/>
            <w:tcBorders>
              <w:top w:val="single" w:sz="4" w:space="0" w:color="000000"/>
              <w:left w:val="nil"/>
              <w:bottom w:val="single" w:sz="4" w:space="0" w:color="000000"/>
              <w:right w:val="single" w:sz="4" w:space="0" w:color="000000"/>
            </w:tcBorders>
            <w:shd w:val="clear" w:color="auto" w:fill="auto"/>
            <w:vAlign w:val="center"/>
            <w:hideMark/>
          </w:tcPr>
          <w:p w:rsidR="000A068F" w:rsidRDefault="000A068F">
            <w:r w:rsidRPr="00BB5806">
              <w:rPr>
                <w:rFonts w:hint="eastAsia"/>
              </w:rPr>
              <w:t>2025年10月10日</w:t>
            </w:r>
          </w:p>
        </w:tc>
      </w:tr>
      <w:tr w:rsidR="000A068F" w:rsidRPr="00BB5806" w:rsidTr="00BB5806">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0A068F" w:rsidRDefault="000A068F">
            <w:r w:rsidRPr="00BB5806">
              <w:rPr>
                <w:rFonts w:ascii="Times New Roman" w:hAnsi="Times New Roman"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建信上证科创板</w:t>
            </w:r>
            <w:r w:rsidRPr="00BB5806">
              <w:rPr>
                <w:rFonts w:ascii="Times New Roman" w:hAnsi="Times New Roman" w:hint="eastAsia"/>
              </w:rPr>
              <w:t>200ETF</w:t>
            </w:r>
            <w:r w:rsidRPr="00BB5806">
              <w:rPr>
                <w:rFonts w:ascii="Times New Roman" w:hAnsi="Times New Roman" w:hint="eastAsia"/>
              </w:rPr>
              <w:t>联接</w:t>
            </w:r>
            <w:r w:rsidRPr="00BB5806">
              <w:rPr>
                <w:rFonts w:ascii="Times New Roman" w:hAnsi="Times New Roman"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建信上证科创板</w:t>
            </w:r>
            <w:r w:rsidRPr="00BB5806">
              <w:rPr>
                <w:rFonts w:ascii="Times New Roman" w:hAnsi="Times New Roman" w:hint="eastAsia"/>
              </w:rPr>
              <w:t>200ETF</w:t>
            </w:r>
            <w:r w:rsidRPr="00BB5806">
              <w:rPr>
                <w:rFonts w:ascii="Times New Roman" w:hAnsi="Times New Roman" w:hint="eastAsia"/>
              </w:rPr>
              <w:t>联接</w:t>
            </w:r>
            <w:r w:rsidRPr="00BB5806">
              <w:rPr>
                <w:rFonts w:ascii="Times New Roman" w:hAnsi="Times New Roman" w:hint="eastAsia"/>
              </w:rPr>
              <w:t>C</w:t>
            </w:r>
            <w:r>
              <w:rPr>
                <w:rFonts w:hint="eastAsia"/>
              </w:rPr>
              <w:t xml:space="preserve"> </w:t>
            </w:r>
          </w:p>
        </w:tc>
      </w:tr>
      <w:tr w:rsidR="000A068F" w:rsidRPr="00BB5806" w:rsidTr="00BB5806">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0A068F" w:rsidRDefault="000A068F">
            <w:r w:rsidRPr="00BB5806">
              <w:rPr>
                <w:rFonts w:ascii="Times New Roman" w:hAnsi="Times New Roman"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023686</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023687</w:t>
            </w:r>
            <w:r>
              <w:rPr>
                <w:rFonts w:hint="eastAsia"/>
              </w:rPr>
              <w:t xml:space="preserve"> </w:t>
            </w:r>
          </w:p>
        </w:tc>
      </w:tr>
      <w:tr w:rsidR="000A068F" w:rsidRPr="00BB5806" w:rsidTr="00BB5806">
        <w:trPr>
          <w:trHeight w:val="1066"/>
        </w:trPr>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0A068F" w:rsidRDefault="000A068F">
            <w:r w:rsidRPr="00BB5806">
              <w:rPr>
                <w:rFonts w:ascii="Times New Roman" w:hAnsi="Times New Roman" w:hint="eastAsia"/>
              </w:rPr>
              <w:t>该分级基金是否开放申购、赎回（转换、定期定额投资）</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068F" w:rsidRDefault="000A068F">
            <w:r w:rsidRPr="00BB5806">
              <w:rPr>
                <w:rFonts w:ascii="Times New Roman" w:hAnsi="Times New Roman" w:hint="eastAsia"/>
              </w:rPr>
              <w:t>是</w:t>
            </w:r>
            <w:r>
              <w:rPr>
                <w:rFonts w:hint="eastAsia"/>
              </w:rPr>
              <w:t xml:space="preserve"> </w:t>
            </w:r>
          </w:p>
        </w:tc>
      </w:tr>
    </w:tbl>
    <w:p w:rsidR="000A068F" w:rsidRDefault="000A068F">
      <w:pPr>
        <w:spacing w:line="360" w:lineRule="auto"/>
        <w:jc w:val="left"/>
        <w:rPr>
          <w:rFonts w:hint="eastAsia"/>
        </w:rPr>
      </w:pPr>
      <w:r>
        <w:rPr>
          <w:rFonts w:hint="eastAsia"/>
          <w:szCs w:val="21"/>
        </w:rPr>
        <w:t>注：（1）本基金为交易型开放式指数证券投资基金联接基金，基金管理人为建信基金管理有限责任公司（以下简称“本公司”），基金注册登记机构为建信基金管理有限责任公司，基金托管人为上海浦东发展银行股份有限公司 。</w:t>
      </w:r>
      <w:r>
        <w:rPr>
          <w:rFonts w:hint="eastAsia"/>
          <w:szCs w:val="21"/>
        </w:rPr>
        <w:br/>
        <w:t xml:space="preserve">　　（2）投资者应及时通过本基金销售网点、致电本公司的客户服务电话400-81-95533（免长途话费）或登录本公司网站www.ccbfund.cn查询其交易申请的确认情况。</w:t>
      </w:r>
    </w:p>
    <w:p w:rsidR="000A068F" w:rsidRDefault="000A068F" w:rsidP="00BB5806">
      <w:pPr>
        <w:pStyle w:val="XBRLTitle1"/>
        <w:spacing w:before="156" w:line="360" w:lineRule="auto"/>
        <w:rPr>
          <w:rFonts w:hint="eastAsia"/>
        </w:rPr>
      </w:pPr>
      <w:bookmarkStart w:id="15" w:name="_Toc34841029"/>
      <w:bookmarkStart w:id="16" w:name="_Toc34758520"/>
      <w:bookmarkStart w:id="17" w:name="_Toc17898179"/>
      <w:bookmarkStart w:id="18" w:name="_Toc17897937"/>
      <w:bookmarkStart w:id="19" w:name="_Toc512519481"/>
      <w:bookmarkStart w:id="20" w:name="_Toc481075047"/>
      <w:bookmarkStart w:id="21" w:name="_Toc438646452"/>
      <w:bookmarkStart w:id="22" w:name="_Toc490050001"/>
      <w:bookmarkStart w:id="23" w:name="_Toc513295847"/>
      <w:bookmarkStart w:id="24" w:name="_Toc513295893"/>
      <w:r>
        <w:rPr>
          <w:rFonts w:hAnsi="宋体" w:hint="eastAsia"/>
        </w:rPr>
        <w:t>日常申购、赎回(转换、定期定额投资)业务的办理时间</w:t>
      </w:r>
      <w:bookmarkEnd w:id="15"/>
      <w:bookmarkEnd w:id="16"/>
      <w:r>
        <w:rPr>
          <w:rFonts w:hAnsi="宋体" w:hint="eastAsia"/>
        </w:rPr>
        <w:t xml:space="preserve"> </w:t>
      </w:r>
    </w:p>
    <w:p w:rsidR="000A068F" w:rsidRDefault="000A068F">
      <w:pPr>
        <w:spacing w:line="360" w:lineRule="auto"/>
        <w:ind w:firstLineChars="200" w:firstLine="420"/>
        <w:rPr>
          <w:rFonts w:hint="eastAsia"/>
        </w:rPr>
      </w:pPr>
      <w:bookmarkStart w:id="25" w:name="m07_04_13_00"/>
      <w:bookmarkStart w:id="26" w:name="m201"/>
      <w:bookmarkStart w:id="27" w:name="m07_04_07_09_tab"/>
      <w:bookmarkStart w:id="28" w:name="m07_04_07_09"/>
      <w:bookmarkStart w:id="29" w:name="m201_01"/>
      <w:r>
        <w:rPr>
          <w:rFonts w:hint="eastAsia"/>
          <w:lang/>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hint="eastAsia"/>
          <w:lang/>
        </w:rPr>
        <w:br/>
        <w:t xml:space="preserve">　　基金合同生效后，若出现新的证券/期货交易市场、证券/期货交易所交易时间变更或其他特殊情况，基金管理人将视情况对前述开放日及开放时间进行相应的调整，但应在实施日前依照《信</w:t>
      </w:r>
      <w:r>
        <w:rPr>
          <w:rFonts w:hint="eastAsia"/>
          <w:lang/>
        </w:rPr>
        <w:lastRenderedPageBreak/>
        <w:t>息披露办法》的有关规定在规定媒介上公告。</w:t>
      </w:r>
      <w:r>
        <w:rPr>
          <w:rFonts w:hint="eastAsia"/>
          <w:lang/>
        </w:rPr>
        <w:br/>
        <w:t xml:space="preserve">　　在确定申购开始与赎回开始时间后，基金管理人应在申购、赎回开放日前依照《信息披露办法》的有关规定在规定媒介上公告申购与赎回的开始时间。</w:t>
      </w:r>
      <w:r>
        <w:rPr>
          <w:rFonts w:hint="eastAsia"/>
          <w:lang/>
        </w:rPr>
        <w:br/>
        <w:t xml:space="preserve">　　基金管理人不得在基金合同约定之外的日期或者时间办理基金份额的申购、赎回或者转换。投资人在基金合同约定之外的日期和时间提出申购、赎回或转换申请且登记机构确认接受的，其基金份额申购、赎回或转换价格为下一开放日该类基金份额申购、赎回或转换的价格。</w:t>
      </w:r>
    </w:p>
    <w:p w:rsidR="000A068F" w:rsidRDefault="000A068F" w:rsidP="00BB5806">
      <w:pPr>
        <w:pStyle w:val="XBRLTitle1"/>
        <w:spacing w:before="156" w:line="360" w:lineRule="auto"/>
        <w:rPr>
          <w:rFonts w:hint="eastAsia"/>
        </w:rPr>
      </w:pPr>
      <w:bookmarkStart w:id="30" w:name="m401_tab"/>
      <w:bookmarkStart w:id="31" w:name="m401"/>
      <w:bookmarkStart w:id="32" w:name="_Toc34841030"/>
      <w:bookmarkStart w:id="33" w:name="_Toc34758521"/>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r>
        <w:rPr>
          <w:rFonts w:hAnsi="宋体" w:hint="eastAsia"/>
        </w:rPr>
        <w:t>日常申购业务</w:t>
      </w:r>
      <w:bookmarkEnd w:id="32"/>
      <w:bookmarkEnd w:id="33"/>
      <w:r>
        <w:rPr>
          <w:rFonts w:hAnsi="宋体" w:hint="eastAsia"/>
        </w:rPr>
        <w:t xml:space="preserve"> </w:t>
      </w:r>
    </w:p>
    <w:p w:rsidR="000A068F" w:rsidRDefault="000A068F" w:rsidP="00BB5806">
      <w:pPr>
        <w:pStyle w:val="XBRLTitle2"/>
        <w:spacing w:before="156" w:line="360" w:lineRule="auto"/>
        <w:rPr>
          <w:rFonts w:hint="eastAsia"/>
        </w:rPr>
      </w:pPr>
      <w:bookmarkStart w:id="42" w:name="_Toc34841031"/>
      <w:bookmarkStart w:id="43" w:name="_Toc17898181"/>
      <w:bookmarkStart w:id="44" w:name="_Toc17897939"/>
      <w:bookmarkStart w:id="45" w:name="_Toc512519483"/>
      <w:bookmarkStart w:id="46" w:name="_Toc481075050"/>
      <w:bookmarkStart w:id="47" w:name="_Toc438646456"/>
      <w:bookmarkStart w:id="48" w:name="_Toc490050004"/>
      <w:bookmarkStart w:id="49" w:name="_Toc513295849"/>
      <w:bookmarkStart w:id="50" w:name="_Toc513295895"/>
      <w:bookmarkStart w:id="51" w:name="_Toc34758522"/>
      <w:r>
        <w:rPr>
          <w:rFonts w:hAnsi="宋体" w:hint="eastAsia"/>
        </w:rPr>
        <w:t>申购金额限制</w:t>
      </w:r>
      <w:bookmarkEnd w:id="42"/>
      <w:bookmarkEnd w:id="43"/>
      <w:bookmarkEnd w:id="44"/>
      <w:bookmarkEnd w:id="45"/>
      <w:bookmarkEnd w:id="46"/>
      <w:bookmarkEnd w:id="47"/>
      <w:bookmarkEnd w:id="48"/>
      <w:bookmarkEnd w:id="49"/>
      <w:bookmarkEnd w:id="50"/>
      <w:bookmarkEnd w:id="51"/>
      <w:r>
        <w:rPr>
          <w:rFonts w:hAnsi="宋体" w:hint="eastAsia"/>
        </w:rPr>
        <w:t xml:space="preserve"> </w:t>
      </w:r>
    </w:p>
    <w:p w:rsidR="000A068F" w:rsidRDefault="000A068F">
      <w:pPr>
        <w:spacing w:line="360" w:lineRule="auto"/>
        <w:ind w:firstLineChars="200" w:firstLine="420"/>
        <w:rPr>
          <w:rFonts w:hint="eastAsia"/>
        </w:rPr>
      </w:pPr>
      <w:r>
        <w:rPr>
          <w:rFonts w:hint="eastAsia"/>
          <w:lang/>
        </w:rPr>
        <w:t>其他销售机构网点每个基金账户单笔申购最低金额为1元人民币，其他销售机构另有规定最低单笔申购金额高于1元的，从其规定；本基金管理人直销柜台每个基金账户首次最低申购金额、追加单笔申购最低金额均为1元人民币；通过本基金管理人网上交易平台申购本基金时，单笔最低申购金额、定期定额投资最低金额均为1元人民币。</w:t>
      </w:r>
    </w:p>
    <w:p w:rsidR="000A068F" w:rsidRDefault="000A068F" w:rsidP="00BB5806">
      <w:pPr>
        <w:pStyle w:val="XBRLTitle2"/>
        <w:spacing w:before="156" w:line="360" w:lineRule="auto"/>
        <w:rPr>
          <w:rFonts w:hint="eastAsia"/>
        </w:rPr>
      </w:pPr>
      <w:bookmarkStart w:id="52" w:name="_Toc513465658"/>
      <w:bookmarkStart w:id="53" w:name="_Toc490050005"/>
      <w:bookmarkStart w:id="54" w:name="_Toc438646457"/>
      <w:bookmarkStart w:id="55" w:name="_Toc481075051"/>
      <w:bookmarkStart w:id="56" w:name="_Toc512519484"/>
      <w:r>
        <w:rPr>
          <w:rFonts w:hAnsi="宋体" w:hint="eastAsia"/>
        </w:rPr>
        <w:t>申购费率</w:t>
      </w:r>
      <w:bookmarkEnd w:id="52"/>
      <w:r>
        <w:rPr>
          <w:rFonts w:hAnsi="宋体" w:hint="eastAsia"/>
        </w:rPr>
        <w:t xml:space="preserve"> </w:t>
      </w:r>
    </w:p>
    <w:p w:rsidR="000A068F" w:rsidRDefault="000A068F">
      <w:pPr>
        <w:spacing w:line="360" w:lineRule="auto"/>
        <w:ind w:firstLineChars="200" w:firstLine="420"/>
        <w:rPr>
          <w:rFonts w:hint="eastAsia"/>
        </w:rPr>
      </w:pPr>
      <w:r>
        <w:rPr>
          <w:rFonts w:hint="eastAsia"/>
          <w:lang/>
        </w:rPr>
        <w:t>投资人在申购A类基金份额时支付申购费用。C类基金份额不收取申购费用。投资人可以多次申购本基金。</w:t>
      </w:r>
      <w:r>
        <w:rPr>
          <w:rFonts w:hint="eastAsia"/>
          <w:lang/>
        </w:rPr>
        <w:br/>
        <w:t xml:space="preserve">　　本基金的申购费用应在投资人申购基金份额时收取，不列入基金财产，主要用于本基金的市场推广、销售、登记等各项费用。</w:t>
      </w:r>
      <w:r>
        <w:rPr>
          <w:rFonts w:hint="eastAsia"/>
          <w:lang/>
        </w:rPr>
        <w:br/>
        <w:t xml:space="preserve">　　本基金对在基金管理人直销柜台办理账户认证手续的养老金客户与除此之外其他投资者实施差别化的申购费率。养老金客户在基金管理人直销柜台办理账户认证手续后，即可享受申购费率1折优惠。未在基金管理人直销柜台办理账户认证手续的养老金账户，不享受上述特定费率。</w:t>
      </w:r>
      <w:r>
        <w:rPr>
          <w:rFonts w:hint="eastAsia"/>
          <w:lang/>
        </w:rPr>
        <w:br/>
        <w:t xml:space="preserve">　　养老金客户包括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企业年金养老金产品、职业年金计划、养老目标基金、个人税收递延型商业养老保险产品。如将来出现经养老基金监管部门认可的新的养老基金类型，基金管理人将依据规定将其纳入养老金客户范围。</w:t>
      </w:r>
    </w:p>
    <w:p w:rsidR="000A068F" w:rsidRDefault="000A068F" w:rsidP="00BB5806">
      <w:pPr>
        <w:pStyle w:val="XBRLTitle3"/>
        <w:spacing w:before="156"/>
        <w:rPr>
          <w:rFonts w:hint="eastAsia"/>
        </w:rPr>
      </w:pPr>
      <w:bookmarkStart w:id="57" w:name="_Toc513465659"/>
      <w:bookmarkStart w:id="58" w:name="_Toc490050006"/>
      <w:bookmarkStart w:id="59" w:name="_Toc481075052"/>
      <w:bookmarkStart w:id="60" w:name="_Toc512519485"/>
      <w:r>
        <w:rPr>
          <w:rFonts w:hint="eastAsia"/>
        </w:rPr>
        <w:t>前端收费</w:t>
      </w:r>
      <w:bookmarkEnd w:id="57"/>
      <w:r>
        <w:rPr>
          <w:rFonts w:hint="eastAsia"/>
          <w:lang w:eastAsia="zh-CN"/>
        </w:rPr>
        <w:t xml:space="preserve"> </w:t>
      </w:r>
    </w:p>
    <w:p w:rsidR="000A068F" w:rsidRDefault="000A068F">
      <w:pPr>
        <w:spacing w:line="360" w:lineRule="auto"/>
        <w:jc w:val="center"/>
        <w:divId w:val="690225619"/>
        <w:rPr>
          <w:rFonts w:hint="eastAsia"/>
        </w:rPr>
      </w:pPr>
      <w:r>
        <w:rPr>
          <w:rFonts w:hint="eastAsia"/>
        </w:rPr>
        <w:t>建信上证科创板200ETF联接A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E233F6" w:rsidTr="00E233F6">
        <w:trPr>
          <w:divId w:val="690225619"/>
        </w:trPr>
        <w:tc>
          <w:tcPr>
            <w:tcW w:w="3582" w:type="dxa"/>
            <w:tcBorders>
              <w:top w:val="single" w:sz="4" w:space="0" w:color="000000"/>
              <w:left w:val="single" w:sz="4" w:space="0" w:color="000000"/>
              <w:bottom w:val="single" w:sz="4" w:space="0" w:color="000000"/>
              <w:right w:val="single" w:sz="4" w:space="0" w:color="000000"/>
            </w:tcBorders>
            <w:vAlign w:val="center"/>
            <w:hideMark/>
          </w:tcPr>
          <w:p w:rsidR="00E233F6" w:rsidRDefault="00E233F6">
            <w:pPr>
              <w:jc w:val="center"/>
            </w:pPr>
            <w:r w:rsidRPr="00BB5806">
              <w:rPr>
                <w:rFonts w:hint="eastAsia"/>
              </w:rPr>
              <w:t xml:space="preserve">申购金额(M) </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E233F6" w:rsidRDefault="00E233F6" w:rsidP="009629B7">
            <w:pPr>
              <w:jc w:val="center"/>
            </w:pPr>
            <w:r>
              <w:rPr>
                <w:rFonts w:hint="eastAsia"/>
              </w:rPr>
              <w:t>其他客户</w:t>
            </w:r>
            <w:r w:rsidRPr="00F221DB">
              <w:rPr>
                <w:rFonts w:hint="eastAsia"/>
              </w:rPr>
              <w:t xml:space="preserve">申购费率 </w:t>
            </w:r>
          </w:p>
        </w:tc>
        <w:tc>
          <w:tcPr>
            <w:tcW w:w="2767" w:type="dxa"/>
            <w:tcBorders>
              <w:top w:val="single" w:sz="4" w:space="0" w:color="000000"/>
              <w:left w:val="single" w:sz="4" w:space="0" w:color="000000"/>
              <w:bottom w:val="single" w:sz="4" w:space="0" w:color="000000"/>
              <w:right w:val="single" w:sz="4" w:space="0" w:color="000000"/>
            </w:tcBorders>
            <w:vAlign w:val="center"/>
            <w:hideMark/>
          </w:tcPr>
          <w:p w:rsidR="00E233F6" w:rsidRDefault="00E233F6" w:rsidP="009629B7">
            <w:pPr>
              <w:jc w:val="center"/>
            </w:pPr>
            <w:r>
              <w:rPr>
                <w:rFonts w:hint="eastAsia"/>
              </w:rPr>
              <w:t>养老金客户</w:t>
            </w:r>
            <w:r w:rsidRPr="00F221DB">
              <w:rPr>
                <w:rFonts w:hint="eastAsia"/>
              </w:rPr>
              <w:t>申购费率</w:t>
            </w:r>
          </w:p>
        </w:tc>
      </w:tr>
      <w:tr w:rsidR="000A068F" w:rsidTr="00E233F6">
        <w:trPr>
          <w:divId w:val="690225619"/>
        </w:trPr>
        <w:tc>
          <w:tcPr>
            <w:tcW w:w="3582"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M&lt;50万</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1%</w:t>
            </w:r>
          </w:p>
        </w:tc>
        <w:tc>
          <w:tcPr>
            <w:tcW w:w="2767"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0.1%</w:t>
            </w:r>
          </w:p>
        </w:tc>
      </w:tr>
      <w:tr w:rsidR="000A068F" w:rsidTr="00E233F6">
        <w:trPr>
          <w:divId w:val="690225619"/>
        </w:trPr>
        <w:tc>
          <w:tcPr>
            <w:tcW w:w="3582"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lastRenderedPageBreak/>
              <w:t>50万≤M＜100万</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0.5%</w:t>
            </w:r>
          </w:p>
        </w:tc>
        <w:tc>
          <w:tcPr>
            <w:tcW w:w="2767"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0.05%</w:t>
            </w:r>
          </w:p>
        </w:tc>
      </w:tr>
      <w:tr w:rsidR="000A068F" w:rsidTr="00E233F6">
        <w:trPr>
          <w:divId w:val="690225619"/>
        </w:trPr>
        <w:tc>
          <w:tcPr>
            <w:tcW w:w="3582"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M≥100万</w:t>
            </w:r>
          </w:p>
        </w:tc>
        <w:tc>
          <w:tcPr>
            <w:tcW w:w="2712"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1,000元/笔</w:t>
            </w:r>
          </w:p>
        </w:tc>
        <w:tc>
          <w:tcPr>
            <w:tcW w:w="2767" w:type="dxa"/>
            <w:tcBorders>
              <w:top w:val="single" w:sz="4" w:space="0" w:color="000000"/>
              <w:left w:val="single" w:sz="4" w:space="0" w:color="000000"/>
              <w:bottom w:val="single" w:sz="4" w:space="0" w:color="000000"/>
              <w:right w:val="single" w:sz="4" w:space="0" w:color="000000"/>
            </w:tcBorders>
            <w:vAlign w:val="center"/>
            <w:hideMark/>
          </w:tcPr>
          <w:p w:rsidR="000A068F" w:rsidRDefault="000A068F">
            <w:pPr>
              <w:jc w:val="center"/>
            </w:pPr>
            <w:r w:rsidRPr="00BB5806">
              <w:rPr>
                <w:rFonts w:hint="eastAsia"/>
              </w:rPr>
              <w:t>100元/笔</w:t>
            </w:r>
          </w:p>
        </w:tc>
      </w:tr>
    </w:tbl>
    <w:p w:rsidR="000A068F" w:rsidRDefault="000A068F" w:rsidP="00BB5806">
      <w:pPr>
        <w:pStyle w:val="XBRLTitle2"/>
        <w:spacing w:before="156"/>
        <w:rPr>
          <w:rFonts w:hint="eastAsia"/>
        </w:rPr>
      </w:pPr>
      <w:bookmarkStart w:id="61" w:name="_Toc34841033"/>
      <w:bookmarkStart w:id="62" w:name="_Toc34758524"/>
      <w:bookmarkStart w:id="63" w:name="_Toc433036679"/>
      <w:bookmarkStart w:id="64" w:name="_Toc247616208"/>
      <w:bookmarkStart w:id="65" w:name="_Toc245003735"/>
      <w:bookmarkStart w:id="66" w:name="_Toc244948694"/>
      <w:bookmarkStart w:id="67" w:name="_Toc485300223"/>
      <w:bookmarkStart w:id="68" w:name="_Toc453852604"/>
      <w:bookmarkStart w:id="69" w:name="_Toc452398732"/>
      <w:bookmarkStart w:id="70" w:name="_Toc454983260"/>
      <w:bookmarkStart w:id="71" w:name="m03_03"/>
      <w:bookmarkStart w:id="72" w:name="_Toc17898185"/>
      <w:bookmarkStart w:id="73" w:name="_Toc17897941"/>
      <w:bookmarkStart w:id="74" w:name="_Toc497398101"/>
      <w:bookmarkStart w:id="75" w:name="_Toc506208214"/>
      <w:bookmarkStart w:id="76" w:name="_Toc490050007"/>
      <w:bookmarkStart w:id="77" w:name="_Toc481075053"/>
      <w:bookmarkStart w:id="78" w:name="_Toc512519486"/>
      <w:r>
        <w:rPr>
          <w:rFonts w:hint="eastAsia"/>
        </w:rPr>
        <w:t>其他与申购相关的事项</w:t>
      </w:r>
      <w:bookmarkEnd w:id="61"/>
      <w:bookmarkEnd w:id="62"/>
    </w:p>
    <w:p w:rsidR="000A068F" w:rsidRDefault="000A068F">
      <w:pPr>
        <w:spacing w:line="360" w:lineRule="auto"/>
        <w:ind w:firstLineChars="200" w:firstLine="420"/>
        <w:rPr>
          <w:rFonts w:hint="eastAsia"/>
        </w:rPr>
      </w:pPr>
      <w:r>
        <w:rPr>
          <w:rFonts w:hint="eastAsia"/>
          <w:lang/>
        </w:rPr>
        <w:t>（1）基金管理人可以规定单个投资人累计持有的基金份额上限，具体规定请参见更新的招募说明书或相关公告。</w:t>
      </w:r>
      <w:r>
        <w:rPr>
          <w:rFonts w:hint="eastAsia"/>
          <w:lang/>
        </w:rPr>
        <w:br/>
        <w:t xml:space="preserve">　　（2）基金管理人可以规定基金总规模上限、当日申购金额上限，具体规定请参见更新的招募说明书或相关公告。</w:t>
      </w:r>
      <w:r>
        <w:rPr>
          <w:rFonts w:hint="eastAsia"/>
          <w:lang/>
        </w:rPr>
        <w:br/>
        <w:t xml:space="preserve">　　（3）基金管理人可以规定单个投资人当日申购金额上限，具体规定请参见更新的招募说明书或相关公告。</w:t>
      </w:r>
      <w:r>
        <w:rPr>
          <w:rFonts w:hint="eastAsia"/>
          <w:lang/>
        </w:rPr>
        <w:br/>
        <w:t xml:space="preserve">　　（4）基金管理人可在法律法规允许的情况下，调整上述规定申购金额限制。基金管理人必须在调整实施前依照《信息披露办法》的有关规定在规定媒介上公告。</w:t>
      </w:r>
      <w:r>
        <w:rPr>
          <w:rFonts w:hint="eastAsia"/>
          <w:lang/>
        </w:rPr>
        <w:br/>
        <w:t xml:space="preserve">　　（5）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r>
        <w:rPr>
          <w:rFonts w:hint="eastAsia"/>
          <w:lang/>
        </w:rPr>
        <w:br/>
        <w:t xml:space="preserve">　　（6）基金管理人可以在基金合同约定的范围内调整费率或收费方式，并最迟应于新的费率或收费方式实施日前依照《信息披露办法》的有关规定在规定媒介上公告。</w:t>
      </w:r>
      <w:r>
        <w:rPr>
          <w:rFonts w:hint="eastAsia"/>
          <w:lang/>
        </w:rPr>
        <w:br/>
        <w:t xml:space="preserve">　　（7）基金管理人可以在不违背法律法规规定及基金合同约定的情形下根据市场情况制定基金促销计划，定期或不定期地开展基金促销活动。在基金促销活动期间，按相关监管部门要求履行相关手续后，基金管理人可以适当调低基金申购费率并另行公告。</w:t>
      </w:r>
      <w:r>
        <w:rPr>
          <w:rFonts w:hint="eastAsia"/>
          <w:lang/>
        </w:rPr>
        <w:br/>
        <w:t xml:space="preserve">　　（8）当本基金发生大额申购情形时，基金管理人可以对本基金采用摆动定价机制，以确保基金估值的公平性。具体处理原则与操作规则遵循相关法律法规以及监管部门、自律规则的规定。</w:t>
      </w:r>
    </w:p>
    <w:p w:rsidR="000A068F" w:rsidRDefault="000A068F" w:rsidP="00BB5806">
      <w:pPr>
        <w:pStyle w:val="XBRLTitle1"/>
        <w:spacing w:before="156" w:line="360" w:lineRule="auto"/>
        <w:rPr>
          <w:rFonts w:hint="eastAsia"/>
        </w:rPr>
      </w:pPr>
      <w:bookmarkStart w:id="79" w:name="_Toc34841034"/>
      <w:bookmarkStart w:id="80" w:name="_Toc17898186"/>
      <w:bookmarkStart w:id="81" w:name="_Toc17897942"/>
      <w:bookmarkStart w:id="82" w:name="_Toc481075054"/>
      <w:bookmarkStart w:id="83" w:name="_Toc438646458"/>
      <w:bookmarkStart w:id="84" w:name="_Toc490050008"/>
      <w:bookmarkStart w:id="85" w:name="_Toc512519487"/>
      <w:bookmarkStart w:id="86" w:name="_Toc513295851"/>
      <w:bookmarkStart w:id="87" w:name="_Toc513295899"/>
      <w:bookmarkStart w:id="88" w:name="_Toc34758525"/>
      <w:r>
        <w:rPr>
          <w:rFonts w:hAnsi="宋体" w:hint="eastAsia"/>
        </w:rPr>
        <w:t>日常赎回业务</w:t>
      </w:r>
      <w:bookmarkEnd w:id="79"/>
      <w:bookmarkEnd w:id="80"/>
      <w:bookmarkEnd w:id="81"/>
      <w:bookmarkEnd w:id="82"/>
      <w:bookmarkEnd w:id="83"/>
      <w:bookmarkEnd w:id="84"/>
      <w:bookmarkEnd w:id="85"/>
      <w:bookmarkEnd w:id="86"/>
      <w:bookmarkEnd w:id="87"/>
      <w:bookmarkEnd w:id="88"/>
      <w:r>
        <w:rPr>
          <w:rFonts w:hAnsi="宋体" w:hint="eastAsia"/>
          <w:szCs w:val="44"/>
        </w:rPr>
        <w:t xml:space="preserve"> </w:t>
      </w:r>
    </w:p>
    <w:p w:rsidR="000A068F" w:rsidRDefault="000A068F" w:rsidP="00BB5806">
      <w:pPr>
        <w:pStyle w:val="XBRLTitle2"/>
        <w:spacing w:before="156" w:line="360" w:lineRule="auto"/>
        <w:rPr>
          <w:rFonts w:hint="eastAsia"/>
        </w:rPr>
      </w:pPr>
      <w:bookmarkStart w:id="89" w:name="_Toc34841035"/>
      <w:bookmarkStart w:id="90" w:name="_Toc17898187"/>
      <w:bookmarkStart w:id="91" w:name="_Toc17897943"/>
      <w:bookmarkStart w:id="92" w:name="_Toc481075055"/>
      <w:bookmarkStart w:id="93" w:name="_Toc438646459"/>
      <w:bookmarkStart w:id="94" w:name="_Toc490050009"/>
      <w:bookmarkStart w:id="95" w:name="_Toc512519488"/>
      <w:bookmarkStart w:id="96" w:name="_Toc513295852"/>
      <w:bookmarkStart w:id="97" w:name="_Toc513295900"/>
      <w:bookmarkStart w:id="98" w:name="_Toc34758526"/>
      <w:r>
        <w:rPr>
          <w:rFonts w:hAnsi="宋体" w:hint="eastAsia"/>
        </w:rPr>
        <w:t>赎回份额限制</w:t>
      </w:r>
      <w:bookmarkEnd w:id="89"/>
      <w:bookmarkEnd w:id="90"/>
      <w:bookmarkEnd w:id="91"/>
      <w:bookmarkEnd w:id="92"/>
      <w:bookmarkEnd w:id="93"/>
      <w:bookmarkEnd w:id="94"/>
      <w:bookmarkEnd w:id="95"/>
      <w:bookmarkEnd w:id="96"/>
      <w:bookmarkEnd w:id="97"/>
      <w:bookmarkEnd w:id="98"/>
      <w:r>
        <w:rPr>
          <w:rFonts w:hAnsi="宋体" w:hint="eastAsia"/>
        </w:rPr>
        <w:t xml:space="preserve"> </w:t>
      </w:r>
    </w:p>
    <w:p w:rsidR="000A068F" w:rsidRDefault="000A068F">
      <w:pPr>
        <w:spacing w:line="360" w:lineRule="auto"/>
        <w:ind w:firstLineChars="200" w:firstLine="420"/>
        <w:rPr>
          <w:rFonts w:hint="eastAsia"/>
        </w:rPr>
      </w:pPr>
      <w:r>
        <w:rPr>
          <w:rFonts w:hint="eastAsia"/>
          <w:lang/>
        </w:rPr>
        <w:t>基金份额持有人在销售机构赎回时，每次赎回申请不得低于0.01份基金份额。基金份额持有人赎回时或赎回后在销售机构网点保留的基金份额余额不足0.01份的，在赎回时需一次全部赎回。</w:t>
      </w:r>
    </w:p>
    <w:p w:rsidR="000A068F" w:rsidRDefault="000A068F" w:rsidP="00BB5806">
      <w:pPr>
        <w:pStyle w:val="XBRLTitle2"/>
        <w:spacing w:before="156" w:line="360" w:lineRule="auto"/>
        <w:rPr>
          <w:rFonts w:hint="eastAsia"/>
        </w:rPr>
      </w:pPr>
      <w:bookmarkStart w:id="99" w:name="_Toc34841036"/>
      <w:bookmarkStart w:id="100" w:name="_Toc17898188"/>
      <w:bookmarkStart w:id="101" w:name="_Toc17897944"/>
      <w:bookmarkStart w:id="102" w:name="_Toc481075056"/>
      <w:bookmarkStart w:id="103" w:name="_Toc438646460"/>
      <w:bookmarkStart w:id="104" w:name="_Toc490050010"/>
      <w:bookmarkStart w:id="105" w:name="_Toc512519489"/>
      <w:bookmarkStart w:id="106" w:name="_Toc513295853"/>
      <w:bookmarkStart w:id="107" w:name="_Toc513295901"/>
      <w:bookmarkStart w:id="108" w:name="_Toc34758527"/>
      <w:bookmarkStart w:id="109" w:name="m402"/>
      <w:r>
        <w:rPr>
          <w:rFonts w:hAnsi="宋体" w:hint="eastAsia"/>
        </w:rPr>
        <w:t>赎回费率</w:t>
      </w:r>
      <w:bookmarkEnd w:id="99"/>
      <w:bookmarkEnd w:id="100"/>
      <w:bookmarkEnd w:id="101"/>
      <w:bookmarkEnd w:id="102"/>
      <w:bookmarkEnd w:id="103"/>
      <w:bookmarkEnd w:id="104"/>
      <w:bookmarkEnd w:id="105"/>
      <w:bookmarkEnd w:id="106"/>
      <w:bookmarkEnd w:id="107"/>
      <w:bookmarkEnd w:id="108"/>
      <w:r>
        <w:rPr>
          <w:rFonts w:hAnsi="宋体" w:hint="eastAsia"/>
        </w:rPr>
        <w:t xml:space="preserve"> </w:t>
      </w:r>
    </w:p>
    <w:bookmarkEnd w:id="109"/>
    <w:p w:rsidR="000A068F" w:rsidRDefault="000A068F">
      <w:pPr>
        <w:wordWrap w:val="0"/>
        <w:spacing w:line="360" w:lineRule="auto"/>
        <w:ind w:firstLineChars="200" w:firstLine="420"/>
        <w:rPr>
          <w:rFonts w:hint="eastAsia"/>
        </w:rPr>
      </w:pPr>
      <w:r>
        <w:rPr>
          <w:rFonts w:hint="eastAsia"/>
          <w:lang/>
        </w:rPr>
        <w:t>本基金A类基金份额的赎回费率按照持有时间递减，即相关基金份额持有时间越长，所适用的赎回费率越低。投资者可将其持有的全部或部分A类基金份额赎回。对于持有期少于30日的A类基金份额所收取的赎回费，赎回费用全额归入基金财产；</w:t>
      </w:r>
      <w:r>
        <w:rPr>
          <w:rFonts w:hint="eastAsia"/>
          <w:lang/>
        </w:rPr>
        <w:br/>
        <w:t xml:space="preserve">　　本基金C类基金份额的赎回费率按照持有时间递减，即相关基金份额持有时间越长，所适用的赎回费率越低。赎回费用全额进入基金财产。 投资者可将其持有的全部或部分C类基金份额赎回。对于持有期少于7日的C类基金份额所收取的赎回费，赎回费用全额归入基金财产。 </w:t>
      </w:r>
    </w:p>
    <w:p w:rsidR="000A068F" w:rsidRDefault="000A068F">
      <w:pPr>
        <w:spacing w:line="360" w:lineRule="auto"/>
        <w:jc w:val="center"/>
        <w:divId w:val="1823231001"/>
        <w:rPr>
          <w:rFonts w:hint="eastAsia"/>
        </w:rPr>
      </w:pPr>
      <w:r>
        <w:rPr>
          <w:rFonts w:hint="eastAsia"/>
        </w:rPr>
        <w:t>建信上证科创板200ETF联接A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0A068F" w:rsidTr="00BB5806">
        <w:trPr>
          <w:divId w:val="1823231001"/>
        </w:trPr>
        <w:tc>
          <w:tcPr>
            <w:tcW w:w="5140"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 xml:space="preserve">赎回费率 </w:t>
            </w:r>
          </w:p>
        </w:tc>
      </w:tr>
      <w:tr w:rsidR="000A068F" w:rsidTr="00BB5806">
        <w:trPr>
          <w:divId w:val="1823231001"/>
        </w:trPr>
        <w:tc>
          <w:tcPr>
            <w:tcW w:w="1384"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0天≤N＜7天</w:t>
            </w:r>
          </w:p>
        </w:tc>
        <w:tc>
          <w:tcPr>
            <w:tcW w:w="1048"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1.5%</w:t>
            </w:r>
          </w:p>
        </w:tc>
      </w:tr>
      <w:tr w:rsidR="000A068F" w:rsidTr="00BB5806">
        <w:trPr>
          <w:divId w:val="1823231001"/>
        </w:trPr>
        <w:tc>
          <w:tcPr>
            <w:tcW w:w="1384"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0%</w:t>
            </w:r>
          </w:p>
        </w:tc>
      </w:tr>
    </w:tbl>
    <w:p w:rsidR="000A068F" w:rsidRDefault="000A068F">
      <w:pPr>
        <w:spacing w:line="360" w:lineRule="auto"/>
        <w:jc w:val="center"/>
        <w:divId w:val="302660561"/>
        <w:rPr>
          <w:rFonts w:hint="eastAsia"/>
        </w:rPr>
      </w:pPr>
      <w:r>
        <w:rPr>
          <w:rFonts w:hint="eastAsia"/>
        </w:rPr>
        <w:t>建信上证科创板200ETF联接C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0A068F" w:rsidTr="00BB5806">
        <w:trPr>
          <w:divId w:val="302660561"/>
        </w:trPr>
        <w:tc>
          <w:tcPr>
            <w:tcW w:w="5140"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 xml:space="preserve">赎回费率 </w:t>
            </w:r>
          </w:p>
        </w:tc>
      </w:tr>
      <w:tr w:rsidR="000A068F" w:rsidTr="00BB5806">
        <w:trPr>
          <w:divId w:val="302660561"/>
        </w:trPr>
        <w:tc>
          <w:tcPr>
            <w:tcW w:w="1384"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0天≤N＜7天</w:t>
            </w:r>
          </w:p>
        </w:tc>
        <w:tc>
          <w:tcPr>
            <w:tcW w:w="1048"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1.5%</w:t>
            </w:r>
          </w:p>
        </w:tc>
      </w:tr>
      <w:tr w:rsidR="000A068F" w:rsidTr="00BB5806">
        <w:trPr>
          <w:divId w:val="302660561"/>
        </w:trPr>
        <w:tc>
          <w:tcPr>
            <w:tcW w:w="1384"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0A068F" w:rsidRDefault="000A068F">
            <w:pPr>
              <w:jc w:val="center"/>
            </w:pPr>
            <w:r w:rsidRPr="00BB5806">
              <w:rPr>
                <w:rFonts w:hint="eastAsia"/>
              </w:rPr>
              <w:t>0%</w:t>
            </w:r>
          </w:p>
        </w:tc>
      </w:tr>
    </w:tbl>
    <w:p w:rsidR="000A068F" w:rsidRDefault="000A068F" w:rsidP="00BB5806">
      <w:pPr>
        <w:pStyle w:val="XBRLTitle2"/>
        <w:spacing w:before="156" w:line="360" w:lineRule="auto"/>
        <w:rPr>
          <w:rFonts w:hint="eastAsia"/>
        </w:rPr>
      </w:pPr>
      <w:bookmarkStart w:id="110" w:name="m403"/>
      <w:bookmarkStart w:id="111" w:name="_Toc34841037"/>
      <w:bookmarkStart w:id="112" w:name="_Toc17898192"/>
      <w:bookmarkStart w:id="113" w:name="_Toc17897946"/>
      <w:bookmarkStart w:id="114" w:name="_Toc481075061"/>
      <w:bookmarkStart w:id="115" w:name="_Toc490050014"/>
      <w:bookmarkStart w:id="116" w:name="_Toc512519493"/>
      <w:bookmarkStart w:id="117" w:name="_Toc513295855"/>
      <w:bookmarkStart w:id="118" w:name="_Toc513295905"/>
      <w:bookmarkStart w:id="119" w:name="_Toc34758528"/>
      <w:bookmarkStart w:id="120" w:name="m405_01_2550"/>
      <w:bookmarkEnd w:id="110"/>
      <w:r>
        <w:rPr>
          <w:rFonts w:hAnsi="宋体" w:hint="eastAsia"/>
        </w:rPr>
        <w:t>其他与赎回相关的事项</w:t>
      </w:r>
      <w:bookmarkEnd w:id="111"/>
      <w:bookmarkEnd w:id="112"/>
      <w:bookmarkEnd w:id="113"/>
      <w:bookmarkEnd w:id="114"/>
      <w:bookmarkEnd w:id="115"/>
      <w:bookmarkEnd w:id="116"/>
      <w:bookmarkEnd w:id="117"/>
      <w:bookmarkEnd w:id="118"/>
      <w:bookmarkEnd w:id="119"/>
      <w:r>
        <w:rPr>
          <w:rFonts w:hAnsi="宋体" w:hint="eastAsia"/>
        </w:rPr>
        <w:t xml:space="preserve"> </w:t>
      </w:r>
    </w:p>
    <w:p w:rsidR="000A068F" w:rsidRDefault="000A068F">
      <w:pPr>
        <w:spacing w:line="360" w:lineRule="auto"/>
        <w:ind w:firstLineChars="200" w:firstLine="420"/>
        <w:rPr>
          <w:rFonts w:hint="eastAsia"/>
        </w:rPr>
      </w:pPr>
      <w:r>
        <w:rPr>
          <w:rFonts w:hint="eastAsia"/>
          <w:lang/>
        </w:rPr>
        <w:t>（1）基金管理人可在法律法规允许的情况下，调整上述规定申购金额和赎回份额等数量限制。基金管理人必须在调整实施前依照《信息披露办法》的有关规定在规定媒介上公告。</w:t>
      </w:r>
      <w:r>
        <w:rPr>
          <w:rFonts w:hint="eastAsia"/>
          <w:lang/>
        </w:rPr>
        <w:br/>
        <w:t xml:space="preserve">　　（2）基金管理人可以在基金合同约定的范围内调整费率或收费方式，并最迟应于新的费率或收费方式实施日前依照《信息披露办法》的有关规定在规定媒介上公告。</w:t>
      </w:r>
      <w:r>
        <w:rPr>
          <w:rFonts w:hint="eastAsia"/>
          <w:lang/>
        </w:rPr>
        <w:br/>
        <w:t xml:space="preserve">　　（3）基金管理人可以在不违背法律法规规定及基金合同约定的情形下根据市场情况制定基金促销计划，定期或不定期地开展基金促销活动。在基金促销活动期间，按相关监管部门要求履行相关手续后，基金管理人可以适当调低基金赎回费率并另行公告。</w:t>
      </w:r>
      <w:r>
        <w:rPr>
          <w:rFonts w:hint="eastAsia"/>
          <w:lang/>
        </w:rPr>
        <w:br/>
        <w:t xml:space="preserve">　　（4）当本基金发生大额赎回情形时，基金管理人可以对本基金采用摆动定价机制，以确保基金估值的公平性。具体处理原则与操作规则遵循相关法律法规以及监管部门、自律规则的规定。</w:t>
      </w:r>
    </w:p>
    <w:p w:rsidR="000A068F" w:rsidRDefault="000A068F" w:rsidP="00BB5806">
      <w:pPr>
        <w:pStyle w:val="XBRLTitle1"/>
        <w:spacing w:before="156" w:line="360" w:lineRule="auto"/>
        <w:rPr>
          <w:rFonts w:hint="eastAsia"/>
        </w:rPr>
      </w:pPr>
      <w:bookmarkStart w:id="121" w:name="_Toc34841038"/>
      <w:bookmarkStart w:id="122" w:name="_Toc17898195"/>
      <w:bookmarkStart w:id="123" w:name="_Toc17897949"/>
      <w:bookmarkStart w:id="124" w:name="_Toc512519496"/>
      <w:bookmarkStart w:id="125" w:name="_Toc481075064"/>
      <w:bookmarkStart w:id="126" w:name="_Toc438646466"/>
      <w:bookmarkStart w:id="127" w:name="_Toc490050017"/>
      <w:bookmarkStart w:id="128" w:name="_Toc513295858"/>
      <w:bookmarkStart w:id="129" w:name="_Toc513295908"/>
      <w:bookmarkStart w:id="130" w:name="_Toc34758529"/>
      <w:bookmarkEnd w:id="120"/>
      <w:r>
        <w:rPr>
          <w:rFonts w:hAnsi="宋体" w:hint="eastAsia"/>
        </w:rPr>
        <w:t>日常转换业务</w:t>
      </w:r>
      <w:bookmarkEnd w:id="121"/>
      <w:bookmarkEnd w:id="122"/>
      <w:bookmarkEnd w:id="123"/>
      <w:bookmarkEnd w:id="124"/>
      <w:bookmarkEnd w:id="125"/>
      <w:bookmarkEnd w:id="126"/>
      <w:bookmarkEnd w:id="127"/>
      <w:bookmarkEnd w:id="128"/>
      <w:bookmarkEnd w:id="129"/>
      <w:bookmarkEnd w:id="130"/>
      <w:r>
        <w:rPr>
          <w:rFonts w:hAnsi="宋体" w:hint="eastAsia"/>
        </w:rPr>
        <w:t xml:space="preserve"> </w:t>
      </w:r>
    </w:p>
    <w:p w:rsidR="000A068F" w:rsidRDefault="000A068F" w:rsidP="00BB5806">
      <w:pPr>
        <w:pStyle w:val="XBRLTitle2"/>
        <w:spacing w:before="156" w:line="360" w:lineRule="auto"/>
        <w:rPr>
          <w:rFonts w:hint="eastAsia"/>
        </w:rPr>
      </w:pPr>
      <w:bookmarkStart w:id="131" w:name="_Toc34841039"/>
      <w:bookmarkStart w:id="132" w:name="_Toc17898196"/>
      <w:bookmarkStart w:id="133" w:name="_Toc17897950"/>
      <w:bookmarkStart w:id="134" w:name="_Toc481075065"/>
      <w:bookmarkStart w:id="135" w:name="_Toc438646467"/>
      <w:bookmarkStart w:id="136" w:name="_Toc490050018"/>
      <w:bookmarkStart w:id="137" w:name="_Toc512519497"/>
      <w:bookmarkStart w:id="138" w:name="_Toc513295859"/>
      <w:bookmarkStart w:id="139" w:name="_Toc513295909"/>
      <w:bookmarkStart w:id="140" w:name="_Toc34758530"/>
      <w:bookmarkStart w:id="141" w:name="m501"/>
      <w:r>
        <w:rPr>
          <w:rFonts w:hAnsi="宋体" w:hint="eastAsia"/>
        </w:rPr>
        <w:t>转换费率</w:t>
      </w:r>
      <w:bookmarkEnd w:id="131"/>
      <w:bookmarkEnd w:id="132"/>
      <w:bookmarkEnd w:id="133"/>
      <w:bookmarkEnd w:id="134"/>
      <w:bookmarkEnd w:id="135"/>
      <w:bookmarkEnd w:id="136"/>
      <w:bookmarkEnd w:id="137"/>
      <w:bookmarkEnd w:id="138"/>
      <w:bookmarkEnd w:id="139"/>
      <w:bookmarkEnd w:id="140"/>
      <w:r>
        <w:rPr>
          <w:rFonts w:hAnsi="宋体" w:hint="eastAsia"/>
        </w:rPr>
        <w:t xml:space="preserve"> </w:t>
      </w:r>
    </w:p>
    <w:p w:rsidR="000A068F" w:rsidRDefault="000A068F">
      <w:pPr>
        <w:spacing w:line="360" w:lineRule="auto"/>
        <w:ind w:firstLineChars="200" w:firstLine="420"/>
        <w:rPr>
          <w:rFonts w:hint="eastAsia"/>
        </w:rPr>
      </w:pPr>
      <w:r>
        <w:rPr>
          <w:rFonts w:hint="eastAsia"/>
          <w:lang/>
        </w:rPr>
        <w:t>基金管理人可以根据相关法律法规以及基金合同的规定决定开办本基金与基金管理人管理的其他基金之间的转换业务。基金转换费用由转出和转入基金的申购费补差和转出基金的赎回费两部分构成，具体收取情况视每次转换时两只基金的申购费率差异情况和赎回费率而定。基金转换费用由基金份额持有人承担。</w:t>
      </w:r>
    </w:p>
    <w:p w:rsidR="000A068F" w:rsidRDefault="000A068F" w:rsidP="00BB5806">
      <w:pPr>
        <w:pStyle w:val="XBRLTitle2"/>
        <w:spacing w:before="156" w:line="360" w:lineRule="auto"/>
        <w:rPr>
          <w:rFonts w:hint="eastAsia"/>
        </w:rPr>
      </w:pPr>
      <w:bookmarkStart w:id="142" w:name="_Toc34841040"/>
      <w:bookmarkStart w:id="143" w:name="_Toc17898200"/>
      <w:bookmarkStart w:id="144" w:name="_Toc17897952"/>
      <w:bookmarkStart w:id="145" w:name="_Toc481075069"/>
      <w:bookmarkStart w:id="146" w:name="_Toc490050022"/>
      <w:bookmarkStart w:id="147" w:name="_Toc512519501"/>
      <w:bookmarkStart w:id="148" w:name="_Toc513295861"/>
      <w:bookmarkStart w:id="149" w:name="_Toc513295913"/>
      <w:bookmarkStart w:id="150" w:name="_Toc34758531"/>
      <w:bookmarkStart w:id="151" w:name="m504"/>
      <w:bookmarkStart w:id="152" w:name="_Toc438646470"/>
      <w:bookmarkStart w:id="153" w:name="m502"/>
      <w:bookmarkEnd w:id="141"/>
      <w:r>
        <w:rPr>
          <w:rFonts w:hAnsi="宋体" w:hint="eastAsia"/>
        </w:rPr>
        <w:t>其他与转换相关的事项</w:t>
      </w:r>
      <w:bookmarkEnd w:id="142"/>
      <w:bookmarkEnd w:id="143"/>
      <w:bookmarkEnd w:id="144"/>
      <w:bookmarkEnd w:id="145"/>
      <w:bookmarkEnd w:id="146"/>
      <w:bookmarkEnd w:id="147"/>
      <w:bookmarkEnd w:id="148"/>
      <w:bookmarkEnd w:id="149"/>
      <w:bookmarkEnd w:id="150"/>
      <w:r>
        <w:rPr>
          <w:rFonts w:hAnsi="宋体" w:hint="eastAsia"/>
        </w:rPr>
        <w:t xml:space="preserve"> </w:t>
      </w:r>
      <w:bookmarkEnd w:id="151"/>
      <w:bookmarkEnd w:id="152"/>
      <w:bookmarkEnd w:id="153"/>
    </w:p>
    <w:p w:rsidR="000A068F" w:rsidRDefault="000A068F">
      <w:pPr>
        <w:spacing w:line="360" w:lineRule="auto"/>
        <w:ind w:firstLineChars="200" w:firstLine="420"/>
        <w:rPr>
          <w:rFonts w:hint="eastAsia"/>
        </w:rPr>
      </w:pPr>
      <w:r>
        <w:rPr>
          <w:rFonts w:hint="eastAsia"/>
          <w:lang/>
        </w:rPr>
        <w:t>（1）适用基金范围</w:t>
      </w:r>
      <w:r>
        <w:rPr>
          <w:rFonts w:hint="eastAsia"/>
          <w:lang/>
        </w:rPr>
        <w:br/>
        <w:t xml:space="preserve">　　本基金转换业务，适用于本基金与本公司旗下管理并已开通转换业务的其他开放式基金（在我公司办理注册登记的、且已公告开通基金转换业务），投资者可以在基金的开放期内，申请办理本基金与其他开放式基金的转换业务，各基金转换业务的开放状态及交易限制详见各基金相关公告。</w:t>
      </w:r>
      <w:r>
        <w:rPr>
          <w:rFonts w:hint="eastAsia"/>
          <w:lang/>
        </w:rPr>
        <w:br/>
        <w:t xml:space="preserve">　　本基金转换业务也适用于本基金与本公司募集管理并且在中国证券登记结算有限责任公司注册登记的其他开放式基金（已公告开通基金转换业务），投资者可以在基金的开放期内，申请办理本基金与其他开放式基金的转换业务（即跨TA转换），其他开放式基金之间不可以互相转换，跨TA转换仅能通过建设银行和本公司直销渠道（直销柜台和网上交易平台）办理，各基金转换业务的开放状态及交易限制详见各基金相关公告。</w:t>
      </w:r>
      <w:r>
        <w:rPr>
          <w:rFonts w:hint="eastAsia"/>
          <w:lang/>
        </w:rPr>
        <w:br/>
        <w:t xml:space="preserve">　　（2）本公司旗下基金办理日常转换的开放日为上海证券交易所、深圳证券交易所的正常交易日的交易时间，但基金管理人根据法律法规、中国证监会的要求或基金合同的规定公告暂停申购、赎回时除外。</w:t>
      </w:r>
      <w:r>
        <w:rPr>
          <w:rFonts w:hint="eastAsia"/>
          <w:lang/>
        </w:rPr>
        <w:br/>
        <w:t xml:space="preserve">　　（3）本公司旗下其他开放式基金的代销机构名单请参见各基金的《基金合同》、《招募说明书》、《基金份额发售公告》、《基金产品资料概要》及其他法律文件和公告。本基金转换业务的解释权归本公司所有。</w:t>
      </w:r>
      <w:r>
        <w:rPr>
          <w:rFonts w:hint="eastAsia"/>
          <w:lang/>
        </w:rPr>
        <w:br/>
        <w:t xml:space="preserve">　　（4）本公司今后募集管理的开放式基金将根据具体情况确定是否适用基金转换业务。具体信息可咨询本公司客服，电话：400-81-95533（免长途通话费用）。</w:t>
      </w:r>
    </w:p>
    <w:p w:rsidR="000A068F" w:rsidRDefault="000A068F" w:rsidP="00BB5806">
      <w:pPr>
        <w:pStyle w:val="XBRLTitle1"/>
        <w:spacing w:before="156" w:line="360" w:lineRule="auto"/>
        <w:rPr>
          <w:rFonts w:hint="eastAsia"/>
        </w:rPr>
      </w:pPr>
      <w:bookmarkStart w:id="154" w:name="_Toc34841041"/>
      <w:bookmarkStart w:id="155" w:name="_Toc34758532"/>
      <w:r>
        <w:rPr>
          <w:rFonts w:hAnsi="宋体" w:hint="eastAsia"/>
        </w:rPr>
        <w:t>定期定额投资业务</w:t>
      </w:r>
      <w:bookmarkEnd w:id="154"/>
      <w:bookmarkEnd w:id="155"/>
      <w:r>
        <w:rPr>
          <w:rFonts w:hAnsi="宋体" w:hint="eastAsia"/>
        </w:rPr>
        <w:t xml:space="preserve"> </w:t>
      </w:r>
    </w:p>
    <w:p w:rsidR="000A068F" w:rsidRDefault="000A068F">
      <w:pPr>
        <w:spacing w:line="360" w:lineRule="auto"/>
        <w:ind w:firstLineChars="200" w:firstLine="420"/>
        <w:rPr>
          <w:rFonts w:hint="eastAsia"/>
        </w:rPr>
      </w:pPr>
      <w:r>
        <w:rPr>
          <w:rFonts w:hint="eastAsia"/>
          <w:lang/>
        </w:rPr>
        <w:t>基金定投，是指投资者通过本公司指定的基金销售机构提交申请，约定每期扣款时间和扣款金额，由销售机构于每期约定扣款日在投资者指定资金账户内自动完成扣款和基金申购申请的一种长期投资方式。</w:t>
      </w:r>
      <w:r>
        <w:rPr>
          <w:rFonts w:hint="eastAsia"/>
          <w:lang/>
        </w:rPr>
        <w:br/>
        <w:t xml:space="preserve">　　（1）申购费率的说明</w:t>
      </w:r>
      <w:r>
        <w:rPr>
          <w:rFonts w:hint="eastAsia"/>
          <w:lang/>
        </w:rPr>
        <w:br/>
        <w:t xml:space="preserve">　　定投业务的申购费率、计费方式与日常申购费率、计费方式相同。</w:t>
      </w:r>
      <w:r>
        <w:rPr>
          <w:rFonts w:hint="eastAsia"/>
          <w:lang/>
        </w:rPr>
        <w:br/>
        <w:t xml:space="preserve">　　（2）办理时间</w:t>
      </w:r>
      <w:r>
        <w:rPr>
          <w:rFonts w:hint="eastAsia"/>
          <w:lang/>
        </w:rPr>
        <w:br/>
        <w:t xml:space="preserve">　　定投业务的申请受理时间与本公司管理的基金日常申购业务受理时间相同。具体办理规则请遵循销售机构的相关规定。</w:t>
      </w:r>
      <w:r>
        <w:rPr>
          <w:rFonts w:hint="eastAsia"/>
          <w:lang/>
        </w:rPr>
        <w:br/>
        <w:t xml:space="preserve">　　（3）投资金额</w:t>
      </w:r>
      <w:r>
        <w:rPr>
          <w:rFonts w:hint="eastAsia"/>
          <w:lang/>
        </w:rPr>
        <w:br/>
        <w:t xml:space="preserve">　　投资者可到各销售机构申请开办基金定投业务并约定每期扣款时间及固定的投资金额，该投资金额即为申购金额。投资者在办理基金定投业务时，每期申购金额不得低于人民币1元，具体申购金额限制，以各销售机构有关规定为准。</w:t>
      </w:r>
    </w:p>
    <w:p w:rsidR="000A068F" w:rsidRDefault="000A068F" w:rsidP="00BB5806">
      <w:pPr>
        <w:pStyle w:val="XBRLTitle1"/>
        <w:spacing w:before="156" w:line="360" w:lineRule="auto"/>
        <w:rPr>
          <w:rFonts w:hint="eastAsia"/>
        </w:rPr>
      </w:pPr>
      <w:bookmarkStart w:id="156" w:name="_Toc34841042"/>
      <w:bookmarkStart w:id="157" w:name="_Toc3475852111"/>
      <w:r>
        <w:rPr>
          <w:rFonts w:hAnsi="宋体" w:hint="eastAsia"/>
        </w:rPr>
        <w:t>基金销售机构</w:t>
      </w:r>
      <w:bookmarkEnd w:id="34"/>
      <w:bookmarkEnd w:id="35"/>
      <w:bookmarkEnd w:id="36"/>
      <w:bookmarkEnd w:id="37"/>
      <w:bookmarkEnd w:id="38"/>
      <w:bookmarkEnd w:id="39"/>
      <w:bookmarkEnd w:id="40"/>
      <w:bookmarkEnd w:id="41"/>
      <w:bookmarkEnd w:id="156"/>
      <w:bookmarkEnd w:id="157"/>
      <w:r>
        <w:rPr>
          <w:rFonts w:hAnsi="宋体" w:hint="eastAsia"/>
        </w:rPr>
        <w:t xml:space="preserve"> </w:t>
      </w:r>
      <w:bookmarkEnd w:id="63"/>
      <w:bookmarkEnd w:id="64"/>
      <w:bookmarkEnd w:id="65"/>
      <w:bookmarkEnd w:id="66"/>
      <w:bookmarkEnd w:id="67"/>
      <w:bookmarkEnd w:id="68"/>
      <w:bookmarkEnd w:id="69"/>
      <w:bookmarkEnd w:id="70"/>
      <w:bookmarkEnd w:id="71"/>
      <w:bookmarkEnd w:id="72"/>
      <w:bookmarkEnd w:id="73"/>
      <w:bookmarkEnd w:id="74"/>
      <w:bookmarkEnd w:id="75"/>
    </w:p>
    <w:p w:rsidR="000A068F" w:rsidRDefault="000A068F" w:rsidP="00BB5806">
      <w:pPr>
        <w:pStyle w:val="XBRLTitle2"/>
        <w:spacing w:before="156" w:line="360" w:lineRule="auto"/>
        <w:rPr>
          <w:rFonts w:hint="eastAsia"/>
        </w:rPr>
      </w:pPr>
      <w:bookmarkStart w:id="158" w:name="_Toc51346565811"/>
      <w:r>
        <w:rPr>
          <w:rFonts w:hAnsi="宋体" w:hint="eastAsia"/>
        </w:rPr>
        <w:t>场外销售机构</w:t>
      </w:r>
      <w:bookmarkEnd w:id="53"/>
      <w:bookmarkEnd w:id="54"/>
      <w:bookmarkEnd w:id="55"/>
      <w:bookmarkEnd w:id="56"/>
      <w:bookmarkEnd w:id="158"/>
      <w:r>
        <w:rPr>
          <w:rFonts w:hAnsi="宋体" w:hint="eastAsia"/>
        </w:rPr>
        <w:t xml:space="preserve"> </w:t>
      </w:r>
    </w:p>
    <w:p w:rsidR="000A068F" w:rsidRDefault="000A068F" w:rsidP="00BB5806">
      <w:pPr>
        <w:pStyle w:val="XBRLTitle3"/>
        <w:spacing w:before="156"/>
        <w:rPr>
          <w:rFonts w:hint="eastAsia"/>
        </w:rPr>
      </w:pPr>
      <w:bookmarkStart w:id="159" w:name="_Toc51346565911"/>
      <w:r>
        <w:rPr>
          <w:rFonts w:hint="eastAsia"/>
        </w:rPr>
        <w:t>直销机构</w:t>
      </w:r>
      <w:bookmarkEnd w:id="58"/>
      <w:bookmarkEnd w:id="59"/>
      <w:bookmarkEnd w:id="60"/>
      <w:bookmarkEnd w:id="159"/>
      <w:r>
        <w:rPr>
          <w:rFonts w:hint="eastAsia"/>
          <w:lang w:eastAsia="zh-CN"/>
        </w:rPr>
        <w:t xml:space="preserve"> </w:t>
      </w:r>
    </w:p>
    <w:p w:rsidR="000A068F" w:rsidRDefault="000A068F">
      <w:pPr>
        <w:spacing w:line="360" w:lineRule="auto"/>
        <w:ind w:firstLineChars="200" w:firstLine="420"/>
        <w:rPr>
          <w:rFonts w:hint="eastAsia"/>
        </w:rPr>
      </w:pPr>
      <w:r>
        <w:rPr>
          <w:rFonts w:hint="eastAsia"/>
          <w:lang/>
        </w:rPr>
        <w:t>直销中心 建信基金管理有限责任公司</w:t>
      </w:r>
      <w:r>
        <w:rPr>
          <w:rFonts w:hint="eastAsia"/>
          <w:lang/>
        </w:rPr>
        <w:br/>
        <w:t xml:space="preserve">　　网上交易平台 www.ccbfund.cn</w:t>
      </w:r>
    </w:p>
    <w:p w:rsidR="000A068F" w:rsidRDefault="000A068F" w:rsidP="00BB5806">
      <w:pPr>
        <w:pStyle w:val="XBRLTitle3"/>
        <w:spacing w:before="156"/>
        <w:rPr>
          <w:rFonts w:hint="eastAsia"/>
        </w:rPr>
      </w:pPr>
      <w:bookmarkStart w:id="160" w:name="_Toc51346566011"/>
      <w:r>
        <w:rPr>
          <w:rFonts w:hint="eastAsia"/>
        </w:rPr>
        <w:t>场外非直销机构</w:t>
      </w:r>
      <w:bookmarkEnd w:id="76"/>
      <w:bookmarkEnd w:id="77"/>
      <w:bookmarkEnd w:id="78"/>
      <w:bookmarkEnd w:id="160"/>
    </w:p>
    <w:p w:rsidR="000A068F" w:rsidRDefault="000A068F" w:rsidP="00E233F6">
      <w:pPr>
        <w:spacing w:line="360" w:lineRule="auto"/>
        <w:divId w:val="1151748797"/>
        <w:rPr>
          <w:rFonts w:hint="eastAsia"/>
        </w:rPr>
      </w:pPr>
      <w:r>
        <w:rPr>
          <w:rFonts w:hint="eastAsia"/>
          <w:color w:val="404040"/>
          <w:kern w:val="0"/>
          <w:szCs w:val="21"/>
          <w:lang/>
        </w:rPr>
        <w:br/>
        <w:t xml:space="preserve">　　深圳市新兰德证券投资咨询有限公司</w:t>
      </w:r>
      <w:r>
        <w:rPr>
          <w:rFonts w:hint="eastAsia"/>
          <w:color w:val="404040"/>
          <w:kern w:val="0"/>
          <w:szCs w:val="21"/>
          <w:lang/>
        </w:rPr>
        <w:br/>
        <w:t xml:space="preserve">　　和讯信息科技有限公司</w:t>
      </w:r>
      <w:r>
        <w:rPr>
          <w:rFonts w:hint="eastAsia"/>
          <w:color w:val="404040"/>
          <w:kern w:val="0"/>
          <w:szCs w:val="21"/>
          <w:lang/>
        </w:rPr>
        <w:br/>
        <w:t xml:space="preserve">　　上海挖财基金销售有限公司</w:t>
      </w:r>
      <w:r>
        <w:rPr>
          <w:rFonts w:hint="eastAsia"/>
          <w:color w:val="404040"/>
          <w:kern w:val="0"/>
          <w:szCs w:val="21"/>
          <w:lang/>
        </w:rPr>
        <w:br/>
        <w:t xml:space="preserve">　　诺亚正行基金销售有限公司</w:t>
      </w:r>
      <w:r>
        <w:rPr>
          <w:rFonts w:hint="eastAsia"/>
          <w:color w:val="404040"/>
          <w:kern w:val="0"/>
          <w:szCs w:val="21"/>
          <w:lang/>
        </w:rPr>
        <w:br/>
        <w:t xml:space="preserve">　　深圳众禄基金销售股份有限公司</w:t>
      </w:r>
      <w:r>
        <w:rPr>
          <w:rFonts w:hint="eastAsia"/>
          <w:color w:val="404040"/>
          <w:kern w:val="0"/>
          <w:szCs w:val="21"/>
          <w:lang/>
        </w:rPr>
        <w:br/>
        <w:t xml:space="preserve">　　上海天天基金销售有限公司</w:t>
      </w:r>
      <w:r>
        <w:rPr>
          <w:rFonts w:hint="eastAsia"/>
          <w:color w:val="404040"/>
          <w:kern w:val="0"/>
          <w:szCs w:val="21"/>
          <w:lang/>
        </w:rPr>
        <w:br/>
        <w:t xml:space="preserve">　　上海好买基金销售有限公司</w:t>
      </w:r>
      <w:r>
        <w:rPr>
          <w:rFonts w:hint="eastAsia"/>
          <w:color w:val="404040"/>
          <w:kern w:val="0"/>
          <w:szCs w:val="21"/>
          <w:lang/>
        </w:rPr>
        <w:br/>
        <w:t xml:space="preserve">　　蚂蚁（杭州）基金销售有限公司</w:t>
      </w:r>
      <w:r>
        <w:rPr>
          <w:rFonts w:hint="eastAsia"/>
          <w:color w:val="404040"/>
          <w:kern w:val="0"/>
          <w:szCs w:val="21"/>
          <w:lang/>
        </w:rPr>
        <w:br/>
        <w:t xml:space="preserve">　　浙江同花顺基金销售有限公司</w:t>
      </w:r>
      <w:r>
        <w:rPr>
          <w:rFonts w:hint="eastAsia"/>
          <w:color w:val="404040"/>
          <w:kern w:val="0"/>
          <w:szCs w:val="21"/>
          <w:lang/>
        </w:rPr>
        <w:br/>
        <w:t xml:space="preserve">　　嘉实财富管理有限公司</w:t>
      </w:r>
      <w:r>
        <w:rPr>
          <w:rFonts w:hint="eastAsia"/>
          <w:color w:val="404040"/>
          <w:kern w:val="0"/>
          <w:szCs w:val="21"/>
          <w:lang/>
        </w:rPr>
        <w:br/>
        <w:t xml:space="preserve">　　南京苏宁基金销售有限公司</w:t>
      </w:r>
      <w:r>
        <w:rPr>
          <w:rFonts w:hint="eastAsia"/>
          <w:color w:val="404040"/>
          <w:kern w:val="0"/>
          <w:szCs w:val="21"/>
          <w:lang/>
        </w:rPr>
        <w:br/>
        <w:t xml:space="preserve">　　北京汇成基金销售有限公司</w:t>
      </w:r>
      <w:r>
        <w:rPr>
          <w:rFonts w:hint="eastAsia"/>
          <w:color w:val="404040"/>
          <w:kern w:val="0"/>
          <w:szCs w:val="21"/>
          <w:lang/>
        </w:rPr>
        <w:br/>
        <w:t xml:space="preserve">　　上海万得基金销售有限公司</w:t>
      </w:r>
      <w:r>
        <w:rPr>
          <w:rFonts w:hint="eastAsia"/>
          <w:color w:val="404040"/>
          <w:kern w:val="0"/>
          <w:szCs w:val="21"/>
          <w:lang/>
        </w:rPr>
        <w:br/>
        <w:t xml:space="preserve">　　上海联泰基金销售有限公司</w:t>
      </w:r>
      <w:r>
        <w:rPr>
          <w:rFonts w:hint="eastAsia"/>
          <w:color w:val="404040"/>
          <w:kern w:val="0"/>
          <w:szCs w:val="21"/>
          <w:lang/>
        </w:rPr>
        <w:br/>
        <w:t xml:space="preserve">　　上海陆金所基金销售有限公司</w:t>
      </w:r>
      <w:r>
        <w:rPr>
          <w:rFonts w:hint="eastAsia"/>
          <w:color w:val="404040"/>
          <w:kern w:val="0"/>
          <w:szCs w:val="21"/>
          <w:lang/>
        </w:rPr>
        <w:br/>
        <w:t xml:space="preserve">　　珠海盈米基金销售有限公司</w:t>
      </w:r>
      <w:r>
        <w:rPr>
          <w:rFonts w:hint="eastAsia"/>
          <w:color w:val="404040"/>
          <w:kern w:val="0"/>
          <w:szCs w:val="21"/>
          <w:lang/>
        </w:rPr>
        <w:br/>
        <w:t xml:space="preserve">　　奕丰基金销售有限公司</w:t>
      </w:r>
      <w:r>
        <w:rPr>
          <w:rFonts w:hint="eastAsia"/>
          <w:color w:val="404040"/>
          <w:kern w:val="0"/>
          <w:szCs w:val="21"/>
          <w:lang/>
        </w:rPr>
        <w:br/>
        <w:t xml:space="preserve">　　北京雪球基金销售有限公司</w:t>
      </w:r>
      <w:r>
        <w:rPr>
          <w:rFonts w:hint="eastAsia"/>
          <w:color w:val="404040"/>
          <w:kern w:val="0"/>
          <w:szCs w:val="21"/>
          <w:lang/>
        </w:rPr>
        <w:br/>
        <w:t xml:space="preserve">　　上海华夏财富投资管理有限公司</w:t>
      </w:r>
      <w:r>
        <w:rPr>
          <w:rFonts w:hint="eastAsia"/>
          <w:color w:val="404040"/>
          <w:kern w:val="0"/>
          <w:szCs w:val="21"/>
          <w:lang/>
        </w:rPr>
        <w:br/>
        <w:t xml:space="preserve">　　北京度小满基金销售有限公司</w:t>
      </w:r>
      <w:r>
        <w:rPr>
          <w:rFonts w:hint="eastAsia"/>
          <w:color w:val="404040"/>
          <w:kern w:val="0"/>
          <w:szCs w:val="21"/>
          <w:lang/>
        </w:rPr>
        <w:br/>
        <w:t xml:space="preserve">　　北京新浪仓石基金销售有限公司</w:t>
      </w:r>
      <w:r>
        <w:rPr>
          <w:rFonts w:hint="eastAsia"/>
          <w:color w:val="404040"/>
          <w:kern w:val="0"/>
          <w:szCs w:val="21"/>
          <w:lang/>
        </w:rPr>
        <w:br/>
        <w:t xml:space="preserve">　　上海长量基金销售有限公司</w:t>
      </w:r>
      <w:r>
        <w:rPr>
          <w:rFonts w:hint="eastAsia"/>
          <w:color w:val="404040"/>
          <w:kern w:val="0"/>
          <w:szCs w:val="21"/>
          <w:lang/>
        </w:rPr>
        <w:br/>
        <w:t xml:space="preserve">　　大连网金基金销售有限公司</w:t>
      </w:r>
      <w:r>
        <w:rPr>
          <w:rFonts w:hint="eastAsia"/>
          <w:color w:val="404040"/>
          <w:kern w:val="0"/>
          <w:szCs w:val="21"/>
          <w:lang/>
        </w:rPr>
        <w:br/>
        <w:t xml:space="preserve">　　泛华普益基金销售有限公司</w:t>
      </w:r>
      <w:r>
        <w:rPr>
          <w:rFonts w:hint="eastAsia"/>
          <w:color w:val="404040"/>
          <w:kern w:val="0"/>
          <w:szCs w:val="21"/>
          <w:lang/>
        </w:rPr>
        <w:br/>
        <w:t xml:space="preserve">　　和耕传承基金销售有限公司</w:t>
      </w:r>
      <w:r>
        <w:rPr>
          <w:rFonts w:hint="eastAsia"/>
          <w:color w:val="404040"/>
          <w:kern w:val="0"/>
          <w:szCs w:val="21"/>
          <w:lang/>
        </w:rPr>
        <w:br/>
        <w:t xml:space="preserve">　　华瑞保险销售有限公司</w:t>
      </w:r>
      <w:r>
        <w:rPr>
          <w:rFonts w:hint="eastAsia"/>
          <w:color w:val="404040"/>
          <w:kern w:val="0"/>
          <w:szCs w:val="21"/>
          <w:lang/>
        </w:rPr>
        <w:br/>
        <w:t xml:space="preserve">　　玄元保险代理有限公司</w:t>
      </w:r>
      <w:r>
        <w:rPr>
          <w:rFonts w:hint="eastAsia"/>
          <w:color w:val="404040"/>
          <w:kern w:val="0"/>
          <w:szCs w:val="21"/>
          <w:lang/>
        </w:rPr>
        <w:br/>
        <w:t xml:space="preserve">　　深圳市前海排排网基金销售有限责任公司</w:t>
      </w:r>
      <w:r>
        <w:rPr>
          <w:rFonts w:hint="eastAsia"/>
          <w:color w:val="404040"/>
          <w:kern w:val="0"/>
          <w:szCs w:val="21"/>
          <w:lang/>
        </w:rPr>
        <w:br/>
        <w:t xml:space="preserve">　　腾安基金销售（深圳）有限公司</w:t>
      </w:r>
      <w:r>
        <w:rPr>
          <w:rFonts w:hint="eastAsia"/>
          <w:color w:val="404040"/>
          <w:kern w:val="0"/>
          <w:szCs w:val="21"/>
          <w:lang/>
        </w:rPr>
        <w:br/>
        <w:t xml:space="preserve">　　京东肯特瑞基金销售有限公司</w:t>
      </w:r>
      <w:r>
        <w:rPr>
          <w:rFonts w:hint="eastAsia"/>
          <w:color w:val="404040"/>
          <w:kern w:val="0"/>
          <w:szCs w:val="21"/>
          <w:lang/>
        </w:rPr>
        <w:br/>
        <w:t xml:space="preserve">　　中证金牛（北京）基金销售有限公司</w:t>
      </w:r>
      <w:r>
        <w:rPr>
          <w:rFonts w:hint="eastAsia"/>
          <w:color w:val="404040"/>
          <w:kern w:val="0"/>
          <w:szCs w:val="21"/>
          <w:lang/>
        </w:rPr>
        <w:br/>
        <w:t xml:space="preserve">　　泰信财富基金销售有限公司</w:t>
      </w:r>
      <w:r>
        <w:rPr>
          <w:rFonts w:hint="eastAsia"/>
          <w:color w:val="404040"/>
          <w:kern w:val="0"/>
          <w:szCs w:val="21"/>
          <w:lang/>
        </w:rPr>
        <w:br/>
        <w:t xml:space="preserve">　　博时财富基金销售有限公司</w:t>
      </w:r>
      <w:r>
        <w:rPr>
          <w:rFonts w:hint="eastAsia"/>
          <w:color w:val="404040"/>
          <w:kern w:val="0"/>
          <w:szCs w:val="21"/>
          <w:lang/>
        </w:rPr>
        <w:br/>
        <w:t xml:space="preserve">　　上海陆享基金销售有限公司</w:t>
      </w:r>
      <w:r>
        <w:rPr>
          <w:rFonts w:hint="eastAsia"/>
          <w:color w:val="404040"/>
          <w:kern w:val="0"/>
          <w:szCs w:val="21"/>
          <w:lang/>
        </w:rPr>
        <w:br/>
        <w:t xml:space="preserve">　　上海中欧财富基金销售有限公司</w:t>
      </w:r>
      <w:r>
        <w:rPr>
          <w:rFonts w:hint="eastAsia"/>
          <w:color w:val="404040"/>
          <w:kern w:val="0"/>
          <w:szCs w:val="21"/>
          <w:lang/>
        </w:rPr>
        <w:br/>
        <w:t xml:space="preserve">　　宜信普泽（北京）基金销售有限公司</w:t>
      </w:r>
      <w:r>
        <w:rPr>
          <w:rFonts w:hint="eastAsia"/>
          <w:color w:val="404040"/>
          <w:kern w:val="0"/>
          <w:szCs w:val="21"/>
          <w:lang/>
        </w:rPr>
        <w:br/>
        <w:t xml:space="preserve">　　中国建设银行股份有限公司</w:t>
      </w:r>
      <w:r>
        <w:rPr>
          <w:rFonts w:hint="eastAsia"/>
          <w:color w:val="404040"/>
          <w:kern w:val="0"/>
          <w:szCs w:val="21"/>
          <w:lang/>
        </w:rPr>
        <w:br/>
        <w:t xml:space="preserve">　　上海浦东发展银行股份有限公司</w:t>
      </w:r>
      <w:r>
        <w:rPr>
          <w:rFonts w:hint="eastAsia"/>
          <w:color w:val="404040"/>
          <w:kern w:val="0"/>
          <w:szCs w:val="21"/>
          <w:lang/>
        </w:rPr>
        <w:br/>
        <w:t xml:space="preserve">　　中信建投证券股份有限公司</w:t>
      </w:r>
      <w:r>
        <w:rPr>
          <w:rFonts w:hint="eastAsia"/>
          <w:color w:val="404040"/>
          <w:kern w:val="0"/>
          <w:sz w:val="24"/>
        </w:rPr>
        <w:t xml:space="preserve"> </w:t>
      </w:r>
    </w:p>
    <w:p w:rsidR="000A068F" w:rsidRDefault="000A068F" w:rsidP="00BB5806">
      <w:pPr>
        <w:pStyle w:val="XBRLTitle1"/>
        <w:spacing w:before="156" w:line="360" w:lineRule="auto"/>
        <w:rPr>
          <w:rFonts w:hint="eastAsia"/>
        </w:rPr>
      </w:pPr>
      <w:bookmarkStart w:id="161" w:name="_Toc34841045"/>
      <w:bookmarkStart w:id="162" w:name="_Toc3475853211"/>
      <w:r>
        <w:rPr>
          <w:rFonts w:hAnsi="宋体" w:hint="eastAsia"/>
        </w:rPr>
        <w:t>基金份额净值公告/基金收益公告的披露安排</w:t>
      </w:r>
      <w:bookmarkEnd w:id="161"/>
      <w:bookmarkEnd w:id="162"/>
      <w:r>
        <w:rPr>
          <w:rFonts w:hAnsi="宋体" w:hint="eastAsia"/>
        </w:rPr>
        <w:t xml:space="preserve"> </w:t>
      </w:r>
    </w:p>
    <w:p w:rsidR="000A068F" w:rsidRDefault="000A068F">
      <w:pPr>
        <w:spacing w:line="360" w:lineRule="auto"/>
        <w:ind w:firstLineChars="200" w:firstLine="420"/>
        <w:rPr>
          <w:rFonts w:hint="eastAsia"/>
        </w:rPr>
      </w:pPr>
      <w:r>
        <w:rPr>
          <w:rFonts w:hint="eastAsia"/>
          <w:lang/>
        </w:rPr>
        <w:t>在开始办理基金份额申购或者赎回后，基金管理人应当在不晚于每个开放日的次日，通过规定网站、基金销售机构网站或营业网点披露开放日的各类基金份额净值和基金份额累计净值。</w:t>
      </w:r>
      <w:r>
        <w:rPr>
          <w:rFonts w:hint="eastAsia"/>
          <w:lang/>
        </w:rPr>
        <w:br/>
        <w:t xml:space="preserve">　　基金管理人应在不晚于半年度和年度最后一日的次日，在规定网站披露半年度和年度最后一日的各类基金份额净值和基金份额累计净值。</w:t>
      </w:r>
    </w:p>
    <w:p w:rsidR="000A068F" w:rsidRDefault="000A068F" w:rsidP="00BB5806">
      <w:pPr>
        <w:pStyle w:val="XBRLTitle1"/>
        <w:spacing w:before="156" w:line="360" w:lineRule="auto"/>
        <w:rPr>
          <w:rFonts w:hint="eastAsia"/>
        </w:rPr>
      </w:pPr>
      <w:bookmarkStart w:id="163" w:name="_Toc34841046"/>
      <w:bookmarkStart w:id="164" w:name="_Toc3475853212"/>
      <w:r>
        <w:rPr>
          <w:rFonts w:hAnsi="宋体" w:hint="eastAsia"/>
        </w:rPr>
        <w:t>其他需要提示的事项</w:t>
      </w:r>
      <w:bookmarkEnd w:id="17"/>
      <w:bookmarkEnd w:id="18"/>
      <w:bookmarkEnd w:id="19"/>
      <w:bookmarkEnd w:id="20"/>
      <w:bookmarkEnd w:id="21"/>
      <w:bookmarkEnd w:id="22"/>
      <w:bookmarkEnd w:id="23"/>
      <w:bookmarkEnd w:id="24"/>
      <w:bookmarkEnd w:id="163"/>
      <w:bookmarkEnd w:id="164"/>
      <w:r>
        <w:rPr>
          <w:rFonts w:hAnsi="宋体" w:hint="eastAsia"/>
        </w:rPr>
        <w:t xml:space="preserve"> </w:t>
      </w:r>
      <w:bookmarkEnd w:id="30"/>
      <w:bookmarkEnd w:id="31"/>
    </w:p>
    <w:bookmarkEnd w:id="14"/>
    <w:p w:rsidR="000A068F" w:rsidRDefault="000A068F">
      <w:pPr>
        <w:spacing w:line="360" w:lineRule="auto"/>
        <w:ind w:firstLineChars="200" w:firstLine="420"/>
        <w:rPr>
          <w:rFonts w:hint="eastAsia"/>
        </w:rPr>
      </w:pPr>
      <w:r>
        <w:rPr>
          <w:rFonts w:hint="eastAsia"/>
          <w:lang/>
        </w:rPr>
        <w:t>（1）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r>
        <w:rPr>
          <w:rFonts w:hint="eastAsia"/>
          <w:lang/>
        </w:rPr>
        <w:br/>
        <w:t xml:space="preserve">　　（2）投资人申购基金份额时，必须在规定的时间内全额交付申购款项，投资人交付申购款项时，申购成立；登记机构确认基金份额时，申购生效。基金份额持有人在提交赎回申请时须持有足够的基金份额余额，否则所提交的赎回申请不成立。基金份额持有人递交赎回申请，赎回成立；登记机构确认赎回时，赎回生效。基金份额持有人赎回申请生效后，基金管理人将在T＋7日（包括该日）内支付赎回款项。遇证券、期货交易所或交易市场数据传输延迟、通讯系统故障、银行数据交换系统故障、港股通交易系统或港股通资金交收规则限制或其他非基金管理人及基金托管人所能控制的因素影响业务处理流程时，赎回款项顺延至上述情形消失的下一个工作日划出。在发生巨额赎回或基金合同载明的延缓支付赎回款项的情形时，款项的支付办法参照基金合同有关条款处理。</w:t>
      </w:r>
      <w:r>
        <w:rPr>
          <w:rFonts w:hint="eastAsia"/>
          <w:lang/>
        </w:rPr>
        <w:br/>
        <w:t xml:space="preserve">　　（3）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将退还给投资人。销售机构对申购、赎回申请的受理并不代表该申请一定成功，而仅代表销售机构确实接收到申购、赎回申请。申购、赎回的确认以登记机构的确认结果为准。对于申购、赎回申请的确认情况，投资人应及时查询并妥善行使合法权利。因投资人怠于履行该项查询等各项义务，致使其相关权益受损的，基金管理人、基金托管人、基金销售机构不承担由此造成的损失或不利后果。基金管理人可以在法律法规允许的范围内对上述申购和赎回申请的确认时间进行调整，并必须在调整实施日前按照《信息披露办法》的有关规定在规定媒介上公告。</w:t>
      </w:r>
      <w:r>
        <w:rPr>
          <w:rFonts w:hint="eastAsia"/>
          <w:lang/>
        </w:rPr>
        <w:br/>
        <w:t xml:space="preserve">　　（4）《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r>
        <w:rPr>
          <w:rFonts w:hint="eastAsia"/>
          <w:lang/>
        </w:rPr>
        <w:br/>
        <w:t xml:space="preserve">　　（5）投资者应及时通过本基金销售网点、致电本公司的客户服务电话400-81-95533（免长途话费）或登录本公司网站www.ccbfund.cn查询其交易申请的确认情况。</w:t>
      </w:r>
      <w:r>
        <w:rPr>
          <w:rFonts w:hint="eastAsia"/>
          <w:lang/>
        </w:rPr>
        <w:br/>
        <w:t xml:space="preserve">　　（6）本公告仅对本基金的开放日常申购、赎回、转换和定投业务事项予以说明。投资者欲了解本基金详细情况，请认真阅读本基金的《基金合同》、《招募说明书》、《产品资料概要》等文件。</w:t>
      </w:r>
      <w:r>
        <w:rPr>
          <w:rFonts w:hint="eastAsia"/>
          <w:lang/>
        </w:rPr>
        <w:br/>
        <w:t xml:space="preserve">　　风险提示：</w:t>
      </w:r>
      <w:r>
        <w:rPr>
          <w:rFonts w:hint="eastAsia"/>
          <w:lang/>
        </w:rPr>
        <w:br/>
        <w:t xml:space="preserve">　　本公司承诺以诚实信用、勤勉尽责的原则管理和运用基金资产，但不保证基金一定盈利，也不保证最低收益。投资者投资基金之前应认真阅读各基金的《基金合同》、《招募说明书》、《产品资料概要》等文件。敬请投资者留意投资风险。</w:t>
      </w:r>
      <w:r>
        <w:rPr>
          <w:rFonts w:hint="eastAsia"/>
          <w:lang/>
        </w:rPr>
        <w:br/>
        <w:t xml:space="preserve">　　特此公告。</w:t>
      </w:r>
      <w:bookmarkEnd w:id="2"/>
      <w:bookmarkEnd w:id="3"/>
      <w:bookmarkEnd w:id="25"/>
      <w:bookmarkEnd w:id="26"/>
      <w:bookmarkEnd w:id="27"/>
      <w:bookmarkEnd w:id="28"/>
    </w:p>
    <w:p w:rsidR="000A068F" w:rsidRDefault="000A068F" w:rsidP="00BB5806">
      <w:pPr>
        <w:spacing w:line="360" w:lineRule="auto"/>
        <w:ind w:firstLineChars="600" w:firstLine="1446"/>
        <w:jc w:val="left"/>
        <w:rPr>
          <w:rFonts w:hint="eastAsia"/>
        </w:rPr>
      </w:pPr>
      <w:r>
        <w:rPr>
          <w:rFonts w:hint="eastAsia"/>
          <w:b/>
          <w:bCs/>
          <w:sz w:val="24"/>
          <w:szCs w:val="30"/>
        </w:rPr>
        <w:t xml:space="preserve">　 </w:t>
      </w:r>
    </w:p>
    <w:p w:rsidR="000A068F" w:rsidRDefault="000A068F" w:rsidP="00BB5806">
      <w:pPr>
        <w:spacing w:line="360" w:lineRule="auto"/>
        <w:ind w:firstLineChars="600" w:firstLine="1446"/>
        <w:jc w:val="left"/>
        <w:rPr>
          <w:rFonts w:hint="eastAsia"/>
        </w:rPr>
      </w:pPr>
      <w:r>
        <w:rPr>
          <w:rFonts w:hint="eastAsia"/>
          <w:b/>
          <w:bCs/>
          <w:sz w:val="24"/>
          <w:szCs w:val="30"/>
        </w:rPr>
        <w:t xml:space="preserve">　 </w:t>
      </w:r>
    </w:p>
    <w:p w:rsidR="000A068F" w:rsidRDefault="000A068F">
      <w:pPr>
        <w:spacing w:line="360" w:lineRule="auto"/>
        <w:ind w:firstLineChars="600" w:firstLine="1446"/>
        <w:jc w:val="right"/>
        <w:rPr>
          <w:rFonts w:hint="eastAsia"/>
        </w:rPr>
      </w:pPr>
      <w:r>
        <w:rPr>
          <w:rFonts w:hint="eastAsia"/>
          <w:b/>
          <w:bCs/>
          <w:sz w:val="24"/>
          <w:szCs w:val="24"/>
        </w:rPr>
        <w:t>建信基金管理有限责任公司</w:t>
      </w:r>
    </w:p>
    <w:p w:rsidR="000A068F" w:rsidRDefault="000A068F">
      <w:pPr>
        <w:spacing w:line="360" w:lineRule="auto"/>
        <w:ind w:firstLineChars="600" w:firstLine="1446"/>
        <w:jc w:val="right"/>
        <w:rPr>
          <w:rFonts w:hint="eastAsia"/>
        </w:rPr>
      </w:pPr>
      <w:r>
        <w:rPr>
          <w:rFonts w:hint="eastAsia"/>
          <w:b/>
          <w:bCs/>
          <w:sz w:val="24"/>
          <w:szCs w:val="24"/>
        </w:rPr>
        <w:t>2025年10月9日</w:t>
      </w:r>
      <w:bookmarkEnd w:id="29"/>
    </w:p>
    <w:sectPr w:rsidR="000A068F">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2FA3" w:rsidRDefault="00352FA3">
      <w:pPr>
        <w:rPr>
          <w:rFonts w:hint="eastAsia"/>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352FA3" w:rsidRDefault="00352FA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68F" w:rsidRDefault="000A068F">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4B19F1">
      <w:rPr>
        <w:noProof/>
        <w:sz w:val="18"/>
        <w:szCs w:val="18"/>
      </w:rPr>
      <w:t>3</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4B19F1">
      <w:rPr>
        <w:noProof/>
        <w:sz w:val="18"/>
        <w:szCs w:val="18"/>
      </w:rPr>
      <w:t>3</w:t>
    </w:r>
    <w:r>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2FA3" w:rsidRDefault="00352FA3">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352FA3" w:rsidRDefault="00352FA3">
      <w:pPr>
        <w:rPr>
          <w:rFonts w:hint="eastAsia"/>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68F" w:rsidRDefault="000A068F">
    <w:pPr>
      <w:pStyle w:val="a7"/>
      <w:jc w:val="right"/>
      <w:rPr>
        <w:rFonts w:hint="eastAsia"/>
      </w:rPr>
    </w:pPr>
    <w:r>
      <w:rPr>
        <w:rFonts w:hint="eastAsia"/>
      </w:rPr>
      <w:t>建信上证科创板200交易型开放式指数证券投资基金联接基金基金开放日常申购（赎回、转换、定期定额投资）业务公告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5806"/>
    <w:rsid w:val="000A068F"/>
    <w:rsid w:val="00352FA3"/>
    <w:rsid w:val="004B19F1"/>
    <w:rsid w:val="009629B7"/>
    <w:rsid w:val="00AC00AA"/>
    <w:rsid w:val="00BB5806"/>
    <w:rsid w:val="00D67302"/>
    <w:rsid w:val="00E233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a"/>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577642005">
      <w:marLeft w:val="0"/>
      <w:marRight w:val="0"/>
      <w:marTop w:val="0"/>
      <w:marBottom w:val="0"/>
      <w:divBdr>
        <w:top w:val="none" w:sz="0" w:space="0" w:color="auto"/>
        <w:left w:val="none" w:sz="0" w:space="0" w:color="auto"/>
        <w:bottom w:val="none" w:sz="0" w:space="0" w:color="auto"/>
        <w:right w:val="none" w:sz="0" w:space="0" w:color="auto"/>
      </w:divBdr>
      <w:divsChild>
        <w:div w:id="463936675">
          <w:marLeft w:val="0"/>
          <w:marRight w:val="0"/>
          <w:marTop w:val="0"/>
          <w:marBottom w:val="0"/>
          <w:divBdr>
            <w:top w:val="none" w:sz="0" w:space="0" w:color="auto"/>
            <w:left w:val="none" w:sz="0" w:space="0" w:color="auto"/>
            <w:bottom w:val="none" w:sz="0" w:space="0" w:color="auto"/>
            <w:right w:val="none" w:sz="0" w:space="0" w:color="auto"/>
          </w:divBdr>
          <w:divsChild>
            <w:div w:id="6902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8797">
      <w:marLeft w:val="0"/>
      <w:marRight w:val="0"/>
      <w:marTop w:val="0"/>
      <w:marBottom w:val="0"/>
      <w:divBdr>
        <w:top w:val="none" w:sz="0" w:space="0" w:color="auto"/>
        <w:left w:val="none" w:sz="0" w:space="0" w:color="auto"/>
        <w:bottom w:val="none" w:sz="0" w:space="0" w:color="auto"/>
        <w:right w:val="none" w:sz="0" w:space="0" w:color="auto"/>
      </w:divBdr>
    </w:div>
    <w:div w:id="1357194051">
      <w:marLeft w:val="0"/>
      <w:marRight w:val="0"/>
      <w:marTop w:val="0"/>
      <w:marBottom w:val="0"/>
      <w:divBdr>
        <w:top w:val="none" w:sz="0" w:space="0" w:color="auto"/>
        <w:left w:val="none" w:sz="0" w:space="0" w:color="auto"/>
        <w:bottom w:val="none" w:sz="0" w:space="0" w:color="auto"/>
        <w:right w:val="none" w:sz="0" w:space="0" w:color="auto"/>
      </w:divBdr>
      <w:divsChild>
        <w:div w:id="302660561">
          <w:marLeft w:val="0"/>
          <w:marRight w:val="0"/>
          <w:marTop w:val="0"/>
          <w:marBottom w:val="0"/>
          <w:divBdr>
            <w:top w:val="none" w:sz="0" w:space="0" w:color="auto"/>
            <w:left w:val="none" w:sz="0" w:space="0" w:color="auto"/>
            <w:bottom w:val="none" w:sz="0" w:space="0" w:color="auto"/>
            <w:right w:val="none" w:sz="0" w:space="0" w:color="auto"/>
          </w:divBdr>
        </w:div>
        <w:div w:id="1823231001">
          <w:marLeft w:val="0"/>
          <w:marRight w:val="0"/>
          <w:marTop w:val="0"/>
          <w:marBottom w:val="0"/>
          <w:divBdr>
            <w:top w:val="none" w:sz="0" w:space="0" w:color="auto"/>
            <w:left w:val="none" w:sz="0" w:space="0" w:color="auto"/>
            <w:bottom w:val="none" w:sz="0" w:space="0" w:color="auto"/>
            <w:right w:val="none" w:sz="0" w:space="0" w:color="auto"/>
          </w:divBdr>
        </w:div>
      </w:divsChild>
    </w:div>
    <w:div w:id="199983974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D4BF-2084-44DE-A80B-962C644B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6802</Characters>
  <Application>Microsoft Office Word</Application>
  <DocSecurity>4</DocSecurity>
  <Lines>56</Lines>
  <Paragraphs>15</Paragraphs>
  <ScaleCrop>false</ScaleCrop>
  <Company/>
  <LinksUpToDate>false</LinksUpToDate>
  <CharactersWithSpaces>7980</CharactersWithSpaces>
  <SharedDoc>false</SharedDoc>
  <HLinks>
    <vt:vector size="144" baseType="variant">
      <vt:variant>
        <vt:i4>1114174</vt:i4>
      </vt:variant>
      <vt:variant>
        <vt:i4>71</vt:i4>
      </vt:variant>
      <vt:variant>
        <vt:i4>0</vt:i4>
      </vt:variant>
      <vt:variant>
        <vt:i4>5</vt:i4>
      </vt:variant>
      <vt:variant>
        <vt:lpwstr/>
      </vt:variant>
      <vt:variant>
        <vt:lpwstr>_Toc34841046</vt:lpwstr>
      </vt:variant>
      <vt:variant>
        <vt:i4>1179710</vt:i4>
      </vt:variant>
      <vt:variant>
        <vt:i4>68</vt:i4>
      </vt:variant>
      <vt:variant>
        <vt:i4>0</vt:i4>
      </vt:variant>
      <vt:variant>
        <vt:i4>5</vt:i4>
      </vt:variant>
      <vt:variant>
        <vt:lpwstr/>
      </vt:variant>
      <vt:variant>
        <vt:lpwstr>_Toc34841045</vt:lpwstr>
      </vt:variant>
      <vt:variant>
        <vt:i4>1245246</vt:i4>
      </vt:variant>
      <vt:variant>
        <vt:i4>65</vt:i4>
      </vt:variant>
      <vt:variant>
        <vt:i4>0</vt:i4>
      </vt:variant>
      <vt:variant>
        <vt:i4>5</vt:i4>
      </vt:variant>
      <vt:variant>
        <vt:lpwstr/>
      </vt:variant>
      <vt:variant>
        <vt:lpwstr>_Toc34841044</vt:lpwstr>
      </vt:variant>
      <vt:variant>
        <vt:i4>2097158</vt:i4>
      </vt:variant>
      <vt:variant>
        <vt:i4>62</vt:i4>
      </vt:variant>
      <vt:variant>
        <vt:i4>0</vt:i4>
      </vt:variant>
      <vt:variant>
        <vt:i4>5</vt:i4>
      </vt:variant>
      <vt:variant>
        <vt:lpwstr/>
      </vt:variant>
      <vt:variant>
        <vt:lpwstr>_Toc51346566011</vt:lpwstr>
      </vt:variant>
      <vt:variant>
        <vt:i4>2293775</vt:i4>
      </vt:variant>
      <vt:variant>
        <vt:i4>59</vt:i4>
      </vt:variant>
      <vt:variant>
        <vt:i4>0</vt:i4>
      </vt:variant>
      <vt:variant>
        <vt:i4>5</vt:i4>
      </vt:variant>
      <vt:variant>
        <vt:lpwstr/>
      </vt:variant>
      <vt:variant>
        <vt:lpwstr>_Toc51346565911</vt:lpwstr>
      </vt:variant>
      <vt:variant>
        <vt:i4>2293774</vt:i4>
      </vt:variant>
      <vt:variant>
        <vt:i4>56</vt:i4>
      </vt:variant>
      <vt:variant>
        <vt:i4>0</vt:i4>
      </vt:variant>
      <vt:variant>
        <vt:i4>5</vt:i4>
      </vt:variant>
      <vt:variant>
        <vt:lpwstr/>
      </vt:variant>
      <vt:variant>
        <vt:lpwstr>_Toc51346565811</vt:lpwstr>
      </vt:variant>
      <vt:variant>
        <vt:i4>1376318</vt:i4>
      </vt:variant>
      <vt:variant>
        <vt:i4>53</vt:i4>
      </vt:variant>
      <vt:variant>
        <vt:i4>0</vt:i4>
      </vt:variant>
      <vt:variant>
        <vt:i4>5</vt:i4>
      </vt:variant>
      <vt:variant>
        <vt:lpwstr/>
      </vt:variant>
      <vt:variant>
        <vt:lpwstr>_Toc34841042</vt:lpwstr>
      </vt:variant>
      <vt:variant>
        <vt:i4>1441854</vt:i4>
      </vt:variant>
      <vt:variant>
        <vt:i4>50</vt:i4>
      </vt:variant>
      <vt:variant>
        <vt:i4>0</vt:i4>
      </vt:variant>
      <vt:variant>
        <vt:i4>5</vt:i4>
      </vt:variant>
      <vt:variant>
        <vt:lpwstr/>
      </vt:variant>
      <vt:variant>
        <vt:lpwstr>_Toc34841041</vt:lpwstr>
      </vt:variant>
      <vt:variant>
        <vt:i4>1507390</vt:i4>
      </vt:variant>
      <vt:variant>
        <vt:i4>47</vt:i4>
      </vt:variant>
      <vt:variant>
        <vt:i4>0</vt:i4>
      </vt:variant>
      <vt:variant>
        <vt:i4>5</vt:i4>
      </vt:variant>
      <vt:variant>
        <vt:lpwstr/>
      </vt:variant>
      <vt:variant>
        <vt:lpwstr>_Toc34841040</vt:lpwstr>
      </vt:variant>
      <vt:variant>
        <vt:i4>1966137</vt:i4>
      </vt:variant>
      <vt:variant>
        <vt:i4>44</vt:i4>
      </vt:variant>
      <vt:variant>
        <vt:i4>0</vt:i4>
      </vt:variant>
      <vt:variant>
        <vt:i4>5</vt:i4>
      </vt:variant>
      <vt:variant>
        <vt:lpwstr/>
      </vt:variant>
      <vt:variant>
        <vt:lpwstr>_Toc34841039</vt:lpwstr>
      </vt:variant>
      <vt:variant>
        <vt:i4>2031673</vt:i4>
      </vt:variant>
      <vt:variant>
        <vt:i4>41</vt:i4>
      </vt:variant>
      <vt:variant>
        <vt:i4>0</vt:i4>
      </vt:variant>
      <vt:variant>
        <vt:i4>5</vt:i4>
      </vt:variant>
      <vt:variant>
        <vt:lpwstr/>
      </vt:variant>
      <vt:variant>
        <vt:lpwstr>_Toc34841038</vt:lpwstr>
      </vt:variant>
      <vt:variant>
        <vt:i4>1048633</vt:i4>
      </vt:variant>
      <vt:variant>
        <vt:i4>38</vt:i4>
      </vt:variant>
      <vt:variant>
        <vt:i4>0</vt:i4>
      </vt:variant>
      <vt:variant>
        <vt:i4>5</vt:i4>
      </vt:variant>
      <vt:variant>
        <vt:lpwstr/>
      </vt:variant>
      <vt:variant>
        <vt:lpwstr>_Toc34841037</vt:lpwstr>
      </vt:variant>
      <vt:variant>
        <vt:i4>1114169</vt:i4>
      </vt:variant>
      <vt:variant>
        <vt:i4>35</vt:i4>
      </vt:variant>
      <vt:variant>
        <vt:i4>0</vt:i4>
      </vt:variant>
      <vt:variant>
        <vt:i4>5</vt:i4>
      </vt:variant>
      <vt:variant>
        <vt:lpwstr/>
      </vt:variant>
      <vt:variant>
        <vt:lpwstr>_Toc34841036</vt:lpwstr>
      </vt:variant>
      <vt:variant>
        <vt:i4>1179705</vt:i4>
      </vt:variant>
      <vt:variant>
        <vt:i4>32</vt:i4>
      </vt:variant>
      <vt:variant>
        <vt:i4>0</vt:i4>
      </vt:variant>
      <vt:variant>
        <vt:i4>5</vt:i4>
      </vt:variant>
      <vt:variant>
        <vt:lpwstr/>
      </vt:variant>
      <vt:variant>
        <vt:lpwstr>_Toc34841035</vt:lpwstr>
      </vt:variant>
      <vt:variant>
        <vt:i4>1245241</vt:i4>
      </vt:variant>
      <vt:variant>
        <vt:i4>29</vt:i4>
      </vt:variant>
      <vt:variant>
        <vt:i4>0</vt:i4>
      </vt:variant>
      <vt:variant>
        <vt:i4>5</vt:i4>
      </vt:variant>
      <vt:variant>
        <vt:lpwstr/>
      </vt:variant>
      <vt:variant>
        <vt:lpwstr>_Toc34841034</vt:lpwstr>
      </vt:variant>
      <vt:variant>
        <vt:i4>1310777</vt:i4>
      </vt:variant>
      <vt:variant>
        <vt:i4>26</vt:i4>
      </vt:variant>
      <vt:variant>
        <vt:i4>0</vt:i4>
      </vt:variant>
      <vt:variant>
        <vt:i4>5</vt:i4>
      </vt:variant>
      <vt:variant>
        <vt:lpwstr/>
      </vt:variant>
      <vt:variant>
        <vt:lpwstr>_Toc34841033</vt:lpwstr>
      </vt:variant>
      <vt:variant>
        <vt:i4>1114166</vt:i4>
      </vt:variant>
      <vt:variant>
        <vt:i4>23</vt:i4>
      </vt:variant>
      <vt:variant>
        <vt:i4>0</vt:i4>
      </vt:variant>
      <vt:variant>
        <vt:i4>5</vt:i4>
      </vt:variant>
      <vt:variant>
        <vt:lpwstr/>
      </vt:variant>
      <vt:variant>
        <vt:lpwstr>_Toc513465660</vt:lpwstr>
      </vt:variant>
      <vt:variant>
        <vt:i4>1179702</vt:i4>
      </vt:variant>
      <vt:variant>
        <vt:i4>20</vt:i4>
      </vt:variant>
      <vt:variant>
        <vt:i4>0</vt:i4>
      </vt:variant>
      <vt:variant>
        <vt:i4>5</vt:i4>
      </vt:variant>
      <vt:variant>
        <vt:lpwstr/>
      </vt:variant>
      <vt:variant>
        <vt:lpwstr>_Toc513465659</vt:lpwstr>
      </vt:variant>
      <vt:variant>
        <vt:i4>1179702</vt:i4>
      </vt:variant>
      <vt:variant>
        <vt:i4>17</vt:i4>
      </vt:variant>
      <vt:variant>
        <vt:i4>0</vt:i4>
      </vt:variant>
      <vt:variant>
        <vt:i4>5</vt:i4>
      </vt:variant>
      <vt:variant>
        <vt:lpwstr/>
      </vt:variant>
      <vt:variant>
        <vt:lpwstr>_Toc513465658</vt:lpwstr>
      </vt:variant>
      <vt:variant>
        <vt:i4>1441849</vt:i4>
      </vt:variant>
      <vt:variant>
        <vt:i4>14</vt:i4>
      </vt:variant>
      <vt:variant>
        <vt:i4>0</vt:i4>
      </vt:variant>
      <vt:variant>
        <vt:i4>5</vt:i4>
      </vt:variant>
      <vt:variant>
        <vt:lpwstr/>
      </vt:variant>
      <vt:variant>
        <vt:lpwstr>_Toc34841031</vt:lpwstr>
      </vt:variant>
      <vt:variant>
        <vt:i4>1507385</vt:i4>
      </vt:variant>
      <vt:variant>
        <vt:i4>11</vt:i4>
      </vt:variant>
      <vt:variant>
        <vt:i4>0</vt:i4>
      </vt:variant>
      <vt:variant>
        <vt:i4>5</vt:i4>
      </vt:variant>
      <vt:variant>
        <vt:lpwstr/>
      </vt:variant>
      <vt:variant>
        <vt:lpwstr>_Toc34841030</vt:lpwstr>
      </vt:variant>
      <vt:variant>
        <vt:i4>1966136</vt:i4>
      </vt:variant>
      <vt:variant>
        <vt:i4>8</vt:i4>
      </vt:variant>
      <vt:variant>
        <vt:i4>0</vt:i4>
      </vt:variant>
      <vt:variant>
        <vt:i4>5</vt:i4>
      </vt:variant>
      <vt:variant>
        <vt:lpwstr/>
      </vt:variant>
      <vt:variant>
        <vt:lpwstr>_Toc34841029</vt:lpwstr>
      </vt:variant>
      <vt:variant>
        <vt:i4>2031672</vt:i4>
      </vt:variant>
      <vt:variant>
        <vt:i4>5</vt:i4>
      </vt:variant>
      <vt:variant>
        <vt:i4>0</vt:i4>
      </vt:variant>
      <vt:variant>
        <vt:i4>5</vt:i4>
      </vt:variant>
      <vt:variant>
        <vt:lpwstr/>
      </vt:variant>
      <vt:variant>
        <vt:lpwstr>_Toc34841028</vt:lpwstr>
      </vt:variant>
      <vt:variant>
        <vt:i4>1966136</vt:i4>
      </vt:variant>
      <vt:variant>
        <vt:i4>2</vt:i4>
      </vt:variant>
      <vt:variant>
        <vt:i4>0</vt:i4>
      </vt:variant>
      <vt:variant>
        <vt:i4>5</vt:i4>
      </vt:variant>
      <vt:variant>
        <vt:lpwstr/>
      </vt:variant>
      <vt:variant>
        <vt:lpwstr>_Toc348410291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cp:lastPrinted>2025-09-30T08:06:00Z</cp:lastPrinted>
  <dcterms:created xsi:type="dcterms:W3CDTF">2025-10-08T16:02:00Z</dcterms:created>
  <dcterms:modified xsi:type="dcterms:W3CDTF">2025-10-08T16:02:00Z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