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7" w:rsidRDefault="00C90B80">
      <w:pPr>
        <w:tabs>
          <w:tab w:val="right" w:leader="dot" w:pos="9080"/>
        </w:tabs>
        <w:jc w:val="center"/>
        <w:rPr>
          <w:rFonts w:ascii="宋体" w:hAnsi="宋体" w:cs="宋体"/>
          <w:b/>
          <w:bCs/>
          <w:sz w:val="28"/>
          <w:szCs w:val="28"/>
        </w:rPr>
      </w:pPr>
      <w:r>
        <w:rPr>
          <w:rFonts w:ascii="宋体" w:hAnsi="宋体" w:cs="宋体" w:hint="eastAsia"/>
          <w:b/>
          <w:bCs/>
          <w:sz w:val="28"/>
          <w:szCs w:val="28"/>
        </w:rPr>
        <w:t>泉果研究精选混合型证券投资基金分红公告</w:t>
      </w:r>
    </w:p>
    <w:p w:rsidR="00422907" w:rsidRDefault="00C90B80">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2025年10月09日</w:t>
      </w:r>
    </w:p>
    <w:p w:rsidR="00F41946" w:rsidRDefault="00F41946"/>
    <w:p w:rsidR="00F41946" w:rsidRDefault="00B42F97">
      <w:pPr>
        <w:pStyle w:val="2"/>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3"/>
        <w:gridCol w:w="2268"/>
        <w:gridCol w:w="2786"/>
        <w:gridCol w:w="2929"/>
      </w:tblGrid>
      <w:tr w:rsidR="00DB53F8" w:rsidTr="00DB53F8">
        <w:tc>
          <w:tcPr>
            <w:tcW w:w="1923" w:type="pct"/>
            <w:gridSpan w:val="2"/>
          </w:tcPr>
          <w:p w:rsidR="00F41946" w:rsidRDefault="00B42F97">
            <w:pPr>
              <w:spacing w:line="240" w:lineRule="auto"/>
              <w:jc w:val="left"/>
            </w:pPr>
            <w:r>
              <w:rPr>
                <w:rFonts w:ascii="宋体" w:hAnsi="宋体" w:cs="宋体"/>
              </w:rPr>
              <w:t>基金名称</w:t>
            </w:r>
          </w:p>
        </w:tc>
        <w:tc>
          <w:tcPr>
            <w:tcW w:w="3077" w:type="pct"/>
            <w:gridSpan w:val="2"/>
          </w:tcPr>
          <w:p w:rsidR="00F41946" w:rsidRDefault="00B42F97">
            <w:pPr>
              <w:spacing w:line="240" w:lineRule="auto"/>
              <w:jc w:val="left"/>
            </w:pPr>
            <w:r>
              <w:rPr>
                <w:rFonts w:ascii="宋体" w:hAnsi="宋体" w:cs="宋体"/>
              </w:rPr>
              <w:t>泉果研究精选混合型证券投资基金</w:t>
            </w:r>
          </w:p>
        </w:tc>
      </w:tr>
      <w:tr w:rsidR="00DB53F8" w:rsidTr="00DB53F8">
        <w:tc>
          <w:tcPr>
            <w:tcW w:w="0" w:type="dxa"/>
            <w:gridSpan w:val="2"/>
          </w:tcPr>
          <w:p w:rsidR="00F41946" w:rsidRDefault="00B42F97">
            <w:pPr>
              <w:spacing w:line="240" w:lineRule="auto"/>
              <w:jc w:val="left"/>
            </w:pPr>
            <w:r>
              <w:rPr>
                <w:rFonts w:ascii="宋体" w:hAnsi="宋体" w:cs="宋体"/>
              </w:rPr>
              <w:t>基金简称</w:t>
            </w:r>
          </w:p>
        </w:tc>
        <w:tc>
          <w:tcPr>
            <w:tcW w:w="0" w:type="dxa"/>
            <w:gridSpan w:val="2"/>
          </w:tcPr>
          <w:p w:rsidR="00F41946" w:rsidRDefault="00B42F97">
            <w:pPr>
              <w:spacing w:line="240" w:lineRule="auto"/>
              <w:jc w:val="left"/>
            </w:pPr>
            <w:r>
              <w:rPr>
                <w:rFonts w:ascii="宋体" w:hAnsi="宋体" w:cs="宋体"/>
              </w:rPr>
              <w:t>泉果研究精选混合</w:t>
            </w:r>
          </w:p>
        </w:tc>
      </w:tr>
      <w:tr w:rsidR="00DB53F8" w:rsidTr="00DB53F8">
        <w:tc>
          <w:tcPr>
            <w:tcW w:w="0" w:type="dxa"/>
            <w:gridSpan w:val="2"/>
          </w:tcPr>
          <w:p w:rsidR="00F41946" w:rsidRDefault="00B42F97">
            <w:pPr>
              <w:spacing w:line="240" w:lineRule="auto"/>
              <w:jc w:val="left"/>
            </w:pPr>
            <w:r>
              <w:rPr>
                <w:rFonts w:ascii="宋体" w:hAnsi="宋体" w:cs="宋体"/>
              </w:rPr>
              <w:t>基金主代码</w:t>
            </w:r>
          </w:p>
        </w:tc>
        <w:tc>
          <w:tcPr>
            <w:tcW w:w="0" w:type="dxa"/>
            <w:gridSpan w:val="2"/>
          </w:tcPr>
          <w:p w:rsidR="00F41946" w:rsidRDefault="00B42F97">
            <w:pPr>
              <w:spacing w:line="240" w:lineRule="auto"/>
              <w:jc w:val="left"/>
            </w:pPr>
            <w:r>
              <w:rPr>
                <w:rFonts w:ascii="宋体" w:hAnsi="宋体" w:cs="宋体"/>
              </w:rPr>
              <w:t>023939</w:t>
            </w:r>
          </w:p>
        </w:tc>
      </w:tr>
      <w:tr w:rsidR="00DB53F8" w:rsidTr="00DB53F8">
        <w:tc>
          <w:tcPr>
            <w:tcW w:w="0" w:type="dxa"/>
            <w:gridSpan w:val="2"/>
          </w:tcPr>
          <w:p w:rsidR="00F41946" w:rsidRDefault="00B42F97">
            <w:pPr>
              <w:spacing w:line="240" w:lineRule="auto"/>
              <w:jc w:val="left"/>
            </w:pPr>
            <w:r>
              <w:rPr>
                <w:rFonts w:ascii="宋体" w:hAnsi="宋体" w:cs="宋体"/>
              </w:rPr>
              <w:t>基金合同生效日</w:t>
            </w:r>
          </w:p>
        </w:tc>
        <w:tc>
          <w:tcPr>
            <w:tcW w:w="0" w:type="dxa"/>
            <w:gridSpan w:val="2"/>
          </w:tcPr>
          <w:p w:rsidR="00F41946" w:rsidRDefault="00B42F97">
            <w:pPr>
              <w:spacing w:line="240" w:lineRule="auto"/>
              <w:jc w:val="left"/>
            </w:pPr>
            <w:r>
              <w:rPr>
                <w:rFonts w:ascii="宋体" w:hAnsi="宋体" w:cs="宋体"/>
              </w:rPr>
              <w:t>2025</w:t>
            </w:r>
            <w:r>
              <w:rPr>
                <w:rFonts w:ascii="宋体" w:hAnsi="宋体" w:cs="宋体"/>
              </w:rPr>
              <w:t>年</w:t>
            </w:r>
            <w:r>
              <w:rPr>
                <w:rFonts w:ascii="宋体" w:hAnsi="宋体" w:cs="宋体"/>
              </w:rPr>
              <w:t>05</w:t>
            </w:r>
            <w:r>
              <w:rPr>
                <w:rFonts w:ascii="宋体" w:hAnsi="宋体" w:cs="宋体"/>
              </w:rPr>
              <w:t>月</w:t>
            </w:r>
            <w:r>
              <w:rPr>
                <w:rFonts w:ascii="宋体" w:hAnsi="宋体" w:cs="宋体"/>
              </w:rPr>
              <w:t>07</w:t>
            </w:r>
            <w:r>
              <w:rPr>
                <w:rFonts w:ascii="宋体" w:hAnsi="宋体" w:cs="宋体"/>
              </w:rPr>
              <w:t>日</w:t>
            </w:r>
          </w:p>
        </w:tc>
      </w:tr>
      <w:tr w:rsidR="00DB53F8" w:rsidTr="00DB53F8">
        <w:tc>
          <w:tcPr>
            <w:tcW w:w="0" w:type="dxa"/>
            <w:gridSpan w:val="2"/>
          </w:tcPr>
          <w:p w:rsidR="00F41946" w:rsidRDefault="00B42F97">
            <w:pPr>
              <w:spacing w:line="240" w:lineRule="auto"/>
              <w:jc w:val="left"/>
            </w:pPr>
            <w:r>
              <w:rPr>
                <w:rFonts w:ascii="宋体" w:hAnsi="宋体" w:cs="宋体"/>
              </w:rPr>
              <w:t>基金管理人名称</w:t>
            </w:r>
          </w:p>
        </w:tc>
        <w:tc>
          <w:tcPr>
            <w:tcW w:w="0" w:type="dxa"/>
            <w:gridSpan w:val="2"/>
          </w:tcPr>
          <w:p w:rsidR="00F41946" w:rsidRDefault="00B42F97">
            <w:pPr>
              <w:spacing w:line="240" w:lineRule="auto"/>
              <w:jc w:val="left"/>
            </w:pPr>
            <w:r>
              <w:rPr>
                <w:rFonts w:ascii="宋体" w:hAnsi="宋体" w:cs="宋体"/>
              </w:rPr>
              <w:t>泉果基金管理有限公司</w:t>
            </w:r>
          </w:p>
        </w:tc>
      </w:tr>
      <w:tr w:rsidR="00DB53F8" w:rsidTr="00DB53F8">
        <w:tc>
          <w:tcPr>
            <w:tcW w:w="0" w:type="dxa"/>
            <w:gridSpan w:val="2"/>
          </w:tcPr>
          <w:p w:rsidR="00F41946" w:rsidRDefault="00B42F97">
            <w:pPr>
              <w:spacing w:line="240" w:lineRule="auto"/>
              <w:jc w:val="left"/>
            </w:pPr>
            <w:r>
              <w:rPr>
                <w:rFonts w:ascii="宋体" w:hAnsi="宋体" w:cs="宋体"/>
              </w:rPr>
              <w:t>基金托管人名称</w:t>
            </w:r>
          </w:p>
        </w:tc>
        <w:tc>
          <w:tcPr>
            <w:tcW w:w="0" w:type="dxa"/>
            <w:gridSpan w:val="2"/>
          </w:tcPr>
          <w:p w:rsidR="00F41946" w:rsidRDefault="00B42F97">
            <w:pPr>
              <w:spacing w:line="240" w:lineRule="auto"/>
              <w:jc w:val="left"/>
            </w:pPr>
            <w:r>
              <w:rPr>
                <w:rFonts w:ascii="宋体" w:hAnsi="宋体" w:cs="宋体"/>
              </w:rPr>
              <w:t>中国光大银行股份有限公司</w:t>
            </w:r>
          </w:p>
        </w:tc>
      </w:tr>
      <w:tr w:rsidR="00DB53F8" w:rsidTr="00DB53F8">
        <w:tc>
          <w:tcPr>
            <w:tcW w:w="0" w:type="dxa"/>
            <w:gridSpan w:val="2"/>
          </w:tcPr>
          <w:p w:rsidR="00F41946" w:rsidRDefault="00B42F97">
            <w:pPr>
              <w:spacing w:line="240" w:lineRule="auto"/>
              <w:jc w:val="left"/>
            </w:pPr>
            <w:r>
              <w:rPr>
                <w:rFonts w:ascii="宋体" w:hAnsi="宋体" w:cs="宋体"/>
              </w:rPr>
              <w:t>公告依据</w:t>
            </w:r>
          </w:p>
        </w:tc>
        <w:tc>
          <w:tcPr>
            <w:tcW w:w="0" w:type="dxa"/>
            <w:gridSpan w:val="2"/>
          </w:tcPr>
          <w:p w:rsidR="00F41946" w:rsidRDefault="00B42F97">
            <w:pPr>
              <w:spacing w:line="240" w:lineRule="auto"/>
              <w:jc w:val="left"/>
            </w:pPr>
            <w:r>
              <w:rPr>
                <w:rFonts w:ascii="宋体" w:hAnsi="宋体" w:cs="宋体"/>
              </w:rPr>
              <w:t>《中华人民共和国证券投资基金法》、《公开募集证券投资基金运作管理办法》、《泉果研究精选混合型证券投资基金基金合同》、《泉果研究精选混合型证券投资基金招募说明书》等有关规定</w:t>
            </w:r>
          </w:p>
        </w:tc>
      </w:tr>
      <w:tr w:rsidR="00DB53F8" w:rsidTr="00DB53F8">
        <w:tc>
          <w:tcPr>
            <w:tcW w:w="0" w:type="dxa"/>
            <w:gridSpan w:val="2"/>
          </w:tcPr>
          <w:p w:rsidR="00F41946" w:rsidRDefault="00B42F97">
            <w:pPr>
              <w:spacing w:line="240" w:lineRule="auto"/>
              <w:jc w:val="left"/>
            </w:pPr>
            <w:r>
              <w:rPr>
                <w:rFonts w:ascii="宋体" w:hAnsi="宋体" w:cs="宋体"/>
              </w:rPr>
              <w:t>收益分配基准日</w:t>
            </w:r>
          </w:p>
        </w:tc>
        <w:tc>
          <w:tcPr>
            <w:tcW w:w="0" w:type="dxa"/>
            <w:gridSpan w:val="2"/>
          </w:tcPr>
          <w:p w:rsidR="00F41946" w:rsidRDefault="00B42F97">
            <w:pPr>
              <w:spacing w:line="240" w:lineRule="auto"/>
              <w:jc w:val="lef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23</w:t>
            </w:r>
            <w:r>
              <w:rPr>
                <w:rFonts w:ascii="宋体" w:hAnsi="宋体" w:cs="宋体"/>
              </w:rPr>
              <w:t>日</w:t>
            </w:r>
          </w:p>
        </w:tc>
      </w:tr>
      <w:tr w:rsidR="00DB53F8" w:rsidTr="00DB53F8">
        <w:tc>
          <w:tcPr>
            <w:tcW w:w="0" w:type="dxa"/>
            <w:gridSpan w:val="2"/>
          </w:tcPr>
          <w:p w:rsidR="00F41946" w:rsidRDefault="00B42F97">
            <w:pPr>
              <w:spacing w:line="240" w:lineRule="auto"/>
              <w:jc w:val="left"/>
            </w:pPr>
            <w:r>
              <w:rPr>
                <w:rFonts w:ascii="宋体" w:hAnsi="宋体" w:cs="宋体"/>
              </w:rPr>
              <w:t>有关年度分红次数的说明</w:t>
            </w:r>
          </w:p>
        </w:tc>
        <w:tc>
          <w:tcPr>
            <w:tcW w:w="0" w:type="dxa"/>
            <w:gridSpan w:val="2"/>
          </w:tcPr>
          <w:p w:rsidR="00F41946" w:rsidRDefault="00B42F97">
            <w:pPr>
              <w:spacing w:line="240" w:lineRule="auto"/>
              <w:jc w:val="left"/>
            </w:pPr>
            <w:r>
              <w:rPr>
                <w:rFonts w:ascii="宋体" w:hAnsi="宋体" w:cs="宋体"/>
              </w:rPr>
              <w:t>本次分红为</w:t>
            </w:r>
            <w:r>
              <w:rPr>
                <w:rFonts w:ascii="宋体" w:hAnsi="宋体" w:cs="宋体"/>
              </w:rPr>
              <w:t>2025</w:t>
            </w:r>
            <w:r>
              <w:rPr>
                <w:rFonts w:ascii="宋体" w:hAnsi="宋体" w:cs="宋体"/>
              </w:rPr>
              <w:t>年度的第</w:t>
            </w:r>
            <w:r>
              <w:rPr>
                <w:rFonts w:ascii="宋体" w:hAnsi="宋体" w:cs="宋体"/>
              </w:rPr>
              <w:t>1</w:t>
            </w:r>
            <w:r>
              <w:rPr>
                <w:rFonts w:ascii="宋体" w:hAnsi="宋体" w:cs="宋体"/>
              </w:rPr>
              <w:t>次分红</w:t>
            </w:r>
          </w:p>
        </w:tc>
      </w:tr>
      <w:tr w:rsidR="00DB53F8" w:rsidTr="00DB53F8">
        <w:tc>
          <w:tcPr>
            <w:tcW w:w="0" w:type="dxa"/>
            <w:gridSpan w:val="2"/>
          </w:tcPr>
          <w:p w:rsidR="00F41946" w:rsidRDefault="00B42F97">
            <w:pPr>
              <w:spacing w:line="240" w:lineRule="auto"/>
              <w:jc w:val="left"/>
            </w:pPr>
            <w:r>
              <w:rPr>
                <w:rFonts w:ascii="宋体" w:hAnsi="宋体" w:cs="宋体"/>
              </w:rPr>
              <w:t>下属分级基金的基金简称</w:t>
            </w:r>
          </w:p>
        </w:tc>
        <w:tc>
          <w:tcPr>
            <w:tcW w:w="1500" w:type="pct"/>
          </w:tcPr>
          <w:p w:rsidR="00F41946" w:rsidRDefault="00B42F97">
            <w:pPr>
              <w:spacing w:line="240" w:lineRule="auto"/>
              <w:jc w:val="left"/>
            </w:pPr>
            <w:r>
              <w:rPr>
                <w:rFonts w:ascii="宋体" w:hAnsi="宋体" w:cs="宋体"/>
              </w:rPr>
              <w:t>泉果研究精选混合</w:t>
            </w:r>
            <w:r>
              <w:rPr>
                <w:rFonts w:ascii="宋体" w:hAnsi="宋体" w:cs="宋体"/>
              </w:rPr>
              <w:t>A</w:t>
            </w:r>
          </w:p>
        </w:tc>
        <w:tc>
          <w:tcPr>
            <w:tcW w:w="1500" w:type="pct"/>
          </w:tcPr>
          <w:p w:rsidR="00F41946" w:rsidRDefault="00B42F97">
            <w:pPr>
              <w:spacing w:line="240" w:lineRule="auto"/>
              <w:jc w:val="left"/>
            </w:pPr>
            <w:r>
              <w:rPr>
                <w:rFonts w:ascii="宋体" w:hAnsi="宋体" w:cs="宋体"/>
              </w:rPr>
              <w:t>泉果研究精选混合</w:t>
            </w:r>
            <w:r>
              <w:rPr>
                <w:rFonts w:ascii="宋体" w:hAnsi="宋体" w:cs="宋体"/>
              </w:rPr>
              <w:t>C</w:t>
            </w:r>
          </w:p>
        </w:tc>
      </w:tr>
      <w:tr w:rsidR="00DB53F8" w:rsidTr="00DB53F8">
        <w:tc>
          <w:tcPr>
            <w:tcW w:w="0" w:type="dxa"/>
            <w:gridSpan w:val="2"/>
          </w:tcPr>
          <w:p w:rsidR="00F41946" w:rsidRDefault="00B42F97">
            <w:pPr>
              <w:spacing w:line="240" w:lineRule="auto"/>
              <w:jc w:val="left"/>
            </w:pPr>
            <w:r>
              <w:rPr>
                <w:rFonts w:ascii="宋体" w:hAnsi="宋体" w:cs="宋体"/>
              </w:rPr>
              <w:t>下属分级基金的交易代码</w:t>
            </w:r>
          </w:p>
        </w:tc>
        <w:tc>
          <w:tcPr>
            <w:tcW w:w="1500" w:type="pct"/>
          </w:tcPr>
          <w:p w:rsidR="00F41946" w:rsidRDefault="00B42F97">
            <w:pPr>
              <w:spacing w:line="240" w:lineRule="auto"/>
              <w:jc w:val="left"/>
            </w:pPr>
            <w:r>
              <w:rPr>
                <w:rFonts w:ascii="宋体" w:hAnsi="宋体" w:cs="宋体"/>
              </w:rPr>
              <w:t>023939</w:t>
            </w:r>
          </w:p>
        </w:tc>
        <w:tc>
          <w:tcPr>
            <w:tcW w:w="1500" w:type="pct"/>
          </w:tcPr>
          <w:p w:rsidR="00F41946" w:rsidRDefault="00B42F97">
            <w:pPr>
              <w:spacing w:line="240" w:lineRule="auto"/>
              <w:jc w:val="left"/>
            </w:pPr>
            <w:r>
              <w:rPr>
                <w:rFonts w:ascii="宋体" w:hAnsi="宋体" w:cs="宋体"/>
              </w:rPr>
              <w:t>023940</w:t>
            </w:r>
          </w:p>
        </w:tc>
      </w:tr>
      <w:tr w:rsidR="00F41946">
        <w:tc>
          <w:tcPr>
            <w:tcW w:w="0" w:type="dxa"/>
            <w:vMerge w:val="restart"/>
            <w:vAlign w:val="center"/>
          </w:tcPr>
          <w:p w:rsidR="00F41946" w:rsidRDefault="00B42F97">
            <w:pPr>
              <w:spacing w:line="240" w:lineRule="auto"/>
              <w:jc w:val="left"/>
            </w:pPr>
            <w:r>
              <w:rPr>
                <w:rFonts w:ascii="宋体" w:hAnsi="宋体" w:cs="宋体"/>
              </w:rPr>
              <w:t>截止基准日下属分级基金的相关指标</w:t>
            </w:r>
          </w:p>
        </w:tc>
        <w:tc>
          <w:tcPr>
            <w:tcW w:w="0" w:type="dxa"/>
          </w:tcPr>
          <w:p w:rsidR="00F41946" w:rsidRDefault="00B42F97">
            <w:pPr>
              <w:spacing w:line="240" w:lineRule="auto"/>
              <w:jc w:val="left"/>
            </w:pPr>
            <w:r>
              <w:rPr>
                <w:rFonts w:ascii="宋体" w:hAnsi="宋体" w:cs="宋体"/>
              </w:rPr>
              <w:t>基准日下属分级基金份额净值（单位：人民币元</w:t>
            </w:r>
            <w:r>
              <w:rPr>
                <w:rFonts w:ascii="宋体" w:hAnsi="宋体" w:cs="宋体"/>
              </w:rPr>
              <w:t xml:space="preserve"> </w:t>
            </w:r>
            <w:r>
              <w:rPr>
                <w:rFonts w:ascii="宋体" w:hAnsi="宋体" w:cs="宋体"/>
              </w:rPr>
              <w:t>）</w:t>
            </w:r>
          </w:p>
        </w:tc>
        <w:tc>
          <w:tcPr>
            <w:tcW w:w="1500" w:type="pct"/>
            <w:vAlign w:val="center"/>
          </w:tcPr>
          <w:p w:rsidR="00F41946" w:rsidRDefault="00B42F97">
            <w:pPr>
              <w:spacing w:line="240" w:lineRule="auto"/>
              <w:jc w:val="left"/>
            </w:pPr>
            <w:r>
              <w:rPr>
                <w:rFonts w:ascii="宋体" w:hAnsi="宋体" w:cs="宋体"/>
              </w:rPr>
              <w:t>1.0975</w:t>
            </w:r>
          </w:p>
        </w:tc>
        <w:tc>
          <w:tcPr>
            <w:tcW w:w="1500" w:type="pct"/>
            <w:vAlign w:val="center"/>
          </w:tcPr>
          <w:p w:rsidR="00F41946" w:rsidRDefault="00B42F97">
            <w:pPr>
              <w:spacing w:line="240" w:lineRule="auto"/>
              <w:jc w:val="left"/>
            </w:pPr>
            <w:r>
              <w:rPr>
                <w:rFonts w:ascii="宋体" w:hAnsi="宋体" w:cs="宋体"/>
              </w:rPr>
              <w:t>1.0959</w:t>
            </w:r>
          </w:p>
        </w:tc>
      </w:tr>
      <w:tr w:rsidR="00F41946">
        <w:tc>
          <w:tcPr>
            <w:tcW w:w="0" w:type="auto"/>
            <w:vMerge/>
          </w:tcPr>
          <w:p w:rsidR="00F41946" w:rsidRDefault="00F41946"/>
        </w:tc>
        <w:tc>
          <w:tcPr>
            <w:tcW w:w="0" w:type="dxa"/>
          </w:tcPr>
          <w:p w:rsidR="00F41946" w:rsidRDefault="00B42F97">
            <w:pPr>
              <w:spacing w:line="240" w:lineRule="auto"/>
              <w:jc w:val="left"/>
            </w:pPr>
            <w:r>
              <w:rPr>
                <w:rFonts w:ascii="宋体" w:hAnsi="宋体" w:cs="宋体"/>
              </w:rPr>
              <w:t>基准日下属分级基金可供分配利润（单位：人民币元</w:t>
            </w:r>
            <w:r>
              <w:rPr>
                <w:rFonts w:ascii="宋体" w:hAnsi="宋体" w:cs="宋体"/>
              </w:rPr>
              <w:t xml:space="preserve"> </w:t>
            </w:r>
            <w:r>
              <w:rPr>
                <w:rFonts w:ascii="宋体" w:hAnsi="宋体" w:cs="宋体"/>
              </w:rPr>
              <w:t>）</w:t>
            </w:r>
          </w:p>
        </w:tc>
        <w:tc>
          <w:tcPr>
            <w:tcW w:w="1500" w:type="pct"/>
            <w:vAlign w:val="center"/>
          </w:tcPr>
          <w:p w:rsidR="00F41946" w:rsidRDefault="00B42F97">
            <w:pPr>
              <w:spacing w:line="240" w:lineRule="auto"/>
              <w:jc w:val="left"/>
            </w:pPr>
            <w:r>
              <w:rPr>
                <w:rFonts w:ascii="宋体" w:hAnsi="宋体" w:cs="宋体"/>
              </w:rPr>
              <w:t>1,754,679.26</w:t>
            </w:r>
          </w:p>
        </w:tc>
        <w:tc>
          <w:tcPr>
            <w:tcW w:w="1500" w:type="pct"/>
            <w:vAlign w:val="center"/>
          </w:tcPr>
          <w:p w:rsidR="00F41946" w:rsidRDefault="00B42F97">
            <w:pPr>
              <w:spacing w:line="240" w:lineRule="auto"/>
              <w:jc w:val="left"/>
            </w:pPr>
            <w:r>
              <w:rPr>
                <w:rFonts w:ascii="宋体" w:hAnsi="宋体" w:cs="宋体"/>
              </w:rPr>
              <w:t>6,512,623.48</w:t>
            </w:r>
          </w:p>
        </w:tc>
      </w:tr>
      <w:tr w:rsidR="00DB53F8" w:rsidTr="00DB53F8">
        <w:tc>
          <w:tcPr>
            <w:tcW w:w="0" w:type="dxa"/>
            <w:gridSpan w:val="2"/>
          </w:tcPr>
          <w:p w:rsidR="00F41946" w:rsidRDefault="00B42F97">
            <w:pPr>
              <w:spacing w:line="240" w:lineRule="auto"/>
              <w:jc w:val="left"/>
            </w:pPr>
            <w:r>
              <w:rPr>
                <w:rFonts w:ascii="宋体" w:hAnsi="宋体" w:cs="宋体"/>
              </w:rPr>
              <w:t>本次下属分级基金分红方案（单位：元</w:t>
            </w:r>
            <w:r>
              <w:rPr>
                <w:rFonts w:ascii="宋体" w:hAnsi="宋体" w:cs="宋体"/>
              </w:rPr>
              <w:t>/10</w:t>
            </w:r>
            <w:r>
              <w:rPr>
                <w:rFonts w:ascii="宋体" w:hAnsi="宋体" w:cs="宋体"/>
              </w:rPr>
              <w:t>份基金份额）</w:t>
            </w:r>
          </w:p>
        </w:tc>
        <w:tc>
          <w:tcPr>
            <w:tcW w:w="1500" w:type="pct"/>
            <w:vAlign w:val="center"/>
          </w:tcPr>
          <w:p w:rsidR="00F41946" w:rsidRDefault="00B42F97">
            <w:pPr>
              <w:spacing w:line="240" w:lineRule="auto"/>
              <w:jc w:val="left"/>
            </w:pPr>
            <w:r>
              <w:rPr>
                <w:rFonts w:ascii="宋体" w:hAnsi="宋体" w:cs="宋体"/>
              </w:rPr>
              <w:t>0.20</w:t>
            </w:r>
          </w:p>
        </w:tc>
        <w:tc>
          <w:tcPr>
            <w:tcW w:w="1500" w:type="pct"/>
            <w:vAlign w:val="center"/>
          </w:tcPr>
          <w:p w:rsidR="00F41946" w:rsidRDefault="00B42F97">
            <w:pPr>
              <w:spacing w:line="240" w:lineRule="auto"/>
              <w:jc w:val="left"/>
            </w:pPr>
            <w:r>
              <w:rPr>
                <w:rFonts w:ascii="宋体" w:hAnsi="宋体" w:cs="宋体"/>
              </w:rPr>
              <w:t>0.20</w:t>
            </w:r>
          </w:p>
        </w:tc>
      </w:tr>
    </w:tbl>
    <w:p w:rsidR="00F41946" w:rsidRDefault="00F41946"/>
    <w:p w:rsidR="00F41946" w:rsidRDefault="00B42F97">
      <w:pPr>
        <w:pStyle w:val="2"/>
      </w:pPr>
      <w:r>
        <w:rPr>
          <w:rFonts w:ascii="宋体" w:hAnsi="宋体" w:cs="宋体"/>
        </w:rPr>
        <w:t xml:space="preserve">2 </w:t>
      </w:r>
      <w:r>
        <w:rPr>
          <w:rFonts w:ascii="宋体" w:hAnsi="宋体" w:cs="宋体"/>
        </w:rPr>
        <w:t>与分红相关的其他信息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192"/>
      </w:tblGrid>
      <w:tr w:rsidR="00DB53F8" w:rsidTr="00DB53F8">
        <w:tc>
          <w:tcPr>
            <w:tcW w:w="1538" w:type="pct"/>
          </w:tcPr>
          <w:p w:rsidR="00F41946" w:rsidRDefault="00B42F97">
            <w:pPr>
              <w:spacing w:line="240" w:lineRule="auto"/>
              <w:jc w:val="left"/>
            </w:pPr>
            <w:r>
              <w:rPr>
                <w:rFonts w:ascii="宋体" w:hAnsi="宋体" w:cs="宋体"/>
              </w:rPr>
              <w:t>权益登记日</w:t>
            </w:r>
          </w:p>
        </w:tc>
        <w:tc>
          <w:tcPr>
            <w:tcW w:w="3077" w:type="pct"/>
          </w:tcPr>
          <w:p w:rsidR="00F41946" w:rsidRDefault="00B42F97">
            <w:pPr>
              <w:spacing w:line="240" w:lineRule="auto"/>
              <w:jc w:val="left"/>
            </w:pPr>
            <w:r>
              <w:rPr>
                <w:rFonts w:ascii="宋体" w:hAnsi="宋体" w:cs="宋体"/>
              </w:rPr>
              <w:t>2025</w:t>
            </w:r>
            <w:r>
              <w:rPr>
                <w:rFonts w:ascii="宋体" w:hAnsi="宋体" w:cs="宋体"/>
              </w:rPr>
              <w:t>年</w:t>
            </w:r>
            <w:r>
              <w:rPr>
                <w:rFonts w:ascii="宋体" w:hAnsi="宋体" w:cs="宋体"/>
              </w:rPr>
              <w:t>10</w:t>
            </w:r>
            <w:r>
              <w:rPr>
                <w:rFonts w:ascii="宋体" w:hAnsi="宋体" w:cs="宋体"/>
              </w:rPr>
              <w:t>月</w:t>
            </w:r>
            <w:r>
              <w:rPr>
                <w:rFonts w:ascii="宋体" w:hAnsi="宋体" w:cs="宋体"/>
              </w:rPr>
              <w:t>09</w:t>
            </w:r>
            <w:r>
              <w:rPr>
                <w:rFonts w:ascii="宋体" w:hAnsi="宋体" w:cs="宋体"/>
              </w:rPr>
              <w:t>日</w:t>
            </w:r>
          </w:p>
        </w:tc>
      </w:tr>
      <w:tr w:rsidR="00DB53F8" w:rsidTr="00DB53F8">
        <w:tc>
          <w:tcPr>
            <w:tcW w:w="0" w:type="dxa"/>
          </w:tcPr>
          <w:p w:rsidR="00F41946" w:rsidRDefault="00B42F97">
            <w:pPr>
              <w:spacing w:line="240" w:lineRule="auto"/>
              <w:jc w:val="left"/>
            </w:pPr>
            <w:r>
              <w:rPr>
                <w:rFonts w:ascii="宋体" w:hAnsi="宋体" w:cs="宋体"/>
              </w:rPr>
              <w:t>除息日</w:t>
            </w:r>
          </w:p>
        </w:tc>
        <w:tc>
          <w:tcPr>
            <w:tcW w:w="1538" w:type="pct"/>
          </w:tcPr>
          <w:p w:rsidR="00F41946" w:rsidRDefault="00B42F97">
            <w:pPr>
              <w:spacing w:line="240" w:lineRule="auto"/>
              <w:jc w:val="left"/>
            </w:pPr>
            <w:r>
              <w:rPr>
                <w:rFonts w:ascii="宋体" w:hAnsi="宋体" w:cs="宋体"/>
              </w:rPr>
              <w:t>2025</w:t>
            </w:r>
            <w:r>
              <w:rPr>
                <w:rFonts w:ascii="宋体" w:hAnsi="宋体" w:cs="宋体"/>
              </w:rPr>
              <w:t>年</w:t>
            </w:r>
            <w:r>
              <w:rPr>
                <w:rFonts w:ascii="宋体" w:hAnsi="宋体" w:cs="宋体"/>
              </w:rPr>
              <w:t>10</w:t>
            </w:r>
            <w:r>
              <w:rPr>
                <w:rFonts w:ascii="宋体" w:hAnsi="宋体" w:cs="宋体"/>
              </w:rPr>
              <w:t>月</w:t>
            </w:r>
            <w:r>
              <w:rPr>
                <w:rFonts w:ascii="宋体" w:hAnsi="宋体" w:cs="宋体"/>
              </w:rPr>
              <w:t>09</w:t>
            </w:r>
            <w:r>
              <w:rPr>
                <w:rFonts w:ascii="宋体" w:hAnsi="宋体" w:cs="宋体"/>
              </w:rPr>
              <w:t>日</w:t>
            </w:r>
          </w:p>
        </w:tc>
      </w:tr>
      <w:tr w:rsidR="00DB53F8" w:rsidTr="00DB53F8">
        <w:tc>
          <w:tcPr>
            <w:tcW w:w="0" w:type="dxa"/>
          </w:tcPr>
          <w:p w:rsidR="00F41946" w:rsidRDefault="00B42F97">
            <w:pPr>
              <w:spacing w:line="240" w:lineRule="auto"/>
              <w:jc w:val="left"/>
            </w:pPr>
            <w:r>
              <w:rPr>
                <w:rFonts w:ascii="宋体" w:hAnsi="宋体" w:cs="宋体"/>
              </w:rPr>
              <w:t>现金红利发放日</w:t>
            </w:r>
          </w:p>
        </w:tc>
        <w:tc>
          <w:tcPr>
            <w:tcW w:w="0" w:type="dxa"/>
          </w:tcPr>
          <w:p w:rsidR="00F41946" w:rsidRDefault="00B42F97">
            <w:pPr>
              <w:spacing w:line="240" w:lineRule="auto"/>
              <w:jc w:val="left"/>
            </w:pPr>
            <w:r>
              <w:rPr>
                <w:rFonts w:ascii="宋体" w:hAnsi="宋体" w:cs="宋体"/>
              </w:rPr>
              <w:t>2025</w:t>
            </w:r>
            <w:r>
              <w:rPr>
                <w:rFonts w:ascii="宋体" w:hAnsi="宋体" w:cs="宋体"/>
              </w:rPr>
              <w:t>年</w:t>
            </w:r>
            <w:r>
              <w:rPr>
                <w:rFonts w:ascii="宋体" w:hAnsi="宋体" w:cs="宋体"/>
              </w:rPr>
              <w:t>10</w:t>
            </w:r>
            <w:r>
              <w:rPr>
                <w:rFonts w:ascii="宋体" w:hAnsi="宋体" w:cs="宋体"/>
              </w:rPr>
              <w:t>月</w:t>
            </w:r>
            <w:r>
              <w:rPr>
                <w:rFonts w:ascii="宋体" w:hAnsi="宋体" w:cs="宋体"/>
              </w:rPr>
              <w:t>10</w:t>
            </w:r>
            <w:r>
              <w:rPr>
                <w:rFonts w:ascii="宋体" w:hAnsi="宋体" w:cs="宋体"/>
              </w:rPr>
              <w:t>日</w:t>
            </w:r>
          </w:p>
        </w:tc>
      </w:tr>
      <w:tr w:rsidR="00DB53F8" w:rsidTr="00DB53F8">
        <w:tc>
          <w:tcPr>
            <w:tcW w:w="0" w:type="dxa"/>
          </w:tcPr>
          <w:p w:rsidR="00F41946" w:rsidRDefault="00B42F97">
            <w:pPr>
              <w:spacing w:line="240" w:lineRule="auto"/>
              <w:jc w:val="left"/>
            </w:pPr>
            <w:r>
              <w:rPr>
                <w:rFonts w:ascii="宋体" w:hAnsi="宋体" w:cs="宋体"/>
              </w:rPr>
              <w:t>分红对象</w:t>
            </w:r>
          </w:p>
        </w:tc>
        <w:tc>
          <w:tcPr>
            <w:tcW w:w="0" w:type="dxa"/>
          </w:tcPr>
          <w:p w:rsidR="00F41946" w:rsidRDefault="00B42F97">
            <w:pPr>
              <w:spacing w:line="240" w:lineRule="auto"/>
              <w:jc w:val="left"/>
            </w:pPr>
            <w:r>
              <w:rPr>
                <w:rFonts w:ascii="宋体" w:hAnsi="宋体" w:cs="宋体"/>
              </w:rPr>
              <w:t>权益登记日在注册登记机构登记在册的本基金份额持有人</w:t>
            </w:r>
          </w:p>
        </w:tc>
      </w:tr>
      <w:tr w:rsidR="00DB53F8" w:rsidTr="00DB53F8">
        <w:tc>
          <w:tcPr>
            <w:tcW w:w="0" w:type="dxa"/>
          </w:tcPr>
          <w:p w:rsidR="00F41946" w:rsidRDefault="00B42F97">
            <w:pPr>
              <w:spacing w:line="240" w:lineRule="auto"/>
              <w:jc w:val="left"/>
            </w:pPr>
            <w:r>
              <w:rPr>
                <w:rFonts w:ascii="宋体" w:hAnsi="宋体" w:cs="宋体"/>
              </w:rPr>
              <w:t>红利再投资相关事项的说明</w:t>
            </w:r>
          </w:p>
        </w:tc>
        <w:tc>
          <w:tcPr>
            <w:tcW w:w="0" w:type="dxa"/>
          </w:tcPr>
          <w:p w:rsidR="00F41946" w:rsidRDefault="00B42F97">
            <w:pPr>
              <w:spacing w:line="240" w:lineRule="auto"/>
              <w:jc w:val="left"/>
            </w:pPr>
            <w:r>
              <w:rPr>
                <w:rFonts w:ascii="宋体" w:hAnsi="宋体" w:cs="宋体"/>
              </w:rPr>
              <w:t>选择红利再投资方式的投资者所转换的基金份额将以</w:t>
            </w:r>
            <w:r>
              <w:rPr>
                <w:rFonts w:ascii="宋体" w:hAnsi="宋体" w:cs="宋体"/>
              </w:rPr>
              <w:t>2025</w:t>
            </w:r>
            <w:r>
              <w:rPr>
                <w:rFonts w:ascii="宋体" w:hAnsi="宋体" w:cs="宋体"/>
              </w:rPr>
              <w:t>年</w:t>
            </w:r>
            <w:r>
              <w:rPr>
                <w:rFonts w:ascii="宋体" w:hAnsi="宋体" w:cs="宋体"/>
              </w:rPr>
              <w:t>10</w:t>
            </w:r>
            <w:r>
              <w:rPr>
                <w:rFonts w:ascii="宋体" w:hAnsi="宋体" w:cs="宋体"/>
              </w:rPr>
              <w:t>月</w:t>
            </w:r>
            <w:r>
              <w:rPr>
                <w:rFonts w:ascii="宋体" w:hAnsi="宋体" w:cs="宋体"/>
              </w:rPr>
              <w:t>09</w:t>
            </w:r>
            <w:r>
              <w:rPr>
                <w:rFonts w:ascii="宋体" w:hAnsi="宋体" w:cs="宋体"/>
              </w:rPr>
              <w:t>日的基金份额净值为计算基准确定再投资份额，红利再投资所转换的基金份额于</w:t>
            </w:r>
            <w:r>
              <w:rPr>
                <w:rFonts w:ascii="宋体" w:hAnsi="宋体" w:cs="宋体"/>
              </w:rPr>
              <w:t>2025</w:t>
            </w:r>
            <w:r>
              <w:rPr>
                <w:rFonts w:ascii="宋体" w:hAnsi="宋体" w:cs="宋体"/>
              </w:rPr>
              <w:t>年</w:t>
            </w:r>
            <w:r>
              <w:rPr>
                <w:rFonts w:ascii="宋体" w:hAnsi="宋体" w:cs="宋体"/>
              </w:rPr>
              <w:t>10</w:t>
            </w:r>
            <w:r>
              <w:rPr>
                <w:rFonts w:ascii="宋体" w:hAnsi="宋体" w:cs="宋体"/>
              </w:rPr>
              <w:t>月</w:t>
            </w:r>
            <w:r>
              <w:rPr>
                <w:rFonts w:ascii="宋体" w:hAnsi="宋体" w:cs="宋体"/>
              </w:rPr>
              <w:t>10</w:t>
            </w:r>
            <w:r>
              <w:rPr>
                <w:rFonts w:ascii="宋体" w:hAnsi="宋体" w:cs="宋体"/>
              </w:rPr>
              <w:t>日直接划入其基金账户，并可以在基金规定的开放运作期内赎回。</w:t>
            </w:r>
          </w:p>
        </w:tc>
      </w:tr>
      <w:tr w:rsidR="00DB53F8" w:rsidTr="00DB53F8">
        <w:tc>
          <w:tcPr>
            <w:tcW w:w="0" w:type="dxa"/>
          </w:tcPr>
          <w:p w:rsidR="00F41946" w:rsidRDefault="00B42F97">
            <w:pPr>
              <w:spacing w:line="240" w:lineRule="auto"/>
              <w:jc w:val="left"/>
            </w:pPr>
            <w:r>
              <w:rPr>
                <w:rFonts w:ascii="宋体" w:hAnsi="宋体" w:cs="宋体"/>
              </w:rPr>
              <w:t>税收相关事项的说明</w:t>
            </w:r>
          </w:p>
        </w:tc>
        <w:tc>
          <w:tcPr>
            <w:tcW w:w="0" w:type="dxa"/>
          </w:tcPr>
          <w:p w:rsidR="00F41946" w:rsidRDefault="00B42F97">
            <w:pPr>
              <w:spacing w:line="240" w:lineRule="auto"/>
              <w:jc w:val="left"/>
            </w:pPr>
            <w:r>
              <w:rPr>
                <w:rFonts w:ascii="宋体" w:hAnsi="宋体" w:cs="宋体"/>
              </w:rPr>
              <w:t>根据相关法律法规规定，基金向投资者分配的基金收益，</w:t>
            </w:r>
            <w:r>
              <w:rPr>
                <w:rFonts w:ascii="宋体" w:hAnsi="宋体" w:cs="宋体"/>
              </w:rPr>
              <w:t xml:space="preserve"> </w:t>
            </w:r>
            <w:r>
              <w:rPr>
                <w:rFonts w:ascii="宋体" w:hAnsi="宋体" w:cs="宋体"/>
              </w:rPr>
              <w:t>暂不征收所得税。</w:t>
            </w:r>
          </w:p>
        </w:tc>
      </w:tr>
      <w:tr w:rsidR="00DB53F8" w:rsidTr="00DB53F8">
        <w:tc>
          <w:tcPr>
            <w:tcW w:w="0" w:type="dxa"/>
          </w:tcPr>
          <w:p w:rsidR="00F41946" w:rsidRDefault="00B42F97">
            <w:pPr>
              <w:spacing w:line="240" w:lineRule="auto"/>
              <w:jc w:val="left"/>
            </w:pPr>
            <w:r>
              <w:rPr>
                <w:rFonts w:ascii="宋体" w:hAnsi="宋体" w:cs="宋体"/>
              </w:rPr>
              <w:t>费用相关事项的说明</w:t>
            </w:r>
          </w:p>
        </w:tc>
        <w:tc>
          <w:tcPr>
            <w:tcW w:w="0" w:type="dxa"/>
          </w:tcPr>
          <w:p w:rsidR="00F41946" w:rsidRDefault="00B42F97">
            <w:pPr>
              <w:spacing w:line="240" w:lineRule="auto"/>
              <w:jc w:val="left"/>
            </w:pPr>
            <w:r>
              <w:rPr>
                <w:rFonts w:ascii="宋体" w:hAnsi="宋体" w:cs="宋体"/>
              </w:rPr>
              <w:t>本基金本次分红免收分红手续费，选择红利再投资方式的投资者</w:t>
            </w:r>
            <w:r>
              <w:rPr>
                <w:rFonts w:ascii="宋体" w:hAnsi="宋体" w:cs="宋体"/>
              </w:rPr>
              <w:lastRenderedPageBreak/>
              <w:t>其红利所转换的基金份额免收申购费用。</w:t>
            </w:r>
          </w:p>
        </w:tc>
      </w:tr>
    </w:tbl>
    <w:p w:rsidR="00F41946" w:rsidRDefault="00B42F97">
      <w:r>
        <w:rPr>
          <w:rFonts w:ascii="宋体" w:hAnsi="宋体" w:cs="宋体"/>
        </w:rPr>
        <w:lastRenderedPageBreak/>
        <w:t>注：选择现金红利方式的投资者的红利款将于现金红利发放日自基金托管户划出。本次收益分配方案已经本基金托管人复核。</w:t>
      </w:r>
    </w:p>
    <w:p w:rsidR="00F41946" w:rsidRDefault="00F41946"/>
    <w:p w:rsidR="00F41946" w:rsidRDefault="00B42F97">
      <w:pPr>
        <w:pStyle w:val="2"/>
      </w:pPr>
      <w:r>
        <w:rPr>
          <w:rFonts w:ascii="宋体" w:hAnsi="宋体" w:cs="宋体"/>
        </w:rPr>
        <w:t xml:space="preserve">3 </w:t>
      </w:r>
      <w:r>
        <w:rPr>
          <w:rFonts w:ascii="宋体" w:hAnsi="宋体" w:cs="宋体"/>
        </w:rPr>
        <w:t>其他需要提示的事项</w:t>
      </w:r>
    </w:p>
    <w:p w:rsidR="00F41946" w:rsidRDefault="00B42F97">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）本基金收益分配方式分两种：现金分红与红利再投资，投资者可选择现金红利或将现金红利自动转为基金份额进行再投资；若投资者不选择，本基金默认的收益分配方式是现金分红。本次分红确认</w:t>
      </w:r>
      <w:r>
        <w:rPr>
          <w:rFonts w:ascii="宋体" w:hAnsi="宋体" w:cs="宋体"/>
        </w:rPr>
        <w:t>的方式将按照权益登记日投资者持有的基金份额在泉果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分红无效。如投资者在多家销售机构购买了本基金，其在任一家销售机构所做的基金份额的分红方式变更，只适用于该销售机构指定交易账户下托管的基金份额。</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）投资者可以通过拨打泉果基金管理有限公司客户服务热线</w:t>
      </w:r>
      <w:r>
        <w:rPr>
          <w:rFonts w:ascii="宋体" w:hAnsi="宋体" w:cs="宋体"/>
        </w:rPr>
        <w:t>400-158-6599</w:t>
      </w:r>
      <w:r>
        <w:rPr>
          <w:rFonts w:ascii="宋体" w:hAnsi="宋体" w:cs="宋体"/>
        </w:rPr>
        <w:t>，或登陆网站</w:t>
      </w:r>
      <w:r>
        <w:rPr>
          <w:rFonts w:ascii="宋体" w:hAnsi="宋体" w:cs="宋体"/>
        </w:rPr>
        <w:t>www.qgfu</w:t>
      </w:r>
      <w:r>
        <w:rPr>
          <w:rFonts w:ascii="宋体" w:hAnsi="宋体" w:cs="宋体"/>
        </w:rPr>
        <w:t>nd.com</w:t>
      </w:r>
      <w:r>
        <w:rPr>
          <w:rFonts w:ascii="宋体" w:hAnsi="宋体" w:cs="宋体"/>
        </w:rPr>
        <w:t>、</w:t>
      </w:r>
      <w:r>
        <w:rPr>
          <w:rFonts w:ascii="宋体" w:hAnsi="宋体" w:cs="宋体"/>
        </w:rPr>
        <w:t>“</w:t>
      </w:r>
      <w:r>
        <w:rPr>
          <w:rFonts w:ascii="宋体" w:hAnsi="宋体" w:cs="宋体"/>
        </w:rPr>
        <w:t>泉果基金</w:t>
      </w:r>
      <w:r>
        <w:rPr>
          <w:rFonts w:ascii="宋体" w:hAnsi="宋体" w:cs="宋体"/>
        </w:rPr>
        <w:t>”APP</w:t>
      </w:r>
      <w:r>
        <w:rPr>
          <w:rFonts w:ascii="宋体" w:hAnsi="宋体" w:cs="宋体"/>
        </w:rPr>
        <w:t>了解相关情况。投资者也可以前往本基金有关销售机构进行咨询。本基金的销售机构详见基金管理人网站公示。</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基金管理人管理的其他基金的业绩及投资人员的过往业绩也不构成对基金业绩表现的保证。敬请投资者于投资前认真阅读基金的《基金合同》</w:t>
      </w:r>
      <w:r>
        <w:rPr>
          <w:rFonts w:ascii="宋体" w:hAnsi="宋体" w:cs="宋体"/>
        </w:rPr>
        <w:t>、《招募说明书》及《基金产品资料概要》等信息披露文件，全面认识基金产品的风险收益特征和产品特性，自主判断基金的投资价值，并根据自身的投资目的、投资期限、投资经验、资产状况等判断基金是否和自身的风险承受能力相适。基金投资需谨慎，敬请投资者注意投资风险。</w:t>
      </w:r>
      <w:r>
        <w:rPr>
          <w:rFonts w:ascii="宋体" w:hAnsi="宋体" w:cs="宋体"/>
        </w:rPr>
        <w:cr/>
        <w:t xml:space="preserve">    </w:t>
      </w:r>
      <w:r>
        <w:rPr>
          <w:rFonts w:ascii="宋体" w:hAnsi="宋体" w:cs="宋体"/>
        </w:rPr>
        <w:t>特此公告。</w:t>
      </w:r>
    </w:p>
    <w:p w:rsidR="00F41946" w:rsidRDefault="00F41946"/>
    <w:p w:rsidR="00F41946" w:rsidRDefault="00B42F97">
      <w:pPr>
        <w:jc w:val="right"/>
      </w:pPr>
      <w:r>
        <w:rPr>
          <w:rFonts w:ascii="宋体" w:hAnsi="宋体" w:cs="宋体"/>
        </w:rPr>
        <w:t>泉果基金管理有限公司</w:t>
      </w:r>
    </w:p>
    <w:p w:rsidR="00F41946" w:rsidRDefault="00B42F97">
      <w:pPr>
        <w:jc w:val="right"/>
      </w:pPr>
      <w:r>
        <w:rPr>
          <w:rFonts w:ascii="宋体" w:hAnsi="宋体" w:cs="宋体"/>
        </w:rPr>
        <w:t>2025</w:t>
      </w:r>
      <w:r>
        <w:rPr>
          <w:rFonts w:ascii="宋体" w:hAnsi="宋体" w:cs="宋体"/>
        </w:rPr>
        <w:t>年</w:t>
      </w:r>
      <w:r>
        <w:rPr>
          <w:rFonts w:ascii="宋体" w:hAnsi="宋体" w:cs="宋体"/>
        </w:rPr>
        <w:t>10</w:t>
      </w:r>
      <w:r>
        <w:rPr>
          <w:rFonts w:ascii="宋体" w:hAnsi="宋体" w:cs="宋体"/>
        </w:rPr>
        <w:t>月</w:t>
      </w:r>
      <w:r>
        <w:rPr>
          <w:rFonts w:ascii="宋体" w:hAnsi="宋体" w:cs="宋体"/>
        </w:rPr>
        <w:t>09</w:t>
      </w:r>
      <w:r>
        <w:rPr>
          <w:rFonts w:ascii="宋体" w:hAnsi="宋体" w:cs="宋体"/>
        </w:rPr>
        <w:t>日</w:t>
      </w:r>
    </w:p>
    <w:sectPr w:rsidR="00F41946" w:rsidSect="00CA1BCD">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294" w:rsidRDefault="00D62294">
      <w:r>
        <w:separator/>
      </w:r>
    </w:p>
  </w:endnote>
  <w:endnote w:type="continuationSeparator" w:id="0">
    <w:p w:rsidR="00D62294" w:rsidRDefault="00D6229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pPr>
      <w:pStyle w:val="aa"/>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Pr="004F35B6" w:rsidRDefault="00C90B80">
    <w:pPr>
      <w:pBdr>
        <w:top w:val="single" w:sz="2" w:space="0" w:color="auto"/>
      </w:pBdr>
      <w:tabs>
        <w:tab w:val="right" w:pos="8640"/>
      </w:tabs>
      <w:jc w:val="center"/>
      <w:textAlignment w:val="center"/>
      <w:rPr>
        <w:rFonts w:ascii="宋体" w:hAnsi="宋体"/>
        <w:sz w:val="20"/>
        <w:szCs w:val="20"/>
      </w:rPr>
    </w:pPr>
    <w:r w:rsidRPr="004F35B6">
      <w:rPr>
        <w:rFonts w:ascii="宋体" w:hAnsi="宋体" w:cs="宋体" w:hint="eastAsia"/>
        <w:sz w:val="20"/>
        <w:szCs w:val="20"/>
        <w:lang/>
      </w:rPr>
      <w:t>第</w:t>
    </w:r>
    <w:r w:rsidR="00CA1BCD" w:rsidRPr="00CA1BCD">
      <w:rPr>
        <w:rFonts w:ascii="宋体" w:hAnsi="宋体" w:cs="Times New Roman" w:hint="eastAsia"/>
        <w:sz w:val="20"/>
        <w:szCs w:val="20"/>
        <w:lang/>
      </w:rPr>
      <w:fldChar w:fldCharType="begin"/>
    </w:r>
    <w:r w:rsidRPr="004F35B6">
      <w:rPr>
        <w:rFonts w:ascii="宋体" w:hAnsi="宋体" w:cs="宋体" w:hint="eastAsia"/>
        <w:sz w:val="20"/>
        <w:szCs w:val="20"/>
        <w:lang/>
      </w:rPr>
      <w:instrText>PAGE  \* MERGEFORMAT</w:instrText>
    </w:r>
    <w:r w:rsidR="00CA1BCD" w:rsidRPr="00CA1BCD">
      <w:rPr>
        <w:rFonts w:ascii="宋体" w:hAnsi="宋体" w:cs="Times New Roman" w:hint="eastAsia"/>
        <w:sz w:val="20"/>
        <w:szCs w:val="20"/>
        <w:lang/>
      </w:rPr>
      <w:fldChar w:fldCharType="separate"/>
    </w:r>
    <w:r w:rsidR="00B42F97">
      <w:rPr>
        <w:rFonts w:ascii="宋体" w:hAnsi="宋体" w:cs="宋体"/>
        <w:noProof/>
        <w:sz w:val="20"/>
        <w:szCs w:val="20"/>
        <w:lang/>
      </w:rPr>
      <w:t>1</w:t>
    </w:r>
    <w:r w:rsidR="00CA1BCD" w:rsidRPr="004F35B6">
      <w:rPr>
        <w:rFonts w:ascii="宋体" w:hAnsi="宋体" w:cs="宋体" w:hint="eastAsia"/>
        <w:sz w:val="20"/>
        <w:szCs w:val="20"/>
        <w:lang/>
      </w:rPr>
      <w:fldChar w:fldCharType="end"/>
    </w:r>
    <w:r w:rsidRPr="004F35B6">
      <w:rPr>
        <w:rFonts w:ascii="宋体" w:hAnsi="宋体" w:cs="宋体" w:hint="eastAsia"/>
        <w:sz w:val="20"/>
        <w:szCs w:val="20"/>
        <w:lang/>
      </w:rPr>
      <w:t>页，共</w:t>
    </w:r>
    <w:fldSimple w:instr="NUMPAGES  \* MERGEFORMAT ">
      <w:r w:rsidR="00B42F97">
        <w:rPr>
          <w:rFonts w:ascii="宋体" w:hAnsi="宋体" w:cs="宋体"/>
          <w:noProof/>
          <w:sz w:val="20"/>
          <w:szCs w:val="20"/>
          <w:lang/>
        </w:rPr>
        <w:t>1</w:t>
      </w:r>
    </w:fldSimple>
    <w:r w:rsidRPr="004F35B6">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pPr>
      <w:pStyle w:val="aa"/>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294" w:rsidRDefault="00D62294">
      <w:r>
        <w:separator/>
      </w:r>
    </w:p>
  </w:footnote>
  <w:footnote w:type="continuationSeparator" w:id="0">
    <w:p w:rsidR="00D62294" w:rsidRDefault="00D622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Default="00C90B80">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泉果研究精选混合型证券投资基金分红公告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42F97"/>
    <w:rsid w:val="00B53886"/>
    <w:rsid w:val="00B659D3"/>
    <w:rsid w:val="00BD2190"/>
    <w:rsid w:val="00BD2BC1"/>
    <w:rsid w:val="00C05CA1"/>
    <w:rsid w:val="00C06BEF"/>
    <w:rsid w:val="00C15EFA"/>
    <w:rsid w:val="00C563A3"/>
    <w:rsid w:val="00C6706A"/>
    <w:rsid w:val="00C84B5D"/>
    <w:rsid w:val="00C90B80"/>
    <w:rsid w:val="00CA1BCD"/>
    <w:rsid w:val="00CC4CE4"/>
    <w:rsid w:val="00D04B24"/>
    <w:rsid w:val="00D62294"/>
    <w:rsid w:val="00D91EBF"/>
    <w:rsid w:val="00DB53F8"/>
    <w:rsid w:val="00DC5E2B"/>
    <w:rsid w:val="00DE3FE0"/>
    <w:rsid w:val="00DF1D38"/>
    <w:rsid w:val="00E220FA"/>
    <w:rsid w:val="00E24BF6"/>
    <w:rsid w:val="00E34F85"/>
    <w:rsid w:val="00E371F8"/>
    <w:rsid w:val="00E913D3"/>
    <w:rsid w:val="00F1496B"/>
    <w:rsid w:val="00F17E43"/>
    <w:rsid w:val="00F32DCB"/>
    <w:rsid w:val="00F41946"/>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Char"/>
    <w:uiPriority w:val="9"/>
    <w:qFormat/>
    <w:rsid w:val="00441487"/>
    <w:pPr>
      <w:adjustRightInd w:val="0"/>
      <w:spacing w:line="360" w:lineRule="auto"/>
      <w:jc w:val="left"/>
      <w:outlineLvl w:val="0"/>
    </w:pPr>
    <w:rPr>
      <w:b/>
      <w:bCs/>
      <w:sz w:val="24"/>
      <w:szCs w:val="44"/>
    </w:rPr>
  </w:style>
  <w:style w:type="paragraph" w:styleId="2">
    <w:name w:val="heading 2"/>
    <w:aliases w:val="2"/>
    <w:basedOn w:val="a"/>
    <w:next w:val="a"/>
    <w:link w:val="2Char"/>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Char"/>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Char">
    <w:name w:val="标题 1 Char"/>
    <w:aliases w:val="1 Char"/>
    <w:basedOn w:val="a0"/>
    <w:link w:val="1"/>
    <w:uiPriority w:val="9"/>
    <w:qFormat/>
    <w:rsid w:val="00441487"/>
    <w:rPr>
      <w:rFonts w:eastAsia="宋体"/>
      <w:b/>
      <w:bCs/>
      <w:sz w:val="24"/>
      <w:szCs w:val="44"/>
    </w:rPr>
  </w:style>
  <w:style w:type="character" w:customStyle="1" w:styleId="2Char">
    <w:name w:val="标题 2 Char"/>
    <w:aliases w:val="2 Char"/>
    <w:basedOn w:val="a0"/>
    <w:link w:val="2"/>
    <w:uiPriority w:val="9"/>
    <w:rsid w:val="00A5263B"/>
    <w:rPr>
      <w:rFonts w:asciiTheme="majorHAnsi" w:eastAsia="宋体" w:hAnsiTheme="majorHAnsi" w:cstheme="majorBidi"/>
      <w:b/>
      <w:bCs/>
      <w:sz w:val="24"/>
      <w:szCs w:val="32"/>
    </w:rPr>
  </w:style>
  <w:style w:type="character" w:customStyle="1" w:styleId="3Char">
    <w:name w:val="标题 3 Char"/>
    <w:aliases w:val="3 Char"/>
    <w:basedOn w:val="a0"/>
    <w:link w:val="3"/>
    <w:uiPriority w:val="9"/>
    <w:rsid w:val="00A5263B"/>
    <w:rPr>
      <w:rFonts w:eastAsia="宋体"/>
      <w:b/>
      <w:bCs/>
      <w:sz w:val="24"/>
      <w:szCs w:val="32"/>
    </w:rPr>
  </w:style>
  <w:style w:type="character" w:customStyle="1" w:styleId="4Char">
    <w:name w:val="标题 4 Char"/>
    <w:basedOn w:val="a0"/>
    <w:link w:val="4"/>
    <w:uiPriority w:val="9"/>
    <w:semiHidden/>
    <w:rsid w:val="004A5321"/>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0">
    <w:name w:val="toc 2"/>
    <w:basedOn w:val="a"/>
    <w:next w:val="a"/>
    <w:autoRedefine/>
    <w:uiPriority w:val="39"/>
    <w:unhideWhenUsed/>
    <w:rsid w:val="002E045B"/>
    <w:pPr>
      <w:spacing w:line="240" w:lineRule="auto"/>
      <w:ind w:left="210"/>
      <w:jc w:val="left"/>
    </w:pPr>
    <w:rPr>
      <w:smallCaps/>
      <w:szCs w:val="20"/>
    </w:rPr>
  </w:style>
  <w:style w:type="paragraph" w:styleId="30">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Char0"/>
    <w:uiPriority w:val="99"/>
    <w:semiHidden/>
    <w:unhideWhenUsed/>
    <w:rsid w:val="004A5321"/>
    <w:pPr>
      <w:ind w:firstLineChars="200" w:firstLine="420"/>
    </w:pPr>
  </w:style>
  <w:style w:type="character" w:customStyle="1" w:styleId="Char0">
    <w:name w:val="正文缩进 Char"/>
    <w:link w:val="a4"/>
    <w:uiPriority w:val="99"/>
    <w:semiHidden/>
    <w:qFormat/>
    <w:rsid w:val="004A5321"/>
    <w:rPr>
      <w:rFonts w:asciiTheme="minorHAnsi" w:eastAsiaTheme="minorEastAsia" w:hAnsiTheme="minorHAnsi" w:cstheme="minorBidi"/>
      <w:sz w:val="21"/>
      <w:szCs w:val="22"/>
    </w:rPr>
  </w:style>
  <w:style w:type="paragraph" w:styleId="a5">
    <w:name w:val="annotation text"/>
    <w:basedOn w:val="a"/>
    <w:link w:val="Char1"/>
    <w:uiPriority w:val="99"/>
    <w:semiHidden/>
    <w:unhideWhenUsed/>
    <w:rsid w:val="004A5321"/>
    <w:pPr>
      <w:jc w:val="left"/>
    </w:pPr>
  </w:style>
  <w:style w:type="character" w:customStyle="1" w:styleId="Char1">
    <w:name w:val="批注文字 Char"/>
    <w:basedOn w:val="a0"/>
    <w:link w:val="a5"/>
    <w:uiPriority w:val="99"/>
    <w:semiHidden/>
    <w:rsid w:val="004A5321"/>
    <w:rPr>
      <w:rFonts w:asciiTheme="minorHAnsi" w:eastAsiaTheme="minorEastAsia" w:hAnsiTheme="minorHAnsi" w:cstheme="minorBidi"/>
      <w:sz w:val="21"/>
      <w:szCs w:val="22"/>
    </w:rPr>
  </w:style>
  <w:style w:type="paragraph" w:styleId="a6">
    <w:name w:val="header"/>
    <w:basedOn w:val="a"/>
    <w:link w:val="Char2"/>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A5321"/>
    <w:rPr>
      <w:rFonts w:asciiTheme="minorHAnsi" w:eastAsiaTheme="minorEastAsia" w:hAnsiTheme="minorHAnsi" w:cstheme="minorBidi"/>
      <w:sz w:val="18"/>
      <w:szCs w:val="18"/>
    </w:rPr>
  </w:style>
  <w:style w:type="paragraph" w:styleId="a7">
    <w:name w:val="footer"/>
    <w:basedOn w:val="a"/>
    <w:link w:val="Char3"/>
    <w:uiPriority w:val="99"/>
    <w:unhideWhenUsed/>
    <w:rsid w:val="004A5321"/>
    <w:pPr>
      <w:tabs>
        <w:tab w:val="center" w:pos="4153"/>
        <w:tab w:val="right" w:pos="8306"/>
      </w:tabs>
      <w:snapToGrid w:val="0"/>
      <w:jc w:val="left"/>
    </w:pPr>
    <w:rPr>
      <w:sz w:val="18"/>
      <w:szCs w:val="18"/>
    </w:rPr>
  </w:style>
  <w:style w:type="character" w:customStyle="1" w:styleId="Char3">
    <w:name w:val="页脚 Char"/>
    <w:basedOn w:val="a0"/>
    <w:link w:val="a7"/>
    <w:uiPriority w:val="99"/>
    <w:rsid w:val="004A5321"/>
    <w:rPr>
      <w:rFonts w:asciiTheme="minorHAnsi" w:eastAsiaTheme="minorEastAsia" w:hAnsiTheme="minorHAnsi" w:cstheme="minorBidi"/>
      <w:sz w:val="18"/>
      <w:szCs w:val="18"/>
    </w:rPr>
  </w:style>
  <w:style w:type="character" w:styleId="a8">
    <w:name w:val="annotation reference"/>
    <w:basedOn w:val="a0"/>
    <w:uiPriority w:val="99"/>
    <w:semiHidden/>
    <w:unhideWhenUsed/>
    <w:rsid w:val="004A5321"/>
    <w:rPr>
      <w:sz w:val="21"/>
      <w:szCs w:val="21"/>
    </w:rPr>
  </w:style>
  <w:style w:type="paragraph" w:styleId="a9">
    <w:name w:val="Body Text"/>
    <w:basedOn w:val="a"/>
    <w:link w:val="Char4"/>
    <w:uiPriority w:val="99"/>
    <w:semiHidden/>
    <w:unhideWhenUsed/>
    <w:rsid w:val="004A5321"/>
    <w:pPr>
      <w:spacing w:after="120"/>
    </w:pPr>
  </w:style>
  <w:style w:type="character" w:customStyle="1" w:styleId="Char4">
    <w:name w:val="正文文本 Char"/>
    <w:basedOn w:val="a0"/>
    <w:link w:val="a9"/>
    <w:uiPriority w:val="99"/>
    <w:semiHidden/>
    <w:rsid w:val="004A5321"/>
    <w:rPr>
      <w:rFonts w:asciiTheme="minorHAnsi" w:eastAsiaTheme="minorEastAsia" w:hAnsiTheme="minorHAnsi" w:cstheme="minorBidi"/>
      <w:sz w:val="21"/>
      <w:szCs w:val="22"/>
    </w:rPr>
  </w:style>
  <w:style w:type="paragraph" w:styleId="aa">
    <w:name w:val="Date"/>
    <w:basedOn w:val="a"/>
    <w:next w:val="a"/>
    <w:link w:val="Char5"/>
    <w:uiPriority w:val="99"/>
    <w:semiHidden/>
    <w:unhideWhenUsed/>
    <w:rsid w:val="004A5321"/>
    <w:pPr>
      <w:ind w:leftChars="2500" w:left="100"/>
    </w:pPr>
  </w:style>
  <w:style w:type="character" w:customStyle="1" w:styleId="Char5">
    <w:name w:val="日期 Char"/>
    <w:basedOn w:val="a0"/>
    <w:link w:val="aa"/>
    <w:uiPriority w:val="99"/>
    <w:semiHidden/>
    <w:rsid w:val="004A5321"/>
    <w:rPr>
      <w:rFonts w:asciiTheme="minorHAnsi" w:eastAsiaTheme="minorEastAsia" w:hAnsiTheme="minorHAnsi" w:cstheme="minorBidi"/>
      <w:sz w:val="21"/>
      <w:szCs w:val="22"/>
    </w:rPr>
  </w:style>
  <w:style w:type="character" w:styleId="ab">
    <w:name w:val="Hyperlink"/>
    <w:basedOn w:val="a0"/>
    <w:uiPriority w:val="99"/>
    <w:unhideWhenUsed/>
    <w:rsid w:val="004A5321"/>
    <w:rPr>
      <w:color w:val="0000FF"/>
      <w:u w:val="single"/>
    </w:rPr>
  </w:style>
  <w:style w:type="character" w:styleId="ac">
    <w:name w:val="Strong"/>
    <w:basedOn w:val="a0"/>
    <w:uiPriority w:val="22"/>
    <w:qFormat/>
    <w:rsid w:val="004A5321"/>
    <w:rPr>
      <w:b/>
      <w:bCs/>
    </w:rPr>
  </w:style>
  <w:style w:type="paragraph" w:styleId="ad">
    <w:name w:val="Plain Text"/>
    <w:basedOn w:val="a"/>
    <w:link w:val="Char6"/>
    <w:uiPriority w:val="99"/>
    <w:semiHidden/>
    <w:unhideWhenUsed/>
    <w:rsid w:val="004A5321"/>
    <w:rPr>
      <w:rFonts w:asciiTheme="minorEastAsia" w:hAnsi="Courier New" w:cs="Courier New"/>
    </w:rPr>
  </w:style>
  <w:style w:type="character" w:customStyle="1" w:styleId="Char6">
    <w:name w:val="纯文本 Char"/>
    <w:basedOn w:val="a0"/>
    <w:link w:val="ad"/>
    <w:uiPriority w:val="99"/>
    <w:semiHidden/>
    <w:rsid w:val="004A5321"/>
    <w:rPr>
      <w:rFonts w:asciiTheme="minorEastAsia" w:eastAsiaTheme="minorEastAsia" w:hAnsi="Courier New" w:cs="Courier New"/>
      <w:sz w:val="21"/>
      <w:szCs w:val="22"/>
    </w:rPr>
  </w:style>
  <w:style w:type="paragraph" w:styleId="ae">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
    <w:name w:val="annotation subject"/>
    <w:basedOn w:val="a5"/>
    <w:next w:val="a5"/>
    <w:link w:val="Char7"/>
    <w:uiPriority w:val="99"/>
    <w:semiHidden/>
    <w:unhideWhenUsed/>
    <w:rsid w:val="004A5321"/>
    <w:rPr>
      <w:b/>
      <w:bCs/>
    </w:rPr>
  </w:style>
  <w:style w:type="character" w:customStyle="1" w:styleId="Char7">
    <w:name w:val="批注主题 Char"/>
    <w:basedOn w:val="Char1"/>
    <w:link w:val="af"/>
    <w:uiPriority w:val="99"/>
    <w:semiHidden/>
    <w:rsid w:val="004A5321"/>
    <w:rPr>
      <w:rFonts w:asciiTheme="minorHAnsi" w:eastAsiaTheme="minorEastAsia" w:hAnsiTheme="minorHAnsi" w:cstheme="minorBidi"/>
      <w:b/>
      <w:bCs/>
      <w:sz w:val="21"/>
      <w:szCs w:val="22"/>
    </w:rPr>
  </w:style>
  <w:style w:type="paragraph" w:styleId="af0">
    <w:name w:val="Balloon Text"/>
    <w:basedOn w:val="a"/>
    <w:link w:val="Char8"/>
    <w:uiPriority w:val="99"/>
    <w:semiHidden/>
    <w:unhideWhenUsed/>
    <w:rsid w:val="004A5321"/>
    <w:rPr>
      <w:sz w:val="18"/>
      <w:szCs w:val="18"/>
    </w:rPr>
  </w:style>
  <w:style w:type="character" w:customStyle="1" w:styleId="Char8">
    <w:name w:val="批注框文本 Char"/>
    <w:basedOn w:val="a0"/>
    <w:link w:val="af0"/>
    <w:uiPriority w:val="99"/>
    <w:semiHidden/>
    <w:rsid w:val="004A5321"/>
    <w:rPr>
      <w:rFonts w:asciiTheme="minorHAnsi" w:eastAsiaTheme="minorEastAsia" w:hAnsiTheme="minorHAnsi" w:cstheme="minorBidi"/>
      <w:sz w:val="18"/>
      <w:szCs w:val="18"/>
    </w:rPr>
  </w:style>
  <w:style w:type="table" w:styleId="af1">
    <w:name w:val="Table Grid"/>
    <w:basedOn w:val="a1"/>
    <w:uiPriority w:val="39"/>
    <w:rsid w:val="004A53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2">
    <w:name w:val="List Paragraph"/>
    <w:basedOn w:val="a"/>
    <w:uiPriority w:val="34"/>
    <w:qFormat/>
    <w:rsid w:val="004A5321"/>
    <w:pPr>
      <w:ind w:firstLineChars="200" w:firstLine="420"/>
    </w:pPr>
  </w:style>
  <w:style w:type="paragraph" w:styleId="af3">
    <w:name w:val="Title"/>
    <w:basedOn w:val="a"/>
    <w:next w:val="a"/>
    <w:link w:val="Char9"/>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Char9">
    <w:name w:val="标题 Char"/>
    <w:basedOn w:val="a0"/>
    <w:link w:val="af3"/>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40">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4">
    <w:name w:val="Document Map"/>
    <w:basedOn w:val="a"/>
    <w:link w:val="Chara"/>
    <w:uiPriority w:val="99"/>
    <w:semiHidden/>
    <w:unhideWhenUsed/>
    <w:rsid w:val="001A4FE5"/>
    <w:rPr>
      <w:rFonts w:ascii="宋体"/>
      <w:sz w:val="18"/>
      <w:szCs w:val="18"/>
    </w:rPr>
  </w:style>
  <w:style w:type="character" w:customStyle="1" w:styleId="Chara">
    <w:name w:val="文档结构图 Char"/>
    <w:basedOn w:val="a0"/>
    <w:link w:val="af4"/>
    <w:uiPriority w:val="99"/>
    <w:semiHidden/>
    <w:rsid w:val="001A4FE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1428</Characters>
  <Application>Microsoft Office Word</Application>
  <DocSecurity>4</DocSecurity>
  <Lines>11</Lines>
  <Paragraphs>3</Paragraphs>
  <ScaleCrop>false</ScaleCrop>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2025-09-30T16:01:00Z</dcterms:created>
  <dcterms:modified xsi:type="dcterms:W3CDTF">2025-09-30T16:01:00Z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28566CE78C6918B966EB2066D65C6581_42</vt:lpwstr>
  </property>
</Properties>
</file>