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EB" w:rsidRPr="00AC6F67" w:rsidRDefault="000148EB" w:rsidP="00671103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000000"/>
          <w:kern w:val="0"/>
          <w:sz w:val="28"/>
          <w:szCs w:val="28"/>
        </w:rPr>
      </w:pPr>
      <w:r w:rsidRPr="00AC6F67"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万家基金管理有限公司关于旗下</w:t>
      </w:r>
      <w:r w:rsidR="00D06605" w:rsidRPr="00AC6F67"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万家中证港股通创新药</w:t>
      </w:r>
      <w:r w:rsidR="00D06605" w:rsidRPr="00AC6F67">
        <w:rPr>
          <w:rFonts w:ascii="宋体" w:eastAsia="宋体" w:cs="宋体"/>
          <w:b/>
          <w:color w:val="000000"/>
          <w:kern w:val="0"/>
          <w:sz w:val="28"/>
          <w:szCs w:val="28"/>
        </w:rPr>
        <w:t>ETF</w:t>
      </w:r>
      <w:r w:rsidRPr="00AC6F67"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新增</w:t>
      </w:r>
      <w:r w:rsidR="00D92B86" w:rsidRPr="00AC6F67"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爱建</w:t>
      </w:r>
      <w:r w:rsidR="00833AEC" w:rsidRPr="00AC6F67"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证券等</w:t>
      </w:r>
      <w:r w:rsidRPr="00AC6F67"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为申购赎回代理券商的公告</w:t>
      </w:r>
    </w:p>
    <w:p w:rsidR="0064077A" w:rsidRDefault="0064077A" w:rsidP="00671103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28"/>
          <w:szCs w:val="28"/>
        </w:rPr>
      </w:pPr>
    </w:p>
    <w:p w:rsidR="000148EB" w:rsidRPr="00DC5FA9" w:rsidRDefault="000148EB" w:rsidP="00EC6660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根据万家基金管理有限公司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(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下称“本公司”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)</w:t>
      </w:r>
      <w:r w:rsidR="00050259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分别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与</w:t>
      </w:r>
      <w:r w:rsidR="008819D1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爱建证券有限责任公司、东莞证券股份有限公司、国都证券股份有限公司、国联证券股份有限公司、华鑫证券有限责任公司以及甬兴证券有限公司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(</w:t>
      </w:r>
      <w:r w:rsidR="00050259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以下合</w:t>
      </w:r>
      <w:r w:rsidR="00366A10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称</w:t>
      </w:r>
      <w:r w:rsidR="00EC6660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“</w:t>
      </w:r>
      <w:r w:rsidR="00050259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上述机构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”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)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签署的协议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 xml:space="preserve">, 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本公司决定自</w:t>
      </w:r>
      <w:r w:rsidR="008819D1" w:rsidRPr="00DC5FA9">
        <w:rPr>
          <w:rFonts w:ascii="宋体" w:eastAsia="宋体" w:cs="宋体"/>
          <w:color w:val="000000"/>
          <w:kern w:val="0"/>
          <w:sz w:val="22"/>
          <w:szCs w:val="21"/>
        </w:rPr>
        <w:t>2025年1月23</w:t>
      </w:r>
      <w:r w:rsidR="007004E8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日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起增加</w:t>
      </w:r>
      <w:r w:rsidR="00050259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上述机构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为</w:t>
      </w:r>
      <w:r w:rsidR="00A50530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万家中证港股通创新药交易型开放式指数证券投资基金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(</w:t>
      </w:r>
      <w:r w:rsidR="00BD245D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基金简称：</w:t>
      </w:r>
      <w:r w:rsidR="00A50530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万家中证港股通创新药</w:t>
      </w:r>
      <w:r w:rsidR="00A50530" w:rsidRPr="00DC5FA9">
        <w:rPr>
          <w:rFonts w:ascii="宋体" w:eastAsia="宋体" w:cs="宋体"/>
          <w:color w:val="000000"/>
          <w:kern w:val="0"/>
          <w:sz w:val="22"/>
          <w:szCs w:val="21"/>
        </w:rPr>
        <w:t>ETF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，场内简称：</w:t>
      </w:r>
      <w:r w:rsidR="00A50530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创新药</w:t>
      </w:r>
      <w:r w:rsidR="00A50530" w:rsidRPr="00DC5FA9">
        <w:rPr>
          <w:rFonts w:ascii="宋体" w:eastAsia="宋体" w:cs="宋体"/>
          <w:color w:val="000000"/>
          <w:kern w:val="0"/>
          <w:sz w:val="22"/>
          <w:szCs w:val="21"/>
        </w:rPr>
        <w:t>WJ</w:t>
      </w:r>
      <w:r w:rsidR="00F47EA1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，扩位简称：</w:t>
      </w:r>
      <w:r w:rsidR="00A50530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港股创新药</w:t>
      </w:r>
      <w:r w:rsidR="00A50530" w:rsidRPr="00DC5FA9">
        <w:rPr>
          <w:rFonts w:ascii="宋体" w:eastAsia="宋体" w:cs="宋体"/>
          <w:color w:val="000000"/>
          <w:kern w:val="0"/>
          <w:sz w:val="22"/>
          <w:szCs w:val="21"/>
        </w:rPr>
        <w:t>ETF基金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，基金代码：</w:t>
      </w:r>
      <w:r w:rsidR="00A50530" w:rsidRPr="00DC5FA9">
        <w:rPr>
          <w:rFonts w:ascii="宋体" w:eastAsia="宋体" w:cs="宋体"/>
          <w:color w:val="000000"/>
          <w:kern w:val="0"/>
          <w:sz w:val="22"/>
          <w:szCs w:val="21"/>
        </w:rPr>
        <w:t>520700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）的申购赎回代理券商。</w:t>
      </w:r>
    </w:p>
    <w:p w:rsidR="000148EB" w:rsidRPr="00DC5FA9" w:rsidRDefault="000148EB" w:rsidP="000148E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0148EB" w:rsidRPr="00DC5FA9" w:rsidRDefault="000148EB" w:rsidP="00EC666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投资者可以通过以下途径咨询有关详情：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1、爱建证券有限责任公司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客服电话：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4001962502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网址：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https://www.ajzq.com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 xml:space="preserve">2、东莞证券股份有限公司 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客服电话：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 xml:space="preserve">95328 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网址：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www.dgzq.com.cn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3、国都证券股份有限公司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客服电话：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4008188118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网址：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www.guodu.com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4、国联证券股份有限公司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客服电话：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95570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网址：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http://www.glsc.com.cn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5、华鑫证券有限责任公司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客服电话：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400-109-9918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lastRenderedPageBreak/>
        <w:t>网址：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www.cfsc.com.cn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6、甬兴证券有限公司</w:t>
      </w:r>
    </w:p>
    <w:p w:rsidR="008819D1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客服电话：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4009160666</w:t>
      </w:r>
    </w:p>
    <w:p w:rsidR="00CE6816" w:rsidRPr="00DC5FA9" w:rsidRDefault="008819D1" w:rsidP="008819D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网址：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www.yongxingsec.com</w:t>
      </w:r>
    </w:p>
    <w:p w:rsidR="00CE6816" w:rsidRPr="00DC5FA9" w:rsidRDefault="00CE6816" w:rsidP="00CE681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0148EB" w:rsidRPr="00DC5FA9" w:rsidRDefault="008819D1" w:rsidP="00EC666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7</w:t>
      </w:r>
      <w:r w:rsidR="00CE6816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、</w:t>
      </w:r>
      <w:r w:rsidR="000148EB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万家基金管理有限公司</w:t>
      </w:r>
    </w:p>
    <w:p w:rsidR="000148EB" w:rsidRPr="00DC5FA9" w:rsidRDefault="000148EB" w:rsidP="00EC666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客服电话：</w:t>
      </w:r>
      <w:r w:rsidRPr="00DC5FA9">
        <w:rPr>
          <w:rFonts w:ascii="宋体" w:eastAsia="宋体" w:cs="宋体"/>
          <w:color w:val="000000"/>
          <w:kern w:val="0"/>
          <w:sz w:val="22"/>
          <w:szCs w:val="21"/>
        </w:rPr>
        <w:t>400-888-0800</w:t>
      </w:r>
    </w:p>
    <w:p w:rsidR="000148EB" w:rsidRPr="00DC5FA9" w:rsidRDefault="000148EB" w:rsidP="00EC666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网址：</w:t>
      </w:r>
      <w:hyperlink r:id="rId6" w:history="1">
        <w:r w:rsidRPr="00DC5FA9">
          <w:rPr>
            <w:rFonts w:ascii="宋体" w:eastAsia="宋体" w:cs="宋体"/>
            <w:color w:val="000000"/>
            <w:kern w:val="0"/>
            <w:sz w:val="22"/>
            <w:szCs w:val="21"/>
          </w:rPr>
          <w:t>www.wjasset.com</w:t>
        </w:r>
      </w:hyperlink>
    </w:p>
    <w:p w:rsidR="000148EB" w:rsidRPr="00DC5FA9" w:rsidRDefault="000148EB" w:rsidP="00EC666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0148EB" w:rsidRDefault="000148EB" w:rsidP="00AC6F67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bookmarkStart w:id="0" w:name="_GoBack"/>
      <w:bookmarkEnd w:id="0"/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风险提示：敬请投资者于投资前认真阅读各基金的《基金合同》和《招募说明书》等法律文件，基金管理人承诺以诚实信用、勤勉尽责的原则管理和运用基金资产，但不承诺基金投资最低收益、也不保证基金投资一定赢利，请投资者在充分考虑风险的情况下谨慎做出投资决策，在做出投资决策后，基金运营状况与基金净值变化引致的投资风险，由投资者自行负担。</w:t>
      </w:r>
    </w:p>
    <w:p w:rsidR="00DC5FA9" w:rsidRPr="00DC5FA9" w:rsidRDefault="00DC5FA9" w:rsidP="00EC666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0148EB" w:rsidRDefault="000148EB" w:rsidP="00EC666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特此公告。</w:t>
      </w:r>
    </w:p>
    <w:p w:rsidR="00DC5FA9" w:rsidRPr="00DC5FA9" w:rsidRDefault="00DC5FA9" w:rsidP="00EC666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00000"/>
          <w:kern w:val="0"/>
          <w:sz w:val="22"/>
          <w:szCs w:val="21"/>
        </w:rPr>
      </w:pPr>
    </w:p>
    <w:p w:rsidR="000148EB" w:rsidRPr="00DC5FA9" w:rsidRDefault="000148EB" w:rsidP="00EC6660">
      <w:pPr>
        <w:autoSpaceDE w:val="0"/>
        <w:autoSpaceDN w:val="0"/>
        <w:adjustRightInd w:val="0"/>
        <w:spacing w:line="360" w:lineRule="auto"/>
        <w:jc w:val="right"/>
        <w:rPr>
          <w:rFonts w:ascii="宋体" w:eastAsia="宋体" w:cs="宋体"/>
          <w:color w:val="000000"/>
          <w:kern w:val="0"/>
          <w:sz w:val="22"/>
          <w:szCs w:val="21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万家基金管理有限公司</w:t>
      </w:r>
    </w:p>
    <w:p w:rsidR="001A6269" w:rsidRPr="00DC5FA9" w:rsidRDefault="0064077A" w:rsidP="00EC6660">
      <w:pPr>
        <w:spacing w:line="360" w:lineRule="auto"/>
        <w:jc w:val="right"/>
        <w:rPr>
          <w:sz w:val="22"/>
        </w:rPr>
      </w:pP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二〇二</w:t>
      </w:r>
      <w:r w:rsidR="008819D1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五</w:t>
      </w:r>
      <w:r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年</w:t>
      </w:r>
      <w:r w:rsidR="008819D1" w:rsidRPr="00DC5FA9">
        <w:rPr>
          <w:rFonts w:ascii="宋体" w:eastAsia="宋体" w:cs="宋体" w:hint="eastAsia"/>
          <w:color w:val="000000"/>
          <w:kern w:val="0"/>
          <w:sz w:val="22"/>
          <w:szCs w:val="21"/>
        </w:rPr>
        <w:t>一月二十三日</w:t>
      </w:r>
    </w:p>
    <w:sectPr w:rsidR="001A6269" w:rsidRPr="00DC5FA9" w:rsidSect="008F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56" w:rsidRDefault="002D5256" w:rsidP="00366A10">
      <w:r>
        <w:separator/>
      </w:r>
    </w:p>
  </w:endnote>
  <w:endnote w:type="continuationSeparator" w:id="0">
    <w:p w:rsidR="002D5256" w:rsidRDefault="002D5256" w:rsidP="0036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56" w:rsidRDefault="002D5256" w:rsidP="00366A10">
      <w:r>
        <w:separator/>
      </w:r>
    </w:p>
  </w:footnote>
  <w:footnote w:type="continuationSeparator" w:id="0">
    <w:p w:rsidR="002D5256" w:rsidRDefault="002D5256" w:rsidP="00366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734"/>
    <w:rsid w:val="000148EB"/>
    <w:rsid w:val="00050259"/>
    <w:rsid w:val="001149BE"/>
    <w:rsid w:val="001A6269"/>
    <w:rsid w:val="001B7BF8"/>
    <w:rsid w:val="001C77E9"/>
    <w:rsid w:val="002B7039"/>
    <w:rsid w:val="002D5256"/>
    <w:rsid w:val="003079F5"/>
    <w:rsid w:val="00366A10"/>
    <w:rsid w:val="00374BA9"/>
    <w:rsid w:val="003C41BF"/>
    <w:rsid w:val="003E5148"/>
    <w:rsid w:val="0041618E"/>
    <w:rsid w:val="004259AC"/>
    <w:rsid w:val="005A61C2"/>
    <w:rsid w:val="006010DE"/>
    <w:rsid w:val="0064077A"/>
    <w:rsid w:val="00671103"/>
    <w:rsid w:val="006B052C"/>
    <w:rsid w:val="006B4C38"/>
    <w:rsid w:val="006B7E40"/>
    <w:rsid w:val="006C43A3"/>
    <w:rsid w:val="007004E8"/>
    <w:rsid w:val="00722093"/>
    <w:rsid w:val="00787BD9"/>
    <w:rsid w:val="0082496C"/>
    <w:rsid w:val="00833AEC"/>
    <w:rsid w:val="008819D1"/>
    <w:rsid w:val="008F213E"/>
    <w:rsid w:val="008F2679"/>
    <w:rsid w:val="008F5345"/>
    <w:rsid w:val="00940BDA"/>
    <w:rsid w:val="00952AAC"/>
    <w:rsid w:val="00984342"/>
    <w:rsid w:val="009C76ED"/>
    <w:rsid w:val="00A00734"/>
    <w:rsid w:val="00A055C6"/>
    <w:rsid w:val="00A17BCD"/>
    <w:rsid w:val="00A209C6"/>
    <w:rsid w:val="00A50530"/>
    <w:rsid w:val="00A84660"/>
    <w:rsid w:val="00AC6F67"/>
    <w:rsid w:val="00AF2A46"/>
    <w:rsid w:val="00B23175"/>
    <w:rsid w:val="00B80B81"/>
    <w:rsid w:val="00BD245D"/>
    <w:rsid w:val="00BD5CB0"/>
    <w:rsid w:val="00BE7DDA"/>
    <w:rsid w:val="00BF0155"/>
    <w:rsid w:val="00C0760A"/>
    <w:rsid w:val="00C5257F"/>
    <w:rsid w:val="00CE6816"/>
    <w:rsid w:val="00D06605"/>
    <w:rsid w:val="00D3129D"/>
    <w:rsid w:val="00D50FA3"/>
    <w:rsid w:val="00D92B86"/>
    <w:rsid w:val="00DB418F"/>
    <w:rsid w:val="00DC5FA9"/>
    <w:rsid w:val="00E0521C"/>
    <w:rsid w:val="00E12744"/>
    <w:rsid w:val="00E20400"/>
    <w:rsid w:val="00EC6660"/>
    <w:rsid w:val="00F03DD4"/>
    <w:rsid w:val="00F47EA1"/>
    <w:rsid w:val="00F8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8EB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66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6A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6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6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jas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4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曹琦</dc:creator>
  <cp:keywords/>
  <dc:description/>
  <cp:lastModifiedBy>ZHONGM</cp:lastModifiedBy>
  <cp:revision>2</cp:revision>
  <dcterms:created xsi:type="dcterms:W3CDTF">2025-01-22T16:02:00Z</dcterms:created>
  <dcterms:modified xsi:type="dcterms:W3CDTF">2025-01-22T16:02:00Z</dcterms:modified>
</cp:coreProperties>
</file>