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000000" w:rsidRDefault="00434C0A">
      <w:pPr>
        <w:pStyle w:val="XBRL2"/>
        <w:spacing w:before="156"/>
      </w:pPr>
      <w:bookmarkStart w:id="0" w:name="_Toc510201001"/>
      <w:bookmarkEnd w:id="0"/>
      <w:r>
        <w:t xml:space="preserve">　</w:t>
      </w:r>
      <w:r>
        <w:t xml:space="preserve"> </w:t>
      </w:r>
    </w:p>
    <w:p w:rsidR="00000000" w:rsidRDefault="00434C0A">
      <w:pPr>
        <w:jc w:val="center"/>
      </w:pPr>
      <w:r>
        <w:rPr>
          <w:rFonts w:cs="Times New Roman" w:hint="eastAsia"/>
          <w:b/>
          <w:sz w:val="48"/>
          <w:szCs w:val="48"/>
        </w:rPr>
        <w:t>关于限制工银瑞信如意货币市场基金</w:t>
      </w:r>
      <w:r>
        <w:rPr>
          <w:rFonts w:cs="Times New Roman" w:hint="eastAsia"/>
          <w:b/>
          <w:sz w:val="48"/>
          <w:szCs w:val="48"/>
        </w:rPr>
        <w:t>D</w:t>
      </w:r>
      <w:r>
        <w:rPr>
          <w:rFonts w:cs="Times New Roman" w:hint="eastAsia"/>
          <w:b/>
          <w:sz w:val="48"/>
          <w:szCs w:val="48"/>
        </w:rPr>
        <w:t>类份额</w:t>
      </w:r>
      <w:r>
        <w:rPr>
          <w:rFonts w:cs="Times New Roman" w:hint="eastAsia"/>
          <w:b/>
          <w:sz w:val="48"/>
          <w:szCs w:val="48"/>
        </w:rPr>
        <w:t>2025</w:t>
      </w:r>
      <w:r>
        <w:rPr>
          <w:rFonts w:cs="Times New Roman" w:hint="eastAsia"/>
          <w:b/>
          <w:sz w:val="48"/>
          <w:szCs w:val="48"/>
        </w:rPr>
        <w:t>年春节假期大额申购、转换转入投资业务金额的公告</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560" w:lineRule="exact"/>
        <w:jc w:val="center"/>
        <w:rPr>
          <w:rFonts w:hint="eastAsia"/>
          <w:color w:val="000000"/>
          <w:kern w:val="0"/>
          <w:sz w:val="18"/>
        </w:rPr>
      </w:pPr>
      <w:r>
        <w:rPr>
          <w:rFonts w:hint="eastAsia"/>
          <w:color w:val="000000"/>
          <w:kern w:val="0"/>
          <w:sz w:val="18"/>
        </w:rPr>
        <w:t xml:space="preserve">　</w:t>
      </w:r>
      <w:r>
        <w:rPr>
          <w:rFonts w:hint="eastAsia"/>
          <w:color w:val="000000"/>
          <w:kern w:val="0"/>
          <w:sz w:val="18"/>
        </w:rPr>
        <w:t xml:space="preserve"> </w:t>
      </w:r>
    </w:p>
    <w:p w:rsidR="00000000" w:rsidRDefault="00434C0A">
      <w:pPr>
        <w:spacing w:line="360" w:lineRule="auto"/>
        <w:jc w:val="center"/>
        <w:rPr>
          <w:rFonts w:hint="eastAsia"/>
        </w:rPr>
      </w:pPr>
      <w:r>
        <w:rPr>
          <w:rFonts w:hint="eastAsia"/>
          <w:b/>
          <w:bCs/>
          <w:sz w:val="24"/>
          <w:szCs w:val="30"/>
        </w:rPr>
        <w:t>公告送出日期：</w:t>
      </w:r>
      <w:r>
        <w:rPr>
          <w:rFonts w:hint="eastAsia"/>
          <w:b/>
          <w:bCs/>
          <w:sz w:val="24"/>
          <w:szCs w:val="30"/>
        </w:rPr>
        <w:t>2025</w:t>
      </w:r>
      <w:r>
        <w:rPr>
          <w:rFonts w:hint="eastAsia"/>
          <w:b/>
          <w:bCs/>
          <w:sz w:val="24"/>
          <w:szCs w:val="30"/>
        </w:rPr>
        <w:t>年</w:t>
      </w:r>
      <w:r>
        <w:rPr>
          <w:rFonts w:hint="eastAsia"/>
          <w:b/>
          <w:bCs/>
          <w:sz w:val="24"/>
          <w:szCs w:val="30"/>
        </w:rPr>
        <w:t>1</w:t>
      </w:r>
      <w:r>
        <w:rPr>
          <w:rFonts w:hint="eastAsia"/>
          <w:b/>
          <w:bCs/>
          <w:sz w:val="24"/>
          <w:szCs w:val="30"/>
        </w:rPr>
        <w:t>月</w:t>
      </w:r>
      <w:r>
        <w:rPr>
          <w:rFonts w:hint="eastAsia"/>
          <w:b/>
          <w:bCs/>
          <w:sz w:val="24"/>
          <w:szCs w:val="30"/>
        </w:rPr>
        <w:t>23</w:t>
      </w:r>
      <w:r>
        <w:rPr>
          <w:rFonts w:hint="eastAsia"/>
          <w:b/>
          <w:bCs/>
          <w:sz w:val="24"/>
          <w:szCs w:val="30"/>
        </w:rPr>
        <w:t>日</w:t>
      </w:r>
    </w:p>
    <w:p w:rsidR="00000000" w:rsidRDefault="00434C0A">
      <w:pPr>
        <w:pStyle w:val="XBRLTitle1"/>
        <w:spacing w:before="156"/>
        <w:jc w:val="left"/>
        <w:rPr>
          <w:rFonts w:hint="eastAsia"/>
        </w:rPr>
      </w:pPr>
      <w:r>
        <w:rPr>
          <w:rFonts w:hint="eastAsia"/>
          <w:b w:val="0"/>
          <w:bCs w:val="0"/>
          <w:color w:val="404040"/>
          <w:kern w:val="0"/>
        </w:rPr>
        <w:br w:type="page"/>
      </w:r>
      <w:bookmarkStart w:id="1" w:name="_Toc513295892"/>
      <w:bookmarkStart w:id="2" w:name="_Toc513295846"/>
      <w:bookmarkStart w:id="3" w:name="_Toc490050000"/>
      <w:bookmarkStart w:id="4" w:name="_Toc34322059"/>
      <w:bookmarkStart w:id="5" w:name="_Toc17898178"/>
      <w:bookmarkStart w:id="6" w:name="_Toc438646451"/>
      <w:bookmarkStart w:id="7" w:name="_Toc481075046"/>
      <w:bookmarkStart w:id="8" w:name="_Toc512519480"/>
      <w:bookmarkStart w:id="9" w:name="_Toc17897936"/>
      <w:bookmarkStart w:id="10" w:name="m01_01"/>
      <w:bookmarkStart w:id="11" w:name="_Toc194311890"/>
      <w:bookmarkStart w:id="12" w:name="m101"/>
      <w:r>
        <w:rPr>
          <w:rFonts w:hint="eastAsia"/>
          <w:szCs w:val="24"/>
        </w:rPr>
        <w:t>公告基本信息</w:t>
      </w:r>
      <w:bookmarkEnd w:id="1"/>
      <w:bookmarkEnd w:id="2"/>
      <w:bookmarkEnd w:id="3"/>
      <w:bookmarkEnd w:id="4"/>
      <w:bookmarkEnd w:id="5"/>
      <w:bookmarkEnd w:id="6"/>
      <w:bookmarkEnd w:id="7"/>
      <w:bookmarkEnd w:id="8"/>
      <w:bookmarkEnd w:id="9"/>
      <w:r>
        <w:rPr>
          <w:rFonts w:hint="eastAsia"/>
          <w:szCs w:val="24"/>
        </w:rPr>
        <w:t xml:space="preserve"> </w:t>
      </w:r>
      <w:bookmarkEnd w:id="10"/>
      <w:bookmarkEnd w:id="11"/>
      <w:bookmarkEnd w:id="12"/>
    </w:p>
    <w:tbl>
      <w:tblPr>
        <w:tblW w:w="5000" w:type="pct"/>
        <w:tblInd w:w="108" w:type="dxa"/>
        <w:tblBorders>
          <w:top w:val="single" w:sz="4" w:space="0" w:color="000000"/>
          <w:left w:val="single" w:sz="4" w:space="0" w:color="000000"/>
          <w:bottom w:val="single" w:sz="4" w:space="0" w:color="000000"/>
          <w:right w:val="single" w:sz="4" w:space="0" w:color="000000"/>
        </w:tblBorders>
        <w:tblLayout w:type="fixed"/>
        <w:tblCellMar>
          <w:left w:w="0" w:type="dxa"/>
          <w:right w:w="0" w:type="dxa"/>
        </w:tblCellMar>
        <w:tblLook w:val="0000"/>
      </w:tblPr>
      <w:tblGrid>
        <w:gridCol w:w="1415"/>
        <w:gridCol w:w="1544"/>
        <w:gridCol w:w="1650"/>
        <w:gridCol w:w="1470"/>
        <w:gridCol w:w="1500"/>
        <w:gridCol w:w="1482"/>
      </w:tblGrid>
      <w:tr w:rsidR="00000000">
        <w:tc>
          <w:tcPr>
            <w:tcW w:w="296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基金名称</w:t>
            </w:r>
          </w:p>
        </w:tc>
        <w:tc>
          <w:tcPr>
            <w:tcW w:w="61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工银瑞信如意货币市场基金</w:t>
            </w:r>
          </w:p>
        </w:tc>
      </w:tr>
      <w:tr w:rsidR="00000000">
        <w:tc>
          <w:tcPr>
            <w:tcW w:w="296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基金简称</w:t>
            </w:r>
            <w:r>
              <w:rPr>
                <w:rFonts w:hint="eastAsia"/>
              </w:rPr>
              <w:t xml:space="preserve"> </w:t>
            </w:r>
          </w:p>
        </w:tc>
        <w:tc>
          <w:tcPr>
            <w:tcW w:w="61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工银如意货币</w:t>
            </w:r>
          </w:p>
        </w:tc>
      </w:tr>
      <w:tr w:rsidR="00000000">
        <w:tc>
          <w:tcPr>
            <w:tcW w:w="296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基金主代码</w:t>
            </w:r>
            <w:r>
              <w:rPr>
                <w:rFonts w:hint="eastAsia"/>
              </w:rPr>
              <w:t xml:space="preserve"> </w:t>
            </w:r>
          </w:p>
        </w:tc>
        <w:tc>
          <w:tcPr>
            <w:tcW w:w="61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003752</w:t>
            </w:r>
          </w:p>
        </w:tc>
      </w:tr>
      <w:tr w:rsidR="00000000">
        <w:tc>
          <w:tcPr>
            <w:tcW w:w="296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基金管理人名称</w:t>
            </w:r>
          </w:p>
        </w:tc>
        <w:tc>
          <w:tcPr>
            <w:tcW w:w="61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工银瑞信基金管理有限公司</w:t>
            </w:r>
          </w:p>
        </w:tc>
      </w:tr>
      <w:tr w:rsidR="00000000">
        <w:tc>
          <w:tcPr>
            <w:tcW w:w="296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公告依据</w:t>
            </w:r>
          </w:p>
        </w:tc>
        <w:tc>
          <w:tcPr>
            <w:tcW w:w="61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根据《中华人民共和国证券投资基金法》、《公开募集证券投资基金运作管理办法》、《公开募集证券投资基金信息披露管理办法》及其他有关法</w:t>
            </w:r>
            <w:r>
              <w:rPr>
                <w:rFonts w:hint="eastAsia"/>
              </w:rPr>
              <w:t>律法规以及本基金相关法律文件等。</w:t>
            </w:r>
          </w:p>
        </w:tc>
      </w:tr>
      <w:tr w:rsidR="00000000">
        <w:tc>
          <w:tcPr>
            <w:tcW w:w="141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暂停相关业务的起始日、金额及原因说明</w:t>
            </w:r>
          </w:p>
        </w:tc>
        <w:tc>
          <w:tcPr>
            <w:tcW w:w="1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暂停大额申购起始日</w:t>
            </w:r>
          </w:p>
        </w:tc>
        <w:tc>
          <w:tcPr>
            <w:tcW w:w="61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2025</w:t>
            </w:r>
            <w:r>
              <w:rPr>
                <w:rFonts w:hint="eastAsia"/>
              </w:rPr>
              <w:t>年</w:t>
            </w:r>
            <w:r>
              <w:rPr>
                <w:rFonts w:hint="eastAsia"/>
              </w:rPr>
              <w:t>1</w:t>
            </w:r>
            <w:r>
              <w:rPr>
                <w:rFonts w:hint="eastAsia"/>
              </w:rPr>
              <w:t>月</w:t>
            </w:r>
            <w:r>
              <w:rPr>
                <w:rFonts w:hint="eastAsia"/>
              </w:rPr>
              <w:t>24</w:t>
            </w:r>
            <w:r>
              <w:rPr>
                <w:rFonts w:hint="eastAsia"/>
              </w:rPr>
              <w:t>日</w:t>
            </w:r>
          </w:p>
        </w:tc>
      </w:tr>
      <w:tr w:rsidR="00000000">
        <w:tc>
          <w:tcPr>
            <w:tcW w:w="1416" w:type="dxa"/>
            <w:vMerge/>
            <w:tcBorders>
              <w:top w:val="single" w:sz="4" w:space="0" w:color="000000"/>
              <w:left w:val="single" w:sz="4" w:space="0" w:color="000000"/>
              <w:bottom w:val="single" w:sz="4" w:space="0" w:color="000000"/>
              <w:right w:val="single" w:sz="4" w:space="0" w:color="000000"/>
            </w:tcBorders>
            <w:vAlign w:val="center"/>
          </w:tcPr>
          <w:p w:rsidR="00000000" w:rsidRDefault="00434C0A">
            <w:pPr>
              <w:widowControl/>
              <w:jc w:val="left"/>
            </w:pPr>
          </w:p>
        </w:tc>
        <w:tc>
          <w:tcPr>
            <w:tcW w:w="1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暂停大额转换转入起始日</w:t>
            </w:r>
          </w:p>
        </w:tc>
        <w:tc>
          <w:tcPr>
            <w:tcW w:w="61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2025</w:t>
            </w:r>
            <w:r>
              <w:rPr>
                <w:rFonts w:hint="eastAsia"/>
              </w:rPr>
              <w:t>年</w:t>
            </w:r>
            <w:r>
              <w:rPr>
                <w:rFonts w:hint="eastAsia"/>
              </w:rPr>
              <w:t>1</w:t>
            </w:r>
            <w:r>
              <w:rPr>
                <w:rFonts w:hint="eastAsia"/>
              </w:rPr>
              <w:t>月</w:t>
            </w:r>
            <w:r>
              <w:rPr>
                <w:rFonts w:hint="eastAsia"/>
              </w:rPr>
              <w:t>24</w:t>
            </w:r>
            <w:r>
              <w:rPr>
                <w:rFonts w:hint="eastAsia"/>
              </w:rPr>
              <w:t>日</w:t>
            </w:r>
          </w:p>
        </w:tc>
      </w:tr>
      <w:tr w:rsidR="00000000">
        <w:tc>
          <w:tcPr>
            <w:tcW w:w="1416" w:type="dxa"/>
            <w:vMerge/>
            <w:tcBorders>
              <w:top w:val="single" w:sz="4" w:space="0" w:color="000000"/>
              <w:left w:val="single" w:sz="4" w:space="0" w:color="000000"/>
              <w:bottom w:val="single" w:sz="4" w:space="0" w:color="000000"/>
              <w:right w:val="single" w:sz="4" w:space="0" w:color="000000"/>
            </w:tcBorders>
            <w:vAlign w:val="center"/>
          </w:tcPr>
          <w:p w:rsidR="00000000" w:rsidRDefault="00434C0A">
            <w:pPr>
              <w:widowControl/>
              <w:jc w:val="left"/>
            </w:pPr>
          </w:p>
        </w:tc>
        <w:tc>
          <w:tcPr>
            <w:tcW w:w="1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限制申购金额（单位：人民币元</w:t>
            </w:r>
            <w:r>
              <w:rPr>
                <w:rFonts w:hint="eastAsia"/>
              </w:rPr>
              <w:t xml:space="preserve"> </w:t>
            </w:r>
            <w:r>
              <w:rPr>
                <w:rFonts w:ascii="Calibri" w:hAnsi="Calibri" w:hint="eastAsia"/>
              </w:rPr>
              <w:t>）</w:t>
            </w:r>
          </w:p>
        </w:tc>
        <w:tc>
          <w:tcPr>
            <w:tcW w:w="61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5,000,000.00</w:t>
            </w:r>
          </w:p>
        </w:tc>
      </w:tr>
      <w:tr w:rsidR="00000000">
        <w:tc>
          <w:tcPr>
            <w:tcW w:w="1416" w:type="dxa"/>
            <w:vMerge/>
            <w:tcBorders>
              <w:top w:val="single" w:sz="4" w:space="0" w:color="000000"/>
              <w:left w:val="single" w:sz="4" w:space="0" w:color="000000"/>
              <w:bottom w:val="single" w:sz="4" w:space="0" w:color="000000"/>
              <w:right w:val="single" w:sz="4" w:space="0" w:color="000000"/>
            </w:tcBorders>
            <w:vAlign w:val="center"/>
          </w:tcPr>
          <w:p w:rsidR="00000000" w:rsidRDefault="00434C0A">
            <w:pPr>
              <w:widowControl/>
              <w:jc w:val="left"/>
            </w:pPr>
          </w:p>
        </w:tc>
        <w:tc>
          <w:tcPr>
            <w:tcW w:w="1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限制转换转入金额（单位：人民币元</w:t>
            </w:r>
            <w:r>
              <w:rPr>
                <w:rFonts w:hint="eastAsia"/>
              </w:rPr>
              <w:t xml:space="preserve"> </w:t>
            </w:r>
            <w:r>
              <w:rPr>
                <w:rFonts w:ascii="Calibri" w:hAnsi="Calibri" w:hint="eastAsia"/>
              </w:rPr>
              <w:t>）</w:t>
            </w:r>
            <w:r>
              <w:rPr>
                <w:rFonts w:hint="eastAsia"/>
              </w:rPr>
              <w:t xml:space="preserve"> </w:t>
            </w:r>
          </w:p>
        </w:tc>
        <w:tc>
          <w:tcPr>
            <w:tcW w:w="61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5,000,000.00</w:t>
            </w:r>
          </w:p>
        </w:tc>
      </w:tr>
      <w:tr w:rsidR="00000000">
        <w:tc>
          <w:tcPr>
            <w:tcW w:w="1416" w:type="dxa"/>
            <w:vMerge/>
            <w:tcBorders>
              <w:top w:val="single" w:sz="4" w:space="0" w:color="000000"/>
              <w:left w:val="single" w:sz="4" w:space="0" w:color="000000"/>
              <w:bottom w:val="single" w:sz="4" w:space="0" w:color="000000"/>
              <w:right w:val="single" w:sz="4" w:space="0" w:color="000000"/>
            </w:tcBorders>
            <w:vAlign w:val="center"/>
          </w:tcPr>
          <w:p w:rsidR="00000000" w:rsidRDefault="00434C0A">
            <w:pPr>
              <w:widowControl/>
              <w:jc w:val="left"/>
            </w:pPr>
          </w:p>
        </w:tc>
        <w:tc>
          <w:tcPr>
            <w:tcW w:w="1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暂停大额申购、转换转入投资业务的原因说明</w:t>
            </w:r>
          </w:p>
        </w:tc>
        <w:tc>
          <w:tcPr>
            <w:tcW w:w="6102" w:type="dxa"/>
            <w:gridSpan w:val="4"/>
            <w:tcBorders>
              <w:top w:val="single" w:sz="4" w:space="0" w:color="000000"/>
              <w:left w:val="single" w:sz="4" w:space="0" w:color="000000"/>
              <w:bottom w:val="outset"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hint="eastAsia"/>
              </w:rPr>
              <w:t>保护基金份额持有人利益。</w:t>
            </w:r>
          </w:p>
        </w:tc>
      </w:tr>
      <w:tr w:rsidR="00000000">
        <w:tc>
          <w:tcPr>
            <w:tcW w:w="296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下属分级基金的基金简称</w:t>
            </w:r>
          </w:p>
        </w:tc>
        <w:tc>
          <w:tcPr>
            <w:tcW w:w="165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工银如意货币</w:t>
            </w:r>
            <w:r>
              <w:rPr>
                <w:rFonts w:hint="eastAsia"/>
              </w:rPr>
              <w:t>A</w:t>
            </w:r>
          </w:p>
        </w:tc>
        <w:tc>
          <w:tcPr>
            <w:tcW w:w="147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工银如意货币</w:t>
            </w:r>
            <w:r>
              <w:rPr>
                <w:rFonts w:hint="eastAsia"/>
              </w:rPr>
              <w:t>B</w:t>
            </w:r>
          </w:p>
        </w:tc>
        <w:tc>
          <w:tcPr>
            <w:tcW w:w="150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工银如意货币</w:t>
            </w:r>
            <w:r>
              <w:rPr>
                <w:rFonts w:hint="eastAsia"/>
              </w:rPr>
              <w:t>C</w:t>
            </w:r>
          </w:p>
        </w:tc>
        <w:tc>
          <w:tcPr>
            <w:tcW w:w="1482"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工银如意货币</w:t>
            </w:r>
            <w:r>
              <w:rPr>
                <w:rFonts w:hint="eastAsia"/>
              </w:rPr>
              <w:t>D</w:t>
            </w:r>
          </w:p>
        </w:tc>
      </w:tr>
      <w:tr w:rsidR="00000000">
        <w:tc>
          <w:tcPr>
            <w:tcW w:w="296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下属分级基金的交易代码</w:t>
            </w:r>
          </w:p>
        </w:tc>
        <w:tc>
          <w:tcPr>
            <w:tcW w:w="165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003752</w:t>
            </w:r>
          </w:p>
        </w:tc>
        <w:tc>
          <w:tcPr>
            <w:tcW w:w="147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00375</w:t>
            </w:r>
            <w:r>
              <w:rPr>
                <w:rFonts w:hint="eastAsia"/>
              </w:rPr>
              <w:t>3</w:t>
            </w:r>
          </w:p>
        </w:tc>
        <w:tc>
          <w:tcPr>
            <w:tcW w:w="150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019967</w:t>
            </w:r>
          </w:p>
        </w:tc>
        <w:tc>
          <w:tcPr>
            <w:tcW w:w="1482"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020945</w:t>
            </w:r>
          </w:p>
        </w:tc>
      </w:tr>
      <w:tr w:rsidR="00000000">
        <w:tc>
          <w:tcPr>
            <w:tcW w:w="296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该分级基金是否暂停大额申购、转换转入投资业务</w:t>
            </w:r>
          </w:p>
        </w:tc>
        <w:tc>
          <w:tcPr>
            <w:tcW w:w="165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是</w:t>
            </w:r>
          </w:p>
        </w:tc>
        <w:tc>
          <w:tcPr>
            <w:tcW w:w="147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是</w:t>
            </w:r>
          </w:p>
        </w:tc>
        <w:tc>
          <w:tcPr>
            <w:tcW w:w="150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是</w:t>
            </w:r>
          </w:p>
        </w:tc>
        <w:tc>
          <w:tcPr>
            <w:tcW w:w="1482"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是</w:t>
            </w:r>
          </w:p>
        </w:tc>
      </w:tr>
      <w:tr w:rsidR="00000000">
        <w:tc>
          <w:tcPr>
            <w:tcW w:w="2960" w:type="dxa"/>
            <w:gridSpan w:val="2"/>
            <w:tcBorders>
              <w:top w:val="single" w:sz="4" w:space="0" w:color="000000"/>
              <w:left w:val="single" w:sz="4" w:space="0" w:color="000000"/>
              <w:bottom w:val="single" w:sz="4" w:space="0" w:color="000000"/>
              <w:right w:val="single" w:sz="0" w:space="0" w:color="auto"/>
            </w:tcBorders>
            <w:tcMar>
              <w:top w:w="0" w:type="dxa"/>
              <w:left w:w="108" w:type="dxa"/>
              <w:bottom w:w="0" w:type="dxa"/>
              <w:right w:w="108" w:type="dxa"/>
            </w:tcMar>
            <w:vAlign w:val="center"/>
          </w:tcPr>
          <w:p w:rsidR="00000000" w:rsidRDefault="00434C0A">
            <w:pPr>
              <w:rPr>
                <w:rFonts w:hint="eastAsia"/>
              </w:rPr>
            </w:pPr>
            <w:r>
              <w:rPr>
                <w:rFonts w:ascii="Calibri" w:hAnsi="Calibri" w:hint="eastAsia"/>
              </w:rPr>
              <w:t>下属分级基金的限制申购金额（单位：人民币元）</w:t>
            </w:r>
          </w:p>
        </w:tc>
        <w:tc>
          <w:tcPr>
            <w:tcW w:w="165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5,000,000.00</w:t>
            </w:r>
          </w:p>
        </w:tc>
        <w:tc>
          <w:tcPr>
            <w:tcW w:w="147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5,000,000.00</w:t>
            </w:r>
          </w:p>
        </w:tc>
        <w:tc>
          <w:tcPr>
            <w:tcW w:w="1500"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5,000,000.00</w:t>
            </w:r>
          </w:p>
        </w:tc>
        <w:tc>
          <w:tcPr>
            <w:tcW w:w="1482" w:type="dxa"/>
            <w:tcBorders>
              <w:top w:val="outset" w:sz="4" w:space="0" w:color="000000"/>
              <w:left w:val="single" w:sz="4" w:space="0" w:color="000000"/>
              <w:bottom w:val="outset" w:sz="4" w:space="0" w:color="000000"/>
              <w:right w:val="single" w:sz="4" w:space="0" w:color="auto"/>
            </w:tcBorders>
            <w:vAlign w:val="center"/>
          </w:tcPr>
          <w:p w:rsidR="00000000" w:rsidRDefault="00434C0A">
            <w:pPr>
              <w:rPr>
                <w:rFonts w:hint="eastAsia"/>
              </w:rPr>
            </w:pPr>
            <w:r>
              <w:rPr>
                <w:rFonts w:hint="eastAsia"/>
              </w:rPr>
              <w:t>5,000,000.00</w:t>
            </w:r>
          </w:p>
        </w:tc>
      </w:tr>
      <w:tr w:rsidR="00000000">
        <w:tc>
          <w:tcPr>
            <w:tcW w:w="2960" w:type="dxa"/>
            <w:gridSpan w:val="2"/>
            <w:tcBorders>
              <w:top w:val="single" w:sz="4" w:space="0" w:color="000000"/>
              <w:left w:val="single" w:sz="4" w:space="0" w:color="000000"/>
              <w:bottom w:val="single" w:sz="4" w:space="0" w:color="000000"/>
              <w:right w:val="single" w:sz="0" w:space="0" w:color="auto"/>
            </w:tcBorders>
            <w:tcMar>
              <w:top w:w="0" w:type="dxa"/>
              <w:left w:w="108" w:type="dxa"/>
              <w:bottom w:w="0" w:type="dxa"/>
              <w:right w:w="108" w:type="dxa"/>
            </w:tcMar>
            <w:vAlign w:val="center"/>
          </w:tcPr>
          <w:p w:rsidR="00000000" w:rsidRDefault="00434C0A">
            <w:pPr>
              <w:rPr>
                <w:rFonts w:hint="eastAsia"/>
              </w:rPr>
            </w:pPr>
            <w:r>
              <w:rPr>
                <w:rFonts w:hint="eastAsia"/>
              </w:rPr>
              <w:t>下属分级基金的限制转换转入金额（单位：人民币元）</w:t>
            </w:r>
            <w:r>
              <w:rPr>
                <w:rFonts w:hint="eastAsia"/>
              </w:rPr>
              <w:t xml:space="preserve"> </w:t>
            </w:r>
          </w:p>
        </w:tc>
        <w:tc>
          <w:tcPr>
            <w:tcW w:w="1650" w:type="dxa"/>
            <w:tcBorders>
              <w:top w:val="outset" w:sz="4" w:space="0" w:color="000000"/>
              <w:left w:val="single" w:sz="4" w:space="0" w:color="000000"/>
              <w:bottom w:val="single" w:sz="4" w:space="0" w:color="000000"/>
              <w:right w:val="single" w:sz="4" w:space="0" w:color="auto"/>
            </w:tcBorders>
            <w:vAlign w:val="center"/>
          </w:tcPr>
          <w:p w:rsidR="00000000" w:rsidRDefault="00434C0A">
            <w:pPr>
              <w:rPr>
                <w:rFonts w:hint="eastAsia"/>
              </w:rPr>
            </w:pPr>
            <w:r>
              <w:rPr>
                <w:rFonts w:hint="eastAsia"/>
              </w:rPr>
              <w:t>5,000,000.00</w:t>
            </w:r>
          </w:p>
        </w:tc>
        <w:tc>
          <w:tcPr>
            <w:tcW w:w="1470" w:type="dxa"/>
            <w:tcBorders>
              <w:top w:val="outset" w:sz="4" w:space="0" w:color="000000"/>
              <w:left w:val="single" w:sz="4" w:space="0" w:color="000000"/>
              <w:bottom w:val="single" w:sz="4" w:space="0" w:color="000000"/>
              <w:right w:val="single" w:sz="4" w:space="0" w:color="auto"/>
            </w:tcBorders>
            <w:vAlign w:val="center"/>
          </w:tcPr>
          <w:p w:rsidR="00000000" w:rsidRDefault="00434C0A">
            <w:pPr>
              <w:rPr>
                <w:rFonts w:hint="eastAsia"/>
              </w:rPr>
            </w:pPr>
            <w:r>
              <w:rPr>
                <w:rFonts w:hint="eastAsia"/>
              </w:rPr>
              <w:t>5,000,000.00</w:t>
            </w:r>
          </w:p>
        </w:tc>
        <w:tc>
          <w:tcPr>
            <w:tcW w:w="1500" w:type="dxa"/>
            <w:tcBorders>
              <w:top w:val="outset" w:sz="4" w:space="0" w:color="000000"/>
              <w:left w:val="single" w:sz="4" w:space="0" w:color="000000"/>
              <w:bottom w:val="single" w:sz="4" w:space="0" w:color="000000"/>
              <w:right w:val="single" w:sz="4" w:space="0" w:color="auto"/>
            </w:tcBorders>
            <w:vAlign w:val="center"/>
          </w:tcPr>
          <w:p w:rsidR="00000000" w:rsidRDefault="00434C0A">
            <w:pPr>
              <w:rPr>
                <w:rFonts w:hint="eastAsia"/>
              </w:rPr>
            </w:pPr>
            <w:r>
              <w:rPr>
                <w:rFonts w:hint="eastAsia"/>
              </w:rPr>
              <w:t>5,000,000.00</w:t>
            </w:r>
          </w:p>
        </w:tc>
        <w:tc>
          <w:tcPr>
            <w:tcW w:w="1482" w:type="dxa"/>
            <w:tcBorders>
              <w:top w:val="outset" w:sz="4" w:space="0" w:color="000000"/>
              <w:left w:val="single" w:sz="4" w:space="0" w:color="000000"/>
              <w:bottom w:val="single" w:sz="4" w:space="0" w:color="000000"/>
              <w:right w:val="single" w:sz="4" w:space="0" w:color="auto"/>
            </w:tcBorders>
            <w:vAlign w:val="center"/>
          </w:tcPr>
          <w:p w:rsidR="00000000" w:rsidRDefault="00434C0A">
            <w:pPr>
              <w:rPr>
                <w:rFonts w:hint="eastAsia"/>
              </w:rPr>
            </w:pPr>
            <w:r>
              <w:rPr>
                <w:rFonts w:hint="eastAsia"/>
              </w:rPr>
              <w:t>5,000,000.00</w:t>
            </w:r>
          </w:p>
        </w:tc>
      </w:tr>
    </w:tbl>
    <w:p w:rsidR="00000000" w:rsidRDefault="00434C0A">
      <w:pPr>
        <w:adjustRightInd w:val="0"/>
        <w:snapToGrid w:val="0"/>
        <w:spacing w:line="360" w:lineRule="auto"/>
        <w:jc w:val="left"/>
        <w:rPr>
          <w:rFonts w:hint="eastAsia"/>
        </w:rPr>
      </w:pPr>
      <w:r>
        <w:rPr>
          <w:rFonts w:hint="eastAsia"/>
        </w:rPr>
        <w:t>注</w:t>
      </w:r>
      <w:r>
        <w:rPr>
          <w:rFonts w:hint="eastAsia"/>
        </w:rPr>
        <w:t>:</w:t>
      </w:r>
      <w:r>
        <w:rPr>
          <w:rFonts w:hint="eastAsia"/>
          <w:szCs w:val="24"/>
          <w:lang/>
        </w:rPr>
        <w:t>1</w:t>
      </w:r>
      <w:r>
        <w:rPr>
          <w:rFonts w:hint="eastAsia"/>
          <w:szCs w:val="24"/>
          <w:lang/>
        </w:rPr>
        <w:t>、自</w:t>
      </w:r>
      <w:r>
        <w:rPr>
          <w:rFonts w:hint="eastAsia"/>
          <w:szCs w:val="24"/>
          <w:lang/>
        </w:rPr>
        <w:t>2025</w:t>
      </w:r>
      <w:r>
        <w:rPr>
          <w:rFonts w:hint="eastAsia"/>
          <w:szCs w:val="24"/>
          <w:lang/>
        </w:rPr>
        <w:t>年</w:t>
      </w:r>
      <w:r>
        <w:rPr>
          <w:rFonts w:hint="eastAsia"/>
          <w:szCs w:val="24"/>
          <w:lang/>
        </w:rPr>
        <w:t>1</w:t>
      </w:r>
      <w:r>
        <w:rPr>
          <w:rFonts w:hint="eastAsia"/>
          <w:szCs w:val="24"/>
          <w:lang/>
        </w:rPr>
        <w:t>月</w:t>
      </w:r>
      <w:r>
        <w:rPr>
          <w:rFonts w:hint="eastAsia"/>
          <w:szCs w:val="24"/>
          <w:lang/>
        </w:rPr>
        <w:t>24</w:t>
      </w:r>
      <w:r>
        <w:rPr>
          <w:rFonts w:hint="eastAsia"/>
          <w:szCs w:val="24"/>
          <w:lang/>
        </w:rPr>
        <w:t>日起至</w:t>
      </w:r>
      <w:r>
        <w:rPr>
          <w:rFonts w:hint="eastAsia"/>
          <w:szCs w:val="24"/>
          <w:lang/>
        </w:rPr>
        <w:t>2025</w:t>
      </w:r>
      <w:r>
        <w:rPr>
          <w:rFonts w:hint="eastAsia"/>
          <w:szCs w:val="24"/>
          <w:lang/>
        </w:rPr>
        <w:t>年</w:t>
      </w:r>
      <w:r>
        <w:rPr>
          <w:rFonts w:hint="eastAsia"/>
          <w:szCs w:val="24"/>
          <w:lang/>
        </w:rPr>
        <w:t>1</w:t>
      </w:r>
      <w:r>
        <w:rPr>
          <w:rFonts w:hint="eastAsia"/>
          <w:szCs w:val="24"/>
          <w:lang/>
        </w:rPr>
        <w:t>月</w:t>
      </w:r>
      <w:r>
        <w:rPr>
          <w:rFonts w:hint="eastAsia"/>
          <w:szCs w:val="24"/>
          <w:lang/>
        </w:rPr>
        <w:t>27</w:t>
      </w:r>
      <w:r>
        <w:rPr>
          <w:rFonts w:hint="eastAsia"/>
          <w:szCs w:val="24"/>
          <w:lang/>
        </w:rPr>
        <w:t>日期间，本基金</w:t>
      </w:r>
      <w:r>
        <w:rPr>
          <w:rFonts w:hint="eastAsia"/>
          <w:szCs w:val="24"/>
          <w:lang/>
        </w:rPr>
        <w:t>D</w:t>
      </w:r>
      <w:r>
        <w:rPr>
          <w:rFonts w:hint="eastAsia"/>
          <w:szCs w:val="24"/>
          <w:lang/>
        </w:rPr>
        <w:t>类份额大额申购、转换转入投资业务限制</w:t>
      </w:r>
      <w:r>
        <w:rPr>
          <w:rFonts w:hint="eastAsia"/>
          <w:szCs w:val="24"/>
          <w:lang/>
        </w:rPr>
        <w:t>金额为</w:t>
      </w:r>
      <w:r>
        <w:rPr>
          <w:rFonts w:hint="eastAsia"/>
          <w:szCs w:val="24"/>
          <w:lang/>
        </w:rPr>
        <w:t>500</w:t>
      </w:r>
      <w:r>
        <w:rPr>
          <w:rFonts w:hint="eastAsia"/>
          <w:szCs w:val="24"/>
          <w:lang/>
        </w:rPr>
        <w:t>万元。</w:t>
      </w:r>
      <w:r>
        <w:rPr>
          <w:rFonts w:hint="eastAsia"/>
          <w:szCs w:val="24"/>
          <w:lang/>
        </w:rPr>
        <w:t>2</w:t>
      </w:r>
      <w:r>
        <w:rPr>
          <w:rFonts w:hint="eastAsia"/>
          <w:szCs w:val="24"/>
          <w:lang/>
        </w:rPr>
        <w:t>、自</w:t>
      </w:r>
      <w:r>
        <w:rPr>
          <w:rFonts w:hint="eastAsia"/>
          <w:szCs w:val="24"/>
          <w:lang/>
        </w:rPr>
        <w:t>2025</w:t>
      </w:r>
      <w:r>
        <w:rPr>
          <w:rFonts w:hint="eastAsia"/>
          <w:szCs w:val="24"/>
          <w:lang/>
        </w:rPr>
        <w:t>年</w:t>
      </w:r>
      <w:r>
        <w:rPr>
          <w:rFonts w:hint="eastAsia"/>
          <w:szCs w:val="24"/>
          <w:lang/>
        </w:rPr>
        <w:t>2</w:t>
      </w:r>
      <w:r>
        <w:rPr>
          <w:rFonts w:hint="eastAsia"/>
          <w:szCs w:val="24"/>
          <w:lang/>
        </w:rPr>
        <w:t>月</w:t>
      </w:r>
      <w:r>
        <w:rPr>
          <w:rFonts w:hint="eastAsia"/>
          <w:szCs w:val="24"/>
          <w:lang/>
        </w:rPr>
        <w:t>5</w:t>
      </w:r>
      <w:r>
        <w:rPr>
          <w:rFonts w:hint="eastAsia"/>
          <w:szCs w:val="24"/>
          <w:lang/>
        </w:rPr>
        <w:t>日起，本基金</w:t>
      </w:r>
      <w:r>
        <w:rPr>
          <w:rFonts w:hint="eastAsia"/>
          <w:szCs w:val="24"/>
          <w:lang/>
        </w:rPr>
        <w:t>D</w:t>
      </w:r>
      <w:r>
        <w:rPr>
          <w:rFonts w:hint="eastAsia"/>
          <w:szCs w:val="24"/>
          <w:lang/>
        </w:rPr>
        <w:t>类份额恢复大额申购、转换转入投资业务，届时将不再另行公告。</w:t>
      </w:r>
      <w:r>
        <w:rPr>
          <w:rFonts w:hint="eastAsia"/>
          <w:szCs w:val="24"/>
          <w:lang/>
        </w:rPr>
        <w:t>3</w:t>
      </w:r>
      <w:r>
        <w:rPr>
          <w:rFonts w:hint="eastAsia"/>
          <w:szCs w:val="24"/>
          <w:lang/>
        </w:rPr>
        <w:t>、本基金</w:t>
      </w:r>
      <w:r>
        <w:rPr>
          <w:rFonts w:hint="eastAsia"/>
          <w:szCs w:val="24"/>
          <w:lang/>
        </w:rPr>
        <w:t>A</w:t>
      </w:r>
      <w:r>
        <w:rPr>
          <w:rFonts w:hint="eastAsia"/>
          <w:szCs w:val="24"/>
          <w:lang/>
        </w:rPr>
        <w:t>类份额及</w:t>
      </w:r>
      <w:r>
        <w:rPr>
          <w:rFonts w:hint="eastAsia"/>
          <w:szCs w:val="24"/>
          <w:lang/>
        </w:rPr>
        <w:t>B</w:t>
      </w:r>
      <w:r>
        <w:rPr>
          <w:rFonts w:hint="eastAsia"/>
          <w:szCs w:val="24"/>
          <w:lang/>
        </w:rPr>
        <w:t>类份额仍按照</w:t>
      </w:r>
      <w:r>
        <w:rPr>
          <w:rFonts w:hint="eastAsia"/>
          <w:szCs w:val="24"/>
          <w:lang/>
        </w:rPr>
        <w:t>2022</w:t>
      </w:r>
      <w:r>
        <w:rPr>
          <w:rFonts w:hint="eastAsia"/>
          <w:szCs w:val="24"/>
          <w:lang/>
        </w:rPr>
        <w:t>年</w:t>
      </w:r>
      <w:r>
        <w:rPr>
          <w:rFonts w:hint="eastAsia"/>
          <w:szCs w:val="24"/>
          <w:lang/>
        </w:rPr>
        <w:t>11</w:t>
      </w:r>
      <w:r>
        <w:rPr>
          <w:rFonts w:hint="eastAsia"/>
          <w:szCs w:val="24"/>
          <w:lang/>
        </w:rPr>
        <w:t>月</w:t>
      </w:r>
      <w:r>
        <w:rPr>
          <w:rFonts w:hint="eastAsia"/>
          <w:szCs w:val="24"/>
          <w:lang/>
        </w:rPr>
        <w:t>25</w:t>
      </w:r>
      <w:r>
        <w:rPr>
          <w:rFonts w:hint="eastAsia"/>
          <w:szCs w:val="24"/>
          <w:lang/>
        </w:rPr>
        <w:t>日公告进行限制，即大额申购、转换转入投资业务限制金额仍为</w:t>
      </w:r>
      <w:r>
        <w:rPr>
          <w:rFonts w:hint="eastAsia"/>
          <w:szCs w:val="24"/>
          <w:lang/>
        </w:rPr>
        <w:t>500</w:t>
      </w:r>
      <w:r>
        <w:rPr>
          <w:rFonts w:hint="eastAsia"/>
          <w:szCs w:val="24"/>
          <w:lang/>
        </w:rPr>
        <w:t>万元。</w:t>
      </w:r>
      <w:r>
        <w:rPr>
          <w:rFonts w:hint="eastAsia"/>
          <w:szCs w:val="24"/>
          <w:lang/>
        </w:rPr>
        <w:t>4</w:t>
      </w:r>
      <w:r>
        <w:rPr>
          <w:rFonts w:hint="eastAsia"/>
          <w:szCs w:val="24"/>
          <w:lang/>
        </w:rPr>
        <w:t>、本基金</w:t>
      </w:r>
      <w:r>
        <w:rPr>
          <w:rFonts w:hint="eastAsia"/>
          <w:szCs w:val="24"/>
          <w:lang/>
        </w:rPr>
        <w:t>C</w:t>
      </w:r>
      <w:r>
        <w:rPr>
          <w:rFonts w:hint="eastAsia"/>
          <w:szCs w:val="24"/>
          <w:lang/>
        </w:rPr>
        <w:t>类份额仍按照</w:t>
      </w:r>
      <w:r>
        <w:rPr>
          <w:rFonts w:hint="eastAsia"/>
          <w:szCs w:val="24"/>
          <w:lang/>
        </w:rPr>
        <w:t>2024</w:t>
      </w:r>
      <w:r>
        <w:rPr>
          <w:rFonts w:hint="eastAsia"/>
          <w:szCs w:val="24"/>
          <w:lang/>
        </w:rPr>
        <w:t>年</w:t>
      </w:r>
      <w:r>
        <w:rPr>
          <w:rFonts w:hint="eastAsia"/>
          <w:szCs w:val="24"/>
          <w:lang/>
        </w:rPr>
        <w:t>9</w:t>
      </w:r>
      <w:r>
        <w:rPr>
          <w:rFonts w:hint="eastAsia"/>
          <w:szCs w:val="24"/>
          <w:lang/>
        </w:rPr>
        <w:t>月</w:t>
      </w:r>
      <w:r>
        <w:rPr>
          <w:rFonts w:hint="eastAsia"/>
          <w:szCs w:val="24"/>
          <w:lang/>
        </w:rPr>
        <w:t>11</w:t>
      </w:r>
      <w:r>
        <w:rPr>
          <w:rFonts w:hint="eastAsia"/>
          <w:szCs w:val="24"/>
          <w:lang/>
        </w:rPr>
        <w:t>日公告进行限制，即大额申购、转换转入投资业务限制金额为</w:t>
      </w:r>
      <w:r>
        <w:rPr>
          <w:rFonts w:hint="eastAsia"/>
          <w:szCs w:val="24"/>
          <w:lang/>
        </w:rPr>
        <w:t>500</w:t>
      </w:r>
      <w:r>
        <w:rPr>
          <w:rFonts w:hint="eastAsia"/>
          <w:szCs w:val="24"/>
          <w:lang/>
        </w:rPr>
        <w:t>万元。</w:t>
      </w:r>
      <w:r>
        <w:rPr>
          <w:rFonts w:hint="eastAsia"/>
          <w:szCs w:val="24"/>
        </w:rPr>
        <w:t xml:space="preserve"> </w:t>
      </w:r>
    </w:p>
    <w:p w:rsidR="00000000" w:rsidRDefault="00434C0A">
      <w:pPr>
        <w:pStyle w:val="XBRLTitle1"/>
        <w:spacing w:before="156" w:line="360" w:lineRule="auto"/>
        <w:jc w:val="left"/>
        <w:rPr>
          <w:rFonts w:hint="eastAsia"/>
        </w:rPr>
      </w:pPr>
      <w:bookmarkStart w:id="13" w:name="_Toc513295878"/>
      <w:bookmarkStart w:id="14" w:name="_Toc438646481"/>
      <w:bookmarkStart w:id="15" w:name="_Toc490050049"/>
      <w:bookmarkStart w:id="16" w:name="_Toc17897969"/>
      <w:bookmarkStart w:id="17" w:name="_Toc17898228"/>
      <w:bookmarkStart w:id="18" w:name="_Toc481075097"/>
      <w:bookmarkStart w:id="19" w:name="_Toc512519529"/>
      <w:bookmarkStart w:id="20" w:name="_Toc34322063"/>
      <w:bookmarkStart w:id="21" w:name="_Toc513295941"/>
      <w:bookmarkStart w:id="22" w:name="m201_01"/>
      <w:r>
        <w:rPr>
          <w:rFonts w:hAnsi="宋体" w:hint="eastAsia"/>
          <w:szCs w:val="24"/>
        </w:rPr>
        <w:t>其他需要提示的事项</w:t>
      </w:r>
      <w:bookmarkEnd w:id="13"/>
      <w:bookmarkEnd w:id="14"/>
      <w:bookmarkEnd w:id="15"/>
      <w:bookmarkEnd w:id="16"/>
      <w:bookmarkEnd w:id="17"/>
      <w:bookmarkEnd w:id="18"/>
      <w:bookmarkEnd w:id="19"/>
      <w:bookmarkEnd w:id="20"/>
      <w:bookmarkEnd w:id="21"/>
      <w:r>
        <w:rPr>
          <w:rFonts w:hAnsi="宋体" w:hint="eastAsia"/>
          <w:szCs w:val="24"/>
        </w:rPr>
        <w:t xml:space="preserve"> </w:t>
      </w:r>
    </w:p>
    <w:p w:rsidR="00000000" w:rsidRDefault="00434C0A">
      <w:pPr>
        <w:widowControl/>
        <w:spacing w:line="360" w:lineRule="auto"/>
        <w:ind w:firstLineChars="200" w:firstLine="420"/>
        <w:jc w:val="left"/>
        <w:rPr>
          <w:rFonts w:hint="eastAsia"/>
          <w:kern w:val="0"/>
          <w:szCs w:val="21"/>
        </w:rPr>
      </w:pPr>
      <w:r>
        <w:rPr>
          <w:rFonts w:hint="eastAsia"/>
          <w:kern w:val="0"/>
          <w:szCs w:val="21"/>
        </w:rPr>
        <w:t>1</w:t>
      </w:r>
      <w:r>
        <w:rPr>
          <w:rFonts w:hint="eastAsia"/>
          <w:kern w:val="0"/>
          <w:szCs w:val="21"/>
        </w:rPr>
        <w:t>、自</w:t>
      </w:r>
      <w:r>
        <w:rPr>
          <w:rFonts w:hint="eastAsia"/>
          <w:kern w:val="0"/>
          <w:szCs w:val="21"/>
        </w:rPr>
        <w:t>2025</w:t>
      </w:r>
      <w:r>
        <w:rPr>
          <w:rFonts w:hint="eastAsia"/>
          <w:kern w:val="0"/>
          <w:szCs w:val="21"/>
        </w:rPr>
        <w:t>年</w:t>
      </w:r>
      <w:r>
        <w:rPr>
          <w:rFonts w:hint="eastAsia"/>
          <w:kern w:val="0"/>
          <w:szCs w:val="21"/>
        </w:rPr>
        <w:t>1</w:t>
      </w:r>
      <w:r>
        <w:rPr>
          <w:rFonts w:hint="eastAsia"/>
          <w:kern w:val="0"/>
          <w:szCs w:val="21"/>
        </w:rPr>
        <w:t>月</w:t>
      </w:r>
      <w:r>
        <w:rPr>
          <w:rFonts w:hint="eastAsia"/>
          <w:kern w:val="0"/>
          <w:szCs w:val="21"/>
        </w:rPr>
        <w:t>24</w:t>
      </w:r>
      <w:r>
        <w:rPr>
          <w:rFonts w:hint="eastAsia"/>
          <w:kern w:val="0"/>
          <w:szCs w:val="21"/>
        </w:rPr>
        <w:t>日起至</w:t>
      </w:r>
      <w:r>
        <w:rPr>
          <w:rFonts w:hint="eastAsia"/>
          <w:kern w:val="0"/>
          <w:szCs w:val="21"/>
        </w:rPr>
        <w:t>2025</w:t>
      </w:r>
      <w:r>
        <w:rPr>
          <w:rFonts w:hint="eastAsia"/>
          <w:kern w:val="0"/>
          <w:szCs w:val="21"/>
        </w:rPr>
        <w:t>年</w:t>
      </w:r>
      <w:r>
        <w:rPr>
          <w:rFonts w:hint="eastAsia"/>
          <w:kern w:val="0"/>
          <w:szCs w:val="21"/>
        </w:rPr>
        <w:t>1</w:t>
      </w:r>
      <w:r>
        <w:rPr>
          <w:rFonts w:hint="eastAsia"/>
          <w:kern w:val="0"/>
          <w:szCs w:val="21"/>
        </w:rPr>
        <w:t>月</w:t>
      </w:r>
      <w:r>
        <w:rPr>
          <w:rFonts w:hint="eastAsia"/>
          <w:kern w:val="0"/>
          <w:szCs w:val="21"/>
        </w:rPr>
        <w:t>27</w:t>
      </w:r>
      <w:r>
        <w:rPr>
          <w:rFonts w:hint="eastAsia"/>
          <w:kern w:val="0"/>
          <w:szCs w:val="21"/>
        </w:rPr>
        <w:t>日期间，对本基金</w:t>
      </w:r>
      <w:r>
        <w:rPr>
          <w:rFonts w:hint="eastAsia"/>
          <w:kern w:val="0"/>
          <w:szCs w:val="21"/>
        </w:rPr>
        <w:t>D</w:t>
      </w:r>
      <w:r>
        <w:rPr>
          <w:rFonts w:hint="eastAsia"/>
          <w:kern w:val="0"/>
          <w:szCs w:val="21"/>
        </w:rPr>
        <w:t>类份额份额单日单个基金账户单笔或多笔累计高于</w:t>
      </w:r>
      <w:r>
        <w:rPr>
          <w:rFonts w:hint="eastAsia"/>
          <w:kern w:val="0"/>
          <w:szCs w:val="21"/>
        </w:rPr>
        <w:t>500</w:t>
      </w:r>
      <w:r>
        <w:rPr>
          <w:rFonts w:hint="eastAsia"/>
          <w:kern w:val="0"/>
          <w:szCs w:val="21"/>
        </w:rPr>
        <w:t>万元的申购、转换转入业务进行</w:t>
      </w:r>
      <w:r>
        <w:rPr>
          <w:rFonts w:hint="eastAsia"/>
          <w:kern w:val="0"/>
          <w:szCs w:val="21"/>
        </w:rPr>
        <w:t>限制；如投资者单日单个基金账户单笔或多笔累计申请金额高于</w:t>
      </w:r>
      <w:r>
        <w:rPr>
          <w:rFonts w:hint="eastAsia"/>
          <w:kern w:val="0"/>
          <w:szCs w:val="21"/>
        </w:rPr>
        <w:t>500</w:t>
      </w:r>
      <w:r>
        <w:rPr>
          <w:rFonts w:hint="eastAsia"/>
          <w:kern w:val="0"/>
          <w:szCs w:val="21"/>
        </w:rPr>
        <w:t>万元的，本基金管理人有权拒绝。</w:t>
      </w:r>
      <w:r>
        <w:rPr>
          <w:rFonts w:hint="eastAsia"/>
          <w:kern w:val="0"/>
          <w:szCs w:val="21"/>
        </w:rPr>
        <w:t xml:space="preserve"> </w:t>
      </w:r>
    </w:p>
    <w:p w:rsidR="00000000" w:rsidRDefault="00434C0A">
      <w:pPr>
        <w:widowControl/>
        <w:spacing w:line="360" w:lineRule="auto"/>
        <w:ind w:firstLineChars="200" w:firstLine="420"/>
        <w:jc w:val="left"/>
        <w:rPr>
          <w:rFonts w:hint="eastAsia"/>
          <w:kern w:val="0"/>
          <w:szCs w:val="21"/>
        </w:rPr>
      </w:pPr>
      <w:r>
        <w:rPr>
          <w:rFonts w:hint="eastAsia"/>
          <w:kern w:val="0"/>
          <w:szCs w:val="21"/>
        </w:rPr>
        <w:t>2</w:t>
      </w:r>
      <w:r>
        <w:rPr>
          <w:rFonts w:hint="eastAsia"/>
          <w:kern w:val="0"/>
          <w:szCs w:val="21"/>
        </w:rPr>
        <w:t>、在上述期间的交易日，本基金作为转出方的转换业务、赎回业务等其他业务以及本基金管理人管理的其他开放式基金的各项交易业务仍照常办理。</w:t>
      </w:r>
      <w:r>
        <w:rPr>
          <w:rFonts w:hint="eastAsia"/>
          <w:kern w:val="0"/>
          <w:szCs w:val="21"/>
        </w:rPr>
        <w:br/>
      </w:r>
      <w:r>
        <w:rPr>
          <w:rFonts w:hint="eastAsia"/>
          <w:kern w:val="0"/>
          <w:szCs w:val="21"/>
        </w:rPr>
        <w:t xml:space="preserve">    </w:t>
      </w:r>
      <w:r>
        <w:rPr>
          <w:rFonts w:hint="eastAsia"/>
          <w:kern w:val="0"/>
          <w:szCs w:val="21"/>
        </w:rPr>
        <w:t>3</w:t>
      </w:r>
      <w:r>
        <w:rPr>
          <w:rFonts w:hint="eastAsia"/>
          <w:kern w:val="0"/>
          <w:szCs w:val="21"/>
        </w:rPr>
        <w:t>、客户服务电话</w:t>
      </w:r>
      <w:r>
        <w:rPr>
          <w:rFonts w:hint="eastAsia"/>
          <w:kern w:val="0"/>
          <w:szCs w:val="21"/>
        </w:rPr>
        <w:t>400-811-9999</w:t>
      </w:r>
      <w:r>
        <w:rPr>
          <w:rFonts w:hint="eastAsia"/>
          <w:kern w:val="0"/>
          <w:szCs w:val="21"/>
        </w:rPr>
        <w:t>；本公司网站</w:t>
      </w:r>
      <w:r>
        <w:rPr>
          <w:rFonts w:hint="eastAsia"/>
          <w:kern w:val="0"/>
          <w:szCs w:val="21"/>
        </w:rPr>
        <w:t>www.icbccs.com.cn</w:t>
      </w:r>
      <w:r>
        <w:rPr>
          <w:rFonts w:hint="eastAsia"/>
          <w:kern w:val="0"/>
          <w:szCs w:val="21"/>
        </w:rPr>
        <w:t>。</w:t>
      </w:r>
      <w:r>
        <w:rPr>
          <w:rFonts w:hint="eastAsia"/>
          <w:kern w:val="0"/>
          <w:szCs w:val="21"/>
        </w:rPr>
        <w:br/>
      </w:r>
      <w:r>
        <w:rPr>
          <w:rFonts w:hint="eastAsia"/>
          <w:kern w:val="0"/>
          <w:szCs w:val="21"/>
        </w:rPr>
        <w:t xml:space="preserve">    </w:t>
      </w:r>
      <w:r>
        <w:rPr>
          <w:rFonts w:hint="eastAsia"/>
          <w:kern w:val="0"/>
          <w:szCs w:val="21"/>
        </w:rPr>
        <w:t>4</w:t>
      </w:r>
      <w:r>
        <w:rPr>
          <w:rFonts w:hint="eastAsia"/>
          <w:kern w:val="0"/>
          <w:szCs w:val="21"/>
        </w:rPr>
        <w:t>、风险提示：本公司承诺以诚实信用、勤勉尽责的原则管理和运用基金资产，但不保证基金一定盈利，也不保证最低收益。敬请投资人注意投资风险。投资者投资基金前应认真阅读基金的基金合同、</w:t>
      </w:r>
      <w:r>
        <w:rPr>
          <w:rFonts w:hint="eastAsia"/>
          <w:kern w:val="0"/>
          <w:szCs w:val="21"/>
        </w:rPr>
        <w:t>更新的招募说明书、基金产品资料概要等法律文件，并选择适合自身风险承受能力的投资品种进行投资。</w:t>
      </w:r>
      <w:r>
        <w:rPr>
          <w:rFonts w:hint="eastAsia"/>
          <w:kern w:val="0"/>
          <w:szCs w:val="21"/>
        </w:rPr>
        <w:t xml:space="preserve"> </w:t>
      </w:r>
    </w:p>
    <w:p w:rsidR="00000000" w:rsidRDefault="00434C0A">
      <w:pPr>
        <w:spacing w:line="360" w:lineRule="auto"/>
        <w:ind w:firstLineChars="600" w:firstLine="1446"/>
        <w:jc w:val="right"/>
        <w:rPr>
          <w:rFonts w:hint="eastAsia"/>
          <w:b/>
          <w:bCs/>
          <w:sz w:val="24"/>
          <w:szCs w:val="30"/>
        </w:rPr>
      </w:pPr>
      <w:r>
        <w:rPr>
          <w:rFonts w:hint="eastAsia"/>
          <w:b/>
          <w:bCs/>
          <w:sz w:val="24"/>
          <w:szCs w:val="30"/>
        </w:rPr>
        <w:t xml:space="preserve">　</w:t>
      </w:r>
      <w:r>
        <w:rPr>
          <w:rFonts w:hint="eastAsia"/>
          <w:b/>
          <w:bCs/>
          <w:sz w:val="24"/>
          <w:szCs w:val="30"/>
        </w:rPr>
        <w:t xml:space="preserve"> </w:t>
      </w:r>
    </w:p>
    <w:p w:rsidR="00000000" w:rsidRDefault="00434C0A">
      <w:pPr>
        <w:spacing w:line="360" w:lineRule="auto"/>
        <w:ind w:firstLineChars="600" w:firstLine="1446"/>
        <w:jc w:val="right"/>
        <w:rPr>
          <w:rFonts w:hint="eastAsia"/>
          <w:b/>
          <w:bCs/>
          <w:sz w:val="24"/>
          <w:szCs w:val="30"/>
        </w:rPr>
      </w:pPr>
      <w:r>
        <w:rPr>
          <w:rFonts w:hint="eastAsia"/>
          <w:b/>
          <w:bCs/>
          <w:sz w:val="24"/>
          <w:szCs w:val="30"/>
        </w:rPr>
        <w:t xml:space="preserve">　</w:t>
      </w:r>
      <w:r>
        <w:rPr>
          <w:rFonts w:hint="eastAsia"/>
          <w:b/>
          <w:bCs/>
          <w:sz w:val="24"/>
          <w:szCs w:val="30"/>
        </w:rPr>
        <w:t xml:space="preserve"> </w:t>
      </w:r>
    </w:p>
    <w:p w:rsidR="00000000" w:rsidRDefault="00434C0A">
      <w:pPr>
        <w:spacing w:line="360" w:lineRule="auto"/>
        <w:ind w:firstLineChars="600" w:firstLine="1446"/>
        <w:jc w:val="right"/>
        <w:rPr>
          <w:rFonts w:hint="eastAsia"/>
        </w:rPr>
      </w:pPr>
      <w:r>
        <w:rPr>
          <w:rFonts w:hint="eastAsia"/>
          <w:b/>
          <w:bCs/>
          <w:sz w:val="24"/>
          <w:szCs w:val="24"/>
        </w:rPr>
        <w:t>工银瑞信基金管理有限公司</w:t>
      </w:r>
    </w:p>
    <w:p w:rsidR="00000000" w:rsidRDefault="00434C0A">
      <w:pPr>
        <w:spacing w:line="360" w:lineRule="auto"/>
        <w:ind w:firstLineChars="600" w:firstLine="1446"/>
        <w:jc w:val="right"/>
        <w:rPr>
          <w:rFonts w:hint="eastAsia"/>
        </w:rPr>
      </w:pPr>
      <w:r>
        <w:rPr>
          <w:rFonts w:hint="eastAsia"/>
          <w:b/>
          <w:bCs/>
          <w:sz w:val="24"/>
          <w:szCs w:val="24"/>
        </w:rPr>
        <w:t>2025</w:t>
      </w:r>
      <w:r>
        <w:rPr>
          <w:rFonts w:hint="eastAsia"/>
          <w:b/>
          <w:bCs/>
          <w:sz w:val="24"/>
          <w:szCs w:val="24"/>
        </w:rPr>
        <w:t>年</w:t>
      </w:r>
      <w:r>
        <w:rPr>
          <w:rFonts w:hint="eastAsia"/>
          <w:b/>
          <w:bCs/>
          <w:sz w:val="24"/>
          <w:szCs w:val="24"/>
        </w:rPr>
        <w:t>1</w:t>
      </w:r>
      <w:r>
        <w:rPr>
          <w:rFonts w:hint="eastAsia"/>
          <w:b/>
          <w:bCs/>
          <w:sz w:val="24"/>
          <w:szCs w:val="24"/>
        </w:rPr>
        <w:t>月</w:t>
      </w:r>
      <w:r>
        <w:rPr>
          <w:rFonts w:hint="eastAsia"/>
          <w:b/>
          <w:bCs/>
          <w:sz w:val="24"/>
          <w:szCs w:val="24"/>
        </w:rPr>
        <w:t>23</w:t>
      </w:r>
      <w:r>
        <w:rPr>
          <w:rFonts w:hint="eastAsia"/>
          <w:b/>
          <w:bCs/>
          <w:sz w:val="24"/>
          <w:szCs w:val="24"/>
        </w:rPr>
        <w:t>日</w:t>
      </w:r>
      <w:bookmarkEnd w:id="22"/>
      <w:r>
        <w:rPr>
          <w:rFonts w:hint="eastAsia"/>
          <w:b/>
          <w:bCs/>
          <w:sz w:val="24"/>
          <w:szCs w:val="24"/>
        </w:rPr>
        <w:t xml:space="preserve"> </w:t>
      </w:r>
    </w:p>
    <w:sectPr w:rsidR="00000000">
      <w:headerReference w:type="default" r:id="rId7"/>
      <w:footerReference w:type="default" r:id="rId8"/>
      <w:headerReference w:type="first" r:id="rId9"/>
      <w:footerReference w:type="first" r:id="rId10"/>
      <w:pgSz w:w="11907" w:h="16839"/>
      <w:pgMar w:top="1440" w:right="1531" w:bottom="1134" w:left="1531" w:header="851" w:footer="992" w:gutter="0"/>
      <w:pgNumType w:start="1"/>
      <w:cols w:space="72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0000" w:rsidRDefault="00434C0A">
      <w:r>
        <w:separator/>
      </w:r>
    </w:p>
  </w:endnote>
  <w:endnote w:type="continuationSeparator" w:id="0">
    <w:p w:rsidR="00000000" w:rsidRDefault="00434C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Microsoft YaHei UI">
    <w:charset w:val="86"/>
    <w:family w:val="swiss"/>
    <w:pitch w:val="default"/>
    <w:sig w:usb0="80000287" w:usb1="2ACF3C50" w:usb2="00000016" w:usb3="00000000" w:csb0="0004001F" w:csb1="00000000"/>
  </w:font>
  <w:font w:name="Arial Unicode MS">
    <w:panose1 w:val="020B0604020202020204"/>
    <w:charset w:val="86"/>
    <w:family w:val="swiss"/>
    <w:pitch w:val="variable"/>
    <w:sig w:usb0="F7FFAFFF" w:usb1="E9DFFFFF" w:usb2="0000003F" w:usb3="00000000" w:csb0="003F01FF" w:csb1="00000000"/>
  </w:font>
  <w:font w:name="仿宋">
    <w:charset w:val="86"/>
    <w:family w:val="modern"/>
    <w:pitch w:val="default"/>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34C0A">
    <w:pPr>
      <w:jc w:val="center"/>
      <w:rPr>
        <w:rFonts w:hint="eastAsia"/>
      </w:rPr>
    </w:pPr>
    <w:r>
      <w:rPr>
        <w:rFonts w:hint="eastAsia"/>
        <w:sz w:val="18"/>
        <w:szCs w:val="18"/>
      </w:rPr>
      <w:t>第</w:t>
    </w:r>
    <w:r>
      <w:rPr>
        <w:rFonts w:hint="eastAsia"/>
      </w:rPr>
      <w:t xml:space="preserve"> </w:t>
    </w:r>
    <w:r>
      <w:rPr>
        <w:rFonts w:hint="eastAsia"/>
        <w:sz w:val="18"/>
        <w:szCs w:val="18"/>
      </w:rPr>
      <w:fldChar w:fldCharType="begin"/>
    </w:r>
    <w:r>
      <w:rPr>
        <w:rFonts w:hint="eastAsia"/>
        <w:sz w:val="18"/>
        <w:szCs w:val="18"/>
      </w:rPr>
      <w:instrText xml:space="preserve"> PAGE </w:instrText>
    </w:r>
    <w:r>
      <w:rPr>
        <w:sz w:val="18"/>
        <w:szCs w:val="18"/>
      </w:rPr>
      <w:fldChar w:fldCharType="separate"/>
    </w:r>
    <w:r>
      <w:rPr>
        <w:rFonts w:hint="eastAsia"/>
        <w:sz w:val="18"/>
        <w:szCs w:val="18"/>
        <w:lang w:val="en-US" w:eastAsia="zh-CN"/>
      </w:rPr>
      <w:t>2</w:t>
    </w:r>
    <w:r>
      <w:rPr>
        <w:rFonts w:hint="eastAsia"/>
      </w:rPr>
      <w:t xml:space="preserve"> </w:t>
    </w:r>
    <w:r>
      <w:rPr>
        <w:rFonts w:hint="eastAsia"/>
        <w:sz w:val="18"/>
        <w:szCs w:val="18"/>
      </w:rPr>
      <w:fldChar w:fldCharType="end"/>
    </w:r>
    <w:r>
      <w:rPr>
        <w:rFonts w:hint="eastAsia"/>
        <w:sz w:val="18"/>
        <w:szCs w:val="18"/>
        <w:lang w:val="zh-CN"/>
      </w:rPr>
      <w:t>页</w:t>
    </w:r>
    <w:r>
      <w:rPr>
        <w:rFonts w:hint="eastAsia"/>
        <w:sz w:val="18"/>
        <w:szCs w:val="18"/>
        <w:lang w:val="zh-CN"/>
      </w:rPr>
      <w:t xml:space="preserve"> </w:t>
    </w:r>
    <w:r>
      <w:rPr>
        <w:rFonts w:hint="eastAsia"/>
        <w:sz w:val="18"/>
        <w:szCs w:val="18"/>
        <w:lang w:val="zh-CN"/>
      </w:rPr>
      <w:t>共</w:t>
    </w:r>
    <w:r>
      <w:rPr>
        <w:rFonts w:hint="eastAsia"/>
      </w:rPr>
      <w:t xml:space="preserve"> </w:t>
    </w:r>
    <w:r>
      <w:rPr>
        <w:rFonts w:hint="eastAsia"/>
        <w:sz w:val="18"/>
        <w:szCs w:val="18"/>
      </w:rPr>
      <w:fldChar w:fldCharType="begin"/>
    </w:r>
    <w:r>
      <w:rPr>
        <w:rFonts w:hint="eastAsia"/>
        <w:sz w:val="18"/>
        <w:szCs w:val="18"/>
      </w:rPr>
      <w:instrText xml:space="preserve"> NUMPAGES  </w:instrText>
    </w:r>
    <w:r>
      <w:rPr>
        <w:sz w:val="18"/>
        <w:szCs w:val="18"/>
      </w:rPr>
      <w:fldChar w:fldCharType="separate"/>
    </w:r>
    <w:r>
      <w:rPr>
        <w:rFonts w:hint="eastAsia"/>
        <w:sz w:val="18"/>
        <w:szCs w:val="18"/>
        <w:lang w:val="en-US" w:eastAsia="zh-CN"/>
      </w:rPr>
      <w:t>2</w:t>
    </w:r>
    <w:r>
      <w:rPr>
        <w:rFonts w:hint="eastAsia"/>
      </w:rPr>
      <w:t xml:space="preserve"> </w:t>
    </w:r>
    <w:r>
      <w:rPr>
        <w:rFonts w:hint="eastAsia"/>
        <w:sz w:val="18"/>
        <w:szCs w:val="18"/>
      </w:rPr>
      <w:fldChar w:fldCharType="end"/>
    </w:r>
    <w:r>
      <w:rPr>
        <w:rFonts w:hint="eastAsia"/>
        <w:sz w:val="18"/>
        <w:szCs w:val="18"/>
      </w:rPr>
      <w:t>页</w:t>
    </w:r>
    <w:r>
      <w:rPr>
        <w:rFonts w:hint="eastAsia"/>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34C0A">
    <w:pPr>
      <w:pStyle w:val="a6"/>
      <w:rPr>
        <w:rFonts w:hint="eastAsia"/>
      </w:rPr>
    </w:pPr>
  </w:p>
  <w:p w:rsidR="00000000" w:rsidRDefault="00434C0A">
    <w:pPr>
      <w:jc w:val="center"/>
      <w:rPr>
        <w:rFonts w:hint="eastAsia"/>
      </w:rPr>
    </w:pPr>
    <w:r>
      <w:rPr>
        <w:rFonts w:hint="eastAsia"/>
        <w:sz w:val="18"/>
        <w:szCs w:val="18"/>
      </w:rPr>
      <w:t>第</w:t>
    </w:r>
    <w:r>
      <w:rPr>
        <w:rFonts w:hint="eastAsia"/>
      </w:rPr>
      <w:t xml:space="preserve"> </w:t>
    </w:r>
    <w:r>
      <w:rPr>
        <w:rFonts w:hint="eastAsia"/>
        <w:sz w:val="18"/>
        <w:szCs w:val="18"/>
      </w:rPr>
      <w:fldChar w:fldCharType="begin"/>
    </w:r>
    <w:r>
      <w:rPr>
        <w:rFonts w:hint="eastAsia"/>
        <w:sz w:val="18"/>
        <w:szCs w:val="18"/>
      </w:rPr>
      <w:instrText xml:space="preserve"> PAGE </w:instrText>
    </w:r>
    <w:r>
      <w:rPr>
        <w:sz w:val="18"/>
        <w:szCs w:val="18"/>
      </w:rPr>
      <w:fldChar w:fldCharType="separate"/>
    </w:r>
    <w:r>
      <w:rPr>
        <w:sz w:val="18"/>
        <w:szCs w:val="18"/>
        <w:lang w:val="en-US" w:eastAsia="zh-CN"/>
      </w:rPr>
      <w:t>1</w:t>
    </w:r>
    <w:r>
      <w:rPr>
        <w:rFonts w:hint="eastAsia"/>
        <w:sz w:val="18"/>
        <w:szCs w:val="18"/>
      </w:rPr>
      <w:fldChar w:fldCharType="end"/>
    </w:r>
    <w:r>
      <w:rPr>
        <w:rFonts w:hint="eastAsia"/>
        <w:sz w:val="18"/>
        <w:szCs w:val="18"/>
        <w:lang w:val="zh-CN"/>
      </w:rPr>
      <w:t>页</w:t>
    </w:r>
    <w:r>
      <w:rPr>
        <w:rFonts w:hint="eastAsia"/>
        <w:sz w:val="18"/>
        <w:szCs w:val="18"/>
        <w:lang w:val="zh-CN"/>
      </w:rPr>
      <w:t xml:space="preserve"> </w:t>
    </w:r>
    <w:r>
      <w:rPr>
        <w:rFonts w:hint="eastAsia"/>
        <w:sz w:val="18"/>
        <w:szCs w:val="18"/>
        <w:lang w:val="zh-CN"/>
      </w:rPr>
      <w:t>共</w:t>
    </w:r>
    <w:r>
      <w:rPr>
        <w:rFonts w:hint="eastAsia"/>
      </w:rPr>
      <w:t xml:space="preserve"> </w:t>
    </w:r>
    <w:r>
      <w:rPr>
        <w:rFonts w:hint="eastAsia"/>
        <w:sz w:val="18"/>
        <w:szCs w:val="18"/>
      </w:rPr>
      <w:fldChar w:fldCharType="begin"/>
    </w:r>
    <w:r>
      <w:rPr>
        <w:rFonts w:hint="eastAsia"/>
        <w:sz w:val="18"/>
        <w:szCs w:val="18"/>
      </w:rPr>
      <w:instrText xml:space="preserve"> NUMPAGES  </w:instrText>
    </w:r>
    <w:r>
      <w:rPr>
        <w:sz w:val="18"/>
        <w:szCs w:val="18"/>
      </w:rPr>
      <w:fldChar w:fldCharType="separate"/>
    </w:r>
    <w:r>
      <w:rPr>
        <w:sz w:val="18"/>
        <w:szCs w:val="18"/>
        <w:lang w:val="en-US" w:eastAsia="zh-CN"/>
      </w:rPr>
      <w:t>1</w:t>
    </w:r>
    <w:r>
      <w:rPr>
        <w:rFonts w:hint="eastAsia"/>
        <w:sz w:val="18"/>
        <w:szCs w:val="18"/>
      </w:rPr>
      <w:fldChar w:fldCharType="end"/>
    </w:r>
    <w:r>
      <w:rPr>
        <w:rFonts w:hint="eastAsia"/>
        <w:sz w:val="18"/>
        <w:szCs w:val="18"/>
      </w:rPr>
      <w:t>页</w:t>
    </w:r>
    <w:r>
      <w:rPr>
        <w:rFonts w:hint="eastAsia"/>
      </w:rPr>
      <w:t xml:space="preserve"> </w:t>
    </w:r>
  </w:p>
  <w:p w:rsidR="00000000" w:rsidRDefault="00434C0A">
    <w:pPr>
      <w:pStyle w:val="a6"/>
      <w:rPr>
        <w:rFonts w:hint="eastAsia"/>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0000" w:rsidRDefault="00434C0A">
      <w:r>
        <w:separator/>
      </w:r>
    </w:p>
  </w:footnote>
  <w:footnote w:type="continuationSeparator" w:id="0">
    <w:p w:rsidR="00000000" w:rsidRDefault="00434C0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34C0A">
    <w:pPr>
      <w:pStyle w:val="a7"/>
      <w:jc w:val="right"/>
    </w:pPr>
    <w:r>
      <w:rPr>
        <w:rFonts w:hint="eastAsia"/>
      </w:rPr>
      <w:t>关于限制工银瑞信如意货币市场基金</w:t>
    </w:r>
    <w:r>
      <w:rPr>
        <w:rFonts w:hint="eastAsia"/>
      </w:rPr>
      <w:t>D</w:t>
    </w:r>
    <w:r>
      <w:rPr>
        <w:rFonts w:hint="eastAsia"/>
      </w:rPr>
      <w:t>类份额</w:t>
    </w:r>
    <w:r>
      <w:rPr>
        <w:rFonts w:hint="eastAsia"/>
      </w:rPr>
      <w:t>2025</w:t>
    </w:r>
    <w:r>
      <w:rPr>
        <w:rFonts w:hint="eastAsia"/>
      </w:rPr>
      <w:t>年春节假期大额申购、转换转入投资业务金额的公告</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34C0A">
    <w:pPr>
      <w:pStyle w:val="a7"/>
      <w:jc w:val="right"/>
      <w:rPr>
        <w:rFonts w:hint="eastAsia"/>
      </w:rPr>
    </w:pPr>
    <w:r>
      <w:rPr>
        <w:rFonts w:hint="eastAsia"/>
      </w:rPr>
      <w:t>关于限制工银瑞信如意货币市场基金</w:t>
    </w:r>
    <w:r>
      <w:rPr>
        <w:rFonts w:hint="eastAsia"/>
      </w:rPr>
      <w:t>D</w:t>
    </w:r>
    <w:r>
      <w:rPr>
        <w:rFonts w:hint="eastAsia"/>
      </w:rPr>
      <w:t>类份额</w:t>
    </w:r>
    <w:r>
      <w:rPr>
        <w:rFonts w:hint="eastAsia"/>
      </w:rPr>
      <w:t>2025</w:t>
    </w:r>
    <w:r>
      <w:rPr>
        <w:rFonts w:hint="eastAsia"/>
      </w:rPr>
      <w:t>年春节假期大额申购、转换转入投资业务金额的公告</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7D73EE"/>
    <w:multiLevelType w:val="multilevel"/>
    <w:tmpl w:val="547D73EE"/>
    <w:lvl w:ilvl="0">
      <w:start w:val="1"/>
      <w:numFmt w:val="decimal"/>
      <w:lvlText w:val="%1."/>
      <w:lvlJc w:val="left"/>
      <w:pPr>
        <w:ind w:left="425" w:hanging="425"/>
      </w:pPr>
      <w:rPr>
        <w:sz w:val="24"/>
        <w:szCs w:val="24"/>
      </w:rPr>
    </w:lvl>
    <w:lvl w:ilvl="1">
      <w:start w:val="1"/>
      <w:numFmt w:val="decimal"/>
      <w:suff w:val="space"/>
      <w:lvlText w:val="%1.%2"/>
      <w:lvlJc w:val="left"/>
      <w:pPr>
        <w:ind w:left="3148" w:hanging="454"/>
      </w:pPr>
    </w:lvl>
    <w:lvl w:ilvl="2">
      <w:start w:val="1"/>
      <w:numFmt w:val="decimal"/>
      <w:suff w:val="space"/>
      <w:lvlText w:val="%1.%2.%3"/>
      <w:lvlJc w:val="left"/>
      <w:pPr>
        <w:ind w:left="1050" w:hanging="624"/>
      </w:pPr>
      <w:rPr>
        <w:sz w:val="24"/>
        <w:szCs w:val="24"/>
      </w:rPr>
    </w:lvl>
    <w:lvl w:ilvl="3">
      <w:start w:val="1"/>
      <w:numFmt w:val="decimal"/>
      <w:suff w:val="space"/>
      <w:lvlText w:val="%1.%2.%3.%4"/>
      <w:lvlJc w:val="left"/>
      <w:pPr>
        <w:ind w:left="794" w:hanging="794"/>
      </w:pPr>
    </w:lvl>
    <w:lvl w:ilvl="4">
      <w:start w:val="1"/>
      <w:numFmt w:val="decimal"/>
      <w:suff w:val="space"/>
      <w:lvlText w:val="%1.%2.%3.%4.%5"/>
      <w:lvlJc w:val="left"/>
      <w:pPr>
        <w:ind w:left="1021" w:hanging="1021"/>
      </w:pPr>
    </w:lvl>
    <w:lvl w:ilvl="5">
      <w:start w:val="1"/>
      <w:numFmt w:val="decimal"/>
      <w:suff w:val="space"/>
      <w:lvlText w:val="%1.%2.%3.%4.%5.%6"/>
      <w:lvlJc w:val="left"/>
      <w:pPr>
        <w:ind w:left="1021" w:hanging="1021"/>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mirrorMargins/>
  <w:bordersDoNotSurroundHeader/>
  <w:bordersDoNotSurroundFooter/>
  <w:attachedTemplate r:id="rId1"/>
  <w:doNotTrackMoves/>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93EB5"/>
    <w:rsid w:val="00193EB5"/>
    <w:rsid w:val="00434C0A"/>
    <w:rsid w:val="00A76323"/>
    <w:rsid w:val="00EC5B98"/>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宋体" w:eastAsia="宋体" w:hAnsi="宋体"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uiPriority="0" w:unhideWhenUsed="0"/>
    <w:lsdException w:name="header" w:semiHidden="0" w:unhideWhenUsed="0"/>
    <w:lsdException w:name="footer" w:semiHidden="0" w:unhideWhenUsed="0"/>
    <w:lsdException w:name="caption" w:uiPriority="35" w:qFormat="1"/>
    <w:lsdException w:name="footnote reference" w:semiHidden="0" w:uiPriority="0" w:unhideWhenUsed="0"/>
    <w:lsdException w:name="page number" w:semiHidden="0" w:unhideWhenUsed="0"/>
    <w:lsdException w:name="Title" w:semiHidden="0" w:uiPriority="10" w:unhideWhenUsed="0" w:qFormat="1"/>
    <w:lsdException w:name="Default Paragraph Font" w:uiPriority="1"/>
    <w:lsdException w:name="Subtitle" w:semiHidden="0" w:uiPriority="0" w:unhideWhenUsed="0" w:qFormat="1"/>
    <w:lsdException w:name="Date" w:semiHidden="0" w:uiPriority="0" w:unhideWhenUsed="0"/>
    <w:lsdException w:name="Strong" w:semiHidden="0" w:uiPriority="22" w:unhideWhenUsed="0" w:qFormat="1"/>
    <w:lsdException w:name="Emphasis" w:semiHidden="0" w:uiPriority="20" w:unhideWhenUsed="0" w:qFormat="1"/>
    <w:lsdException w:name="Document Map" w:semiHidden="0" w:uiPriority="0" w:unhideWhenUsed="0"/>
    <w:lsdException w:name="Normal (Web)" w:semiHidden="0" w:uiPriority="0" w:unhideWhenUsed="0"/>
    <w:lsdException w:name="Table Grid" w:semiHidden="0" w:uiPriority="59" w:unhideWhenUsed="0"/>
    <w:lsdException w:name="No Spacing" w:semiHidden="0"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List Paragraph" w:semiHidden="0" w:unhideWhenUsed="0" w:qFormat="1"/>
    <w:lsdException w:name="Quote" w:semiHidden="0" w:unhideWhenUsed="0" w:qFormat="1"/>
    <w:lsdException w:name="Intense Quote" w:semiHidden="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pPr>
      <w:widowControl w:val="0"/>
      <w:jc w:val="both"/>
    </w:pPr>
    <w:rPr>
      <w:rFonts w:cs="宋体"/>
      <w:kern w:val="2"/>
      <w:sz w:val="21"/>
    </w:rPr>
  </w:style>
  <w:style w:type="paragraph" w:styleId="1">
    <w:name w:val="heading 1"/>
    <w:basedOn w:val="a"/>
    <w:next w:val="a"/>
    <w:link w:val="1Char1"/>
    <w:uiPriority w:val="9"/>
    <w:qFormat/>
    <w:pPr>
      <w:keepNext/>
      <w:keepLines/>
      <w:spacing w:before="340" w:after="330" w:line="576" w:lineRule="auto"/>
      <w:outlineLvl w:val="0"/>
    </w:pPr>
    <w:rPr>
      <w:b/>
      <w:bCs/>
      <w:kern w:val="44"/>
      <w:sz w:val="44"/>
      <w:szCs w:val="44"/>
    </w:rPr>
  </w:style>
  <w:style w:type="paragraph" w:styleId="2">
    <w:name w:val="heading 2"/>
    <w:basedOn w:val="a"/>
    <w:next w:val="a"/>
    <w:link w:val="2Char1"/>
    <w:uiPriority w:val="9"/>
    <w:qFormat/>
    <w:pPr>
      <w:keepNext/>
      <w:keepLines/>
      <w:spacing w:before="260" w:after="260" w:line="408" w:lineRule="auto"/>
      <w:outlineLvl w:val="1"/>
    </w:pPr>
    <w:rPr>
      <w:rFonts w:ascii="Cambria" w:hAnsi="Cambria"/>
      <w:b/>
      <w:bCs/>
      <w:kern w:val="0"/>
      <w:sz w:val="32"/>
      <w:szCs w:val="32"/>
    </w:rPr>
  </w:style>
  <w:style w:type="paragraph" w:styleId="3">
    <w:name w:val="heading 3"/>
    <w:basedOn w:val="a"/>
    <w:next w:val="a"/>
    <w:link w:val="3Char1"/>
    <w:uiPriority w:val="9"/>
    <w:qFormat/>
    <w:pPr>
      <w:keepNext/>
      <w:keepLines/>
      <w:spacing w:before="260" w:after="260" w:line="408" w:lineRule="auto"/>
      <w:outlineLvl w:val="2"/>
    </w:pPr>
    <w:rPr>
      <w:b/>
      <w:bCs/>
      <w:kern w:val="0"/>
      <w:sz w:val="32"/>
      <w:szCs w:val="32"/>
    </w:rPr>
  </w:style>
  <w:style w:type="paragraph" w:styleId="4">
    <w:name w:val="heading 4"/>
    <w:basedOn w:val="a"/>
    <w:next w:val="a"/>
    <w:link w:val="4Char1"/>
    <w:qFormat/>
    <w:pPr>
      <w:keepNext/>
      <w:keepLines/>
      <w:spacing w:before="240" w:after="290" w:line="372" w:lineRule="auto"/>
      <w:outlineLvl w:val="3"/>
    </w:pPr>
    <w:rPr>
      <w:rFonts w:ascii="Cambria" w:hAnsi="Cambria"/>
      <w:b/>
      <w:bCs/>
      <w:kern w:val="0"/>
      <w:sz w:val="24"/>
      <w:szCs w:val="24"/>
    </w:rPr>
  </w:style>
  <w:style w:type="paragraph" w:styleId="5">
    <w:name w:val="heading 5"/>
    <w:basedOn w:val="a"/>
    <w:next w:val="a"/>
    <w:link w:val="5Char1"/>
    <w:uiPriority w:val="9"/>
    <w:qFormat/>
    <w:pPr>
      <w:keepNext/>
      <w:keepLines/>
      <w:spacing w:before="240" w:after="290" w:line="372" w:lineRule="auto"/>
      <w:outlineLvl w:val="4"/>
    </w:pPr>
    <w:rPr>
      <w:b/>
      <w:bCs/>
      <w:sz w:val="24"/>
      <w:szCs w:val="24"/>
    </w:rPr>
  </w:style>
  <w:style w:type="paragraph" w:styleId="6">
    <w:name w:val="heading 6"/>
    <w:basedOn w:val="a"/>
    <w:next w:val="a"/>
    <w:link w:val="6Char1"/>
    <w:uiPriority w:val="9"/>
    <w:qFormat/>
    <w:pPr>
      <w:keepNext/>
      <w:keepLines/>
      <w:spacing w:before="240" w:after="64" w:line="312" w:lineRule="auto"/>
      <w:outlineLvl w:val="5"/>
    </w:pPr>
    <w:rPr>
      <w:rFonts w:ascii="Cambria" w:hAnsi="Cambria" w:cs="Times New Roman"/>
      <w:b/>
      <w:bCs/>
      <w:sz w:val="24"/>
      <w:szCs w:val="24"/>
    </w:rPr>
  </w:style>
  <w:style w:type="character" w:default="1" w:styleId="a0">
    <w:name w:val="Default Paragraph Font"/>
    <w:uiPriority w:val="1"/>
    <w:unhideWhenUsed/>
  </w:style>
  <w:style w:type="table" w:default="1" w:styleId="a1">
    <w:name w:val="Normal Table"/>
    <w:uiPriority w:val="99"/>
    <w:unhideWhenUsed/>
    <w:tblPr>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1">
    <w:name w:val="标题 1 Char1"/>
    <w:link w:val="1"/>
    <w:uiPriority w:val="9"/>
    <w:locked/>
    <w:rPr>
      <w:b/>
      <w:bCs/>
      <w:kern w:val="44"/>
      <w:sz w:val="44"/>
      <w:szCs w:val="44"/>
    </w:rPr>
  </w:style>
  <w:style w:type="character" w:customStyle="1" w:styleId="2Char1">
    <w:name w:val="标题 2 Char1"/>
    <w:link w:val="2"/>
    <w:uiPriority w:val="9"/>
    <w:locked/>
    <w:rPr>
      <w:rFonts w:ascii="Cambria" w:eastAsia="宋体" w:hAnsi="Cambria" w:cs="宋体" w:hint="default"/>
      <w:b/>
      <w:bCs/>
      <w:sz w:val="32"/>
      <w:szCs w:val="32"/>
    </w:rPr>
  </w:style>
  <w:style w:type="character" w:customStyle="1" w:styleId="3Char1">
    <w:name w:val="标题 3 Char1"/>
    <w:link w:val="3"/>
    <w:uiPriority w:val="9"/>
    <w:locked/>
    <w:rPr>
      <w:b/>
      <w:bCs/>
      <w:sz w:val="32"/>
      <w:szCs w:val="32"/>
    </w:rPr>
  </w:style>
  <w:style w:type="character" w:customStyle="1" w:styleId="4Char1">
    <w:name w:val="标题 4 Char1"/>
    <w:link w:val="4"/>
    <w:semiHidden/>
    <w:locked/>
    <w:rPr>
      <w:rFonts w:ascii="Cambria" w:eastAsia="宋体" w:hAnsi="Cambria" w:cs="宋体" w:hint="default"/>
      <w:b/>
      <w:bCs/>
      <w:sz w:val="24"/>
      <w:szCs w:val="24"/>
    </w:rPr>
  </w:style>
  <w:style w:type="character" w:customStyle="1" w:styleId="5Char1">
    <w:name w:val="标题 5 Char1"/>
    <w:link w:val="5"/>
    <w:uiPriority w:val="9"/>
    <w:semiHidden/>
    <w:locked/>
    <w:rPr>
      <w:b/>
      <w:bCs/>
      <w:kern w:val="2"/>
      <w:sz w:val="24"/>
      <w:szCs w:val="24"/>
    </w:rPr>
  </w:style>
  <w:style w:type="character" w:customStyle="1" w:styleId="6Char1">
    <w:name w:val="标题 6 Char1"/>
    <w:link w:val="6"/>
    <w:uiPriority w:val="9"/>
    <w:semiHidden/>
    <w:locked/>
    <w:rPr>
      <w:rFonts w:ascii="Cambria" w:eastAsia="宋体" w:hAnsi="Cambria" w:cs="Times New Roman" w:hint="default"/>
      <w:b/>
      <w:bCs/>
      <w:kern w:val="2"/>
      <w:sz w:val="24"/>
      <w:szCs w:val="24"/>
    </w:rPr>
  </w:style>
  <w:style w:type="paragraph" w:styleId="a3">
    <w:name w:val="Document Map"/>
    <w:basedOn w:val="a"/>
    <w:link w:val="Char1"/>
    <w:pPr>
      <w:shd w:val="clear" w:color="auto" w:fill="000080"/>
    </w:pPr>
  </w:style>
  <w:style w:type="character" w:customStyle="1" w:styleId="Char1">
    <w:name w:val="文档结构图 Char1"/>
    <w:link w:val="a3"/>
    <w:locked/>
    <w:rPr>
      <w:rFonts w:ascii="宋体" w:eastAsia="宋体" w:hAnsi="宋体" w:hint="eastAsia"/>
      <w:kern w:val="2"/>
      <w:sz w:val="18"/>
      <w:szCs w:val="18"/>
    </w:rPr>
  </w:style>
  <w:style w:type="paragraph" w:styleId="30">
    <w:name w:val="toc 3"/>
    <w:basedOn w:val="a"/>
    <w:next w:val="a"/>
    <w:uiPriority w:val="39"/>
    <w:unhideWhenUsed/>
  </w:style>
  <w:style w:type="paragraph" w:styleId="a4">
    <w:name w:val="Date"/>
    <w:basedOn w:val="a"/>
    <w:next w:val="a"/>
    <w:link w:val="Char10"/>
    <w:rPr>
      <w:sz w:val="32"/>
    </w:rPr>
  </w:style>
  <w:style w:type="character" w:customStyle="1" w:styleId="Char10">
    <w:name w:val="日期 Char1"/>
    <w:link w:val="a4"/>
    <w:locked/>
    <w:rPr>
      <w:rFonts w:ascii="宋体" w:eastAsia="宋体" w:hAnsi="宋体" w:hint="eastAsia"/>
      <w:kern w:val="2"/>
      <w:sz w:val="32"/>
    </w:rPr>
  </w:style>
  <w:style w:type="paragraph" w:styleId="a5">
    <w:name w:val="Balloon Text"/>
    <w:basedOn w:val="a"/>
    <w:link w:val="Char11"/>
    <w:uiPriority w:val="99"/>
    <w:unhideWhenUsed/>
    <w:rPr>
      <w:sz w:val="18"/>
      <w:szCs w:val="18"/>
    </w:rPr>
  </w:style>
  <w:style w:type="character" w:customStyle="1" w:styleId="Char11">
    <w:name w:val="批注框文本 Char1"/>
    <w:link w:val="a5"/>
    <w:uiPriority w:val="99"/>
    <w:semiHidden/>
    <w:locked/>
    <w:rPr>
      <w:kern w:val="2"/>
      <w:sz w:val="18"/>
      <w:szCs w:val="18"/>
    </w:rPr>
  </w:style>
  <w:style w:type="paragraph" w:styleId="a6">
    <w:name w:val="footer"/>
    <w:basedOn w:val="a"/>
    <w:link w:val="Char2"/>
    <w:uiPriority w:val="99"/>
    <w:pPr>
      <w:tabs>
        <w:tab w:val="center" w:pos="4153"/>
        <w:tab w:val="right" w:pos="8306"/>
      </w:tabs>
      <w:snapToGrid w:val="0"/>
      <w:jc w:val="left"/>
    </w:pPr>
    <w:rPr>
      <w:sz w:val="18"/>
      <w:szCs w:val="18"/>
    </w:rPr>
  </w:style>
  <w:style w:type="character" w:customStyle="1" w:styleId="Char2">
    <w:name w:val="页脚 Char2"/>
    <w:link w:val="a6"/>
    <w:uiPriority w:val="99"/>
    <w:locked/>
    <w:rPr>
      <w:kern w:val="2"/>
      <w:sz w:val="18"/>
      <w:szCs w:val="18"/>
    </w:rPr>
  </w:style>
  <w:style w:type="paragraph" w:styleId="a7">
    <w:name w:val="header"/>
    <w:basedOn w:val="a"/>
    <w:link w:val="Char20"/>
    <w:uiPriority w:val="99"/>
    <w:pPr>
      <w:pBdr>
        <w:bottom w:val="single" w:sz="6" w:space="1" w:color="auto"/>
      </w:pBdr>
      <w:tabs>
        <w:tab w:val="center" w:pos="4153"/>
        <w:tab w:val="right" w:pos="8306"/>
      </w:tabs>
      <w:snapToGrid w:val="0"/>
      <w:jc w:val="center"/>
    </w:pPr>
    <w:rPr>
      <w:sz w:val="18"/>
      <w:szCs w:val="18"/>
    </w:rPr>
  </w:style>
  <w:style w:type="character" w:customStyle="1" w:styleId="Char20">
    <w:name w:val="页眉 Char2"/>
    <w:link w:val="a7"/>
    <w:locked/>
    <w:rPr>
      <w:kern w:val="2"/>
      <w:sz w:val="18"/>
      <w:szCs w:val="18"/>
    </w:rPr>
  </w:style>
  <w:style w:type="paragraph" w:styleId="10">
    <w:name w:val="toc 1"/>
    <w:basedOn w:val="a"/>
    <w:next w:val="a"/>
    <w:uiPriority w:val="39"/>
    <w:unhideWhenUsed/>
    <w:pPr>
      <w:tabs>
        <w:tab w:val="right" w:leader="dot" w:pos="8835"/>
      </w:tabs>
    </w:pPr>
    <w:rPr>
      <w:lang w:val="en-US" w:eastAsia="zh-CN"/>
    </w:rPr>
  </w:style>
  <w:style w:type="paragraph" w:styleId="a8">
    <w:name w:val="Subtitle"/>
    <w:basedOn w:val="2"/>
    <w:next w:val="3"/>
    <w:link w:val="Char12"/>
    <w:qFormat/>
    <w:pPr>
      <w:spacing w:before="240" w:after="60" w:line="312" w:lineRule="auto"/>
      <w:jc w:val="left"/>
    </w:pPr>
    <w:rPr>
      <w:bCs w:val="0"/>
      <w:kern w:val="24"/>
      <w:sz w:val="24"/>
    </w:rPr>
  </w:style>
  <w:style w:type="character" w:customStyle="1" w:styleId="Char12">
    <w:name w:val="副标题 Char1"/>
    <w:link w:val="a8"/>
    <w:locked/>
    <w:rPr>
      <w:rFonts w:ascii="Cambria" w:eastAsia="宋体" w:hAnsi="Cambria" w:cs="宋体" w:hint="default"/>
      <w:b/>
      <w:bCs w:val="0"/>
      <w:kern w:val="24"/>
      <w:sz w:val="24"/>
      <w:szCs w:val="32"/>
    </w:rPr>
  </w:style>
  <w:style w:type="paragraph" w:styleId="a9">
    <w:name w:val="footnote text"/>
    <w:basedOn w:val="a"/>
    <w:link w:val="Char13"/>
    <w:pPr>
      <w:snapToGrid w:val="0"/>
      <w:jc w:val="left"/>
    </w:pPr>
    <w:rPr>
      <w:sz w:val="18"/>
      <w:szCs w:val="18"/>
    </w:rPr>
  </w:style>
  <w:style w:type="character" w:customStyle="1" w:styleId="Char13">
    <w:name w:val="脚注文本 Char1"/>
    <w:link w:val="a9"/>
    <w:locked/>
    <w:rPr>
      <w:kern w:val="2"/>
      <w:sz w:val="18"/>
      <w:szCs w:val="18"/>
    </w:rPr>
  </w:style>
  <w:style w:type="paragraph" w:styleId="20">
    <w:name w:val="toc 2"/>
    <w:basedOn w:val="a"/>
    <w:next w:val="a"/>
    <w:uiPriority w:val="39"/>
    <w:unhideWhenUsed/>
    <w:pPr>
      <w:ind w:leftChars="200" w:left="420"/>
    </w:pPr>
  </w:style>
  <w:style w:type="paragraph" w:styleId="aa">
    <w:name w:val="Normal (Web)"/>
    <w:basedOn w:val="a"/>
    <w:pPr>
      <w:widowControl/>
      <w:spacing w:before="100" w:beforeAutospacing="1" w:after="100" w:afterAutospacing="1"/>
      <w:jc w:val="left"/>
    </w:pPr>
    <w:rPr>
      <w:kern w:val="0"/>
      <w:sz w:val="24"/>
    </w:rPr>
  </w:style>
  <w:style w:type="paragraph" w:styleId="ab">
    <w:name w:val="Title"/>
    <w:basedOn w:val="1"/>
    <w:next w:val="2"/>
    <w:link w:val="Char14"/>
    <w:uiPriority w:val="10"/>
    <w:qFormat/>
    <w:pPr>
      <w:keepNext w:val="0"/>
      <w:keepLines w:val="0"/>
      <w:spacing w:before="240" w:after="60" w:line="240" w:lineRule="auto"/>
      <w:jc w:val="center"/>
    </w:pPr>
    <w:rPr>
      <w:rFonts w:ascii="Cambria" w:hAnsi="Cambria"/>
      <w:kern w:val="0"/>
      <w:sz w:val="32"/>
      <w:szCs w:val="32"/>
    </w:rPr>
  </w:style>
  <w:style w:type="character" w:customStyle="1" w:styleId="Char14">
    <w:name w:val="标题 Char1"/>
    <w:link w:val="ab"/>
    <w:uiPriority w:val="10"/>
    <w:locked/>
    <w:rPr>
      <w:rFonts w:ascii="Cambria" w:hAnsi="Cambria" w:cs="宋体" w:hint="default"/>
      <w:b/>
      <w:bCs/>
      <w:sz w:val="32"/>
      <w:szCs w:val="32"/>
    </w:rPr>
  </w:style>
  <w:style w:type="table" w:styleId="ac">
    <w:name w:val="Table Grid"/>
    <w:basedOn w:val="a1"/>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d">
    <w:name w:val="FollowedHyperlink"/>
    <w:uiPriority w:val="99"/>
    <w:unhideWhenUsed/>
    <w:rPr>
      <w:color w:val="800080"/>
      <w:u w:val="single"/>
    </w:rPr>
  </w:style>
  <w:style w:type="character" w:styleId="ae">
    <w:name w:val="Hyperlink"/>
    <w:uiPriority w:val="99"/>
    <w:unhideWhenUsed/>
    <w:rPr>
      <w:color w:val="0000FF"/>
      <w:u w:val="single"/>
    </w:rPr>
  </w:style>
  <w:style w:type="character" w:styleId="af">
    <w:name w:val="footnote reference"/>
    <w:rPr>
      <w:vertAlign w:val="superscript"/>
    </w:rPr>
  </w:style>
  <w:style w:type="character" w:customStyle="1" w:styleId="11">
    <w:name w:val="标题 1 字符"/>
    <w:link w:val="1"/>
    <w:uiPriority w:val="9"/>
    <w:locked/>
    <w:rPr>
      <w:b/>
      <w:bCs/>
      <w:kern w:val="44"/>
      <w:sz w:val="44"/>
      <w:szCs w:val="44"/>
    </w:rPr>
  </w:style>
  <w:style w:type="character" w:customStyle="1" w:styleId="21">
    <w:name w:val="标题 2 字符"/>
    <w:link w:val="2"/>
    <w:uiPriority w:val="9"/>
    <w:locked/>
    <w:rPr>
      <w:rFonts w:ascii="Cambria" w:eastAsia="宋体" w:hAnsi="Cambria" w:cs="Times New Roman" w:hint="default"/>
      <w:b/>
      <w:bCs/>
      <w:kern w:val="2"/>
      <w:sz w:val="32"/>
      <w:szCs w:val="32"/>
    </w:rPr>
  </w:style>
  <w:style w:type="character" w:customStyle="1" w:styleId="31">
    <w:name w:val="标题 3 字符"/>
    <w:link w:val="3"/>
    <w:uiPriority w:val="9"/>
    <w:locked/>
    <w:rPr>
      <w:b/>
      <w:bCs/>
      <w:kern w:val="2"/>
      <w:sz w:val="32"/>
      <w:szCs w:val="32"/>
    </w:rPr>
  </w:style>
  <w:style w:type="character" w:customStyle="1" w:styleId="40">
    <w:name w:val="标题 4 字符"/>
    <w:link w:val="4"/>
    <w:locked/>
    <w:rPr>
      <w:rFonts w:ascii="Cambria" w:eastAsia="宋体" w:hAnsi="Cambria" w:cs="Times New Roman" w:hint="default"/>
      <w:b/>
      <w:bCs/>
      <w:kern w:val="2"/>
      <w:sz w:val="24"/>
      <w:szCs w:val="24"/>
    </w:rPr>
  </w:style>
  <w:style w:type="character" w:customStyle="1" w:styleId="50">
    <w:name w:val="标题 5 字符"/>
    <w:link w:val="5"/>
    <w:uiPriority w:val="9"/>
    <w:semiHidden/>
    <w:rPr>
      <w:rFonts w:cs="宋体"/>
      <w:b/>
      <w:bCs/>
      <w:kern w:val="2"/>
      <w:sz w:val="28"/>
      <w:szCs w:val="28"/>
    </w:rPr>
  </w:style>
  <w:style w:type="character" w:customStyle="1" w:styleId="60">
    <w:name w:val="标题 6 字符"/>
    <w:link w:val="6"/>
    <w:uiPriority w:val="9"/>
    <w:semiHidden/>
    <w:rPr>
      <w:rFonts w:ascii="Cambria" w:eastAsia="宋体" w:hAnsi="Cambria" w:cs="Times New Roman"/>
      <w:b/>
      <w:bCs/>
      <w:kern w:val="2"/>
      <w:sz w:val="24"/>
      <w:szCs w:val="24"/>
    </w:rPr>
  </w:style>
  <w:style w:type="paragraph" w:customStyle="1" w:styleId="msonormal0">
    <w:name w:val="msonormal"/>
    <w:basedOn w:val="a"/>
    <w:pPr>
      <w:widowControl/>
      <w:spacing w:before="100" w:beforeAutospacing="1" w:after="100" w:afterAutospacing="1"/>
      <w:jc w:val="left"/>
    </w:pPr>
    <w:rPr>
      <w:kern w:val="0"/>
      <w:sz w:val="24"/>
    </w:rPr>
  </w:style>
  <w:style w:type="character" w:customStyle="1" w:styleId="af0">
    <w:name w:val="脚注文本 字符"/>
    <w:link w:val="a9"/>
    <w:locked/>
    <w:rPr>
      <w:kern w:val="2"/>
      <w:sz w:val="18"/>
      <w:szCs w:val="18"/>
    </w:rPr>
  </w:style>
  <w:style w:type="character" w:customStyle="1" w:styleId="af1">
    <w:name w:val="页眉 字符"/>
    <w:link w:val="a7"/>
    <w:uiPriority w:val="99"/>
    <w:locked/>
    <w:rPr>
      <w:kern w:val="2"/>
      <w:sz w:val="18"/>
      <w:szCs w:val="18"/>
    </w:rPr>
  </w:style>
  <w:style w:type="character" w:customStyle="1" w:styleId="af2">
    <w:name w:val="页脚 字符"/>
    <w:link w:val="a6"/>
    <w:uiPriority w:val="99"/>
    <w:locked/>
    <w:rPr>
      <w:kern w:val="2"/>
      <w:sz w:val="18"/>
      <w:szCs w:val="18"/>
    </w:rPr>
  </w:style>
  <w:style w:type="character" w:customStyle="1" w:styleId="af3">
    <w:name w:val="标题 字符"/>
    <w:link w:val="ab"/>
    <w:uiPriority w:val="10"/>
    <w:locked/>
    <w:rPr>
      <w:rFonts w:ascii="Cambria" w:eastAsia="宋体" w:hAnsi="Cambria" w:cs="Times New Roman" w:hint="default"/>
      <w:b/>
      <w:bCs/>
      <w:kern w:val="2"/>
      <w:sz w:val="32"/>
      <w:szCs w:val="32"/>
    </w:rPr>
  </w:style>
  <w:style w:type="character" w:customStyle="1" w:styleId="af4">
    <w:name w:val="副标题 字符"/>
    <w:link w:val="a8"/>
    <w:locked/>
    <w:rPr>
      <w:rFonts w:ascii="Calibri" w:eastAsia="宋体" w:hAnsi="Calibri" w:cs="Times New Roman" w:hint="default"/>
      <w:b/>
      <w:bCs/>
      <w:kern w:val="24"/>
      <w:sz w:val="32"/>
      <w:szCs w:val="32"/>
    </w:rPr>
  </w:style>
  <w:style w:type="character" w:customStyle="1" w:styleId="af5">
    <w:name w:val="日期 字符"/>
    <w:link w:val="a4"/>
    <w:locked/>
    <w:rPr>
      <w:kern w:val="2"/>
      <w:sz w:val="21"/>
    </w:rPr>
  </w:style>
  <w:style w:type="character" w:customStyle="1" w:styleId="af6">
    <w:name w:val="文档结构图 字符"/>
    <w:link w:val="a3"/>
    <w:locked/>
    <w:rPr>
      <w:rFonts w:ascii="Microsoft YaHei UI" w:eastAsia="Microsoft YaHei UI" w:hAnsi="Microsoft YaHei UI" w:hint="eastAsia"/>
      <w:kern w:val="2"/>
      <w:sz w:val="18"/>
      <w:szCs w:val="18"/>
    </w:rPr>
  </w:style>
  <w:style w:type="character" w:customStyle="1" w:styleId="af7">
    <w:name w:val="批注框文本 字符"/>
    <w:link w:val="a5"/>
    <w:uiPriority w:val="99"/>
    <w:semiHidden/>
    <w:locked/>
    <w:rPr>
      <w:kern w:val="2"/>
      <w:sz w:val="18"/>
      <w:szCs w:val="18"/>
    </w:rPr>
  </w:style>
  <w:style w:type="paragraph" w:styleId="TOC">
    <w:name w:val="TOC Heading"/>
    <w:basedOn w:val="1"/>
    <w:next w:val="a"/>
    <w:uiPriority w:val="39"/>
    <w:qFormat/>
    <w:pPr>
      <w:widowControl/>
      <w:spacing w:before="480" w:after="0" w:line="276" w:lineRule="auto"/>
      <w:jc w:val="left"/>
      <w:outlineLvl w:val="9"/>
    </w:pPr>
    <w:rPr>
      <w:rFonts w:ascii="Cambria" w:hAnsi="Cambria"/>
      <w:color w:val="365F91"/>
      <w:kern w:val="0"/>
      <w:sz w:val="24"/>
      <w:szCs w:val="24"/>
    </w:rPr>
  </w:style>
  <w:style w:type="paragraph" w:customStyle="1" w:styleId="XBRLTitle6">
    <w:name w:val="XBRLTitle6"/>
    <w:basedOn w:val="a8"/>
    <w:next w:val="4"/>
    <w:qFormat/>
    <w:pPr>
      <w:numPr>
        <w:ilvl w:val="5"/>
        <w:numId w:val="1"/>
      </w:numPr>
      <w:spacing w:beforeLines="50" w:after="0" w:line="240" w:lineRule="auto"/>
      <w:outlineLvl w:val="9"/>
    </w:pPr>
    <w:rPr>
      <w:bCs/>
    </w:rPr>
  </w:style>
  <w:style w:type="paragraph" w:customStyle="1" w:styleId="af8">
    <w:name w:val="次标题"/>
    <w:basedOn w:val="3"/>
    <w:next w:val="a"/>
    <w:pPr>
      <w:spacing w:before="120" w:after="120"/>
      <w:jc w:val="left"/>
    </w:pPr>
    <w:rPr>
      <w:sz w:val="21"/>
    </w:rPr>
  </w:style>
  <w:style w:type="paragraph" w:customStyle="1" w:styleId="XBRL6">
    <w:name w:val="XBRL标题6"/>
    <w:basedOn w:val="a8"/>
    <w:next w:val="4"/>
    <w:qFormat/>
    <w:pPr>
      <w:spacing w:beforeLines="50" w:after="0" w:line="240" w:lineRule="auto"/>
      <w:outlineLvl w:val="9"/>
    </w:pPr>
    <w:rPr>
      <w:bCs/>
    </w:rPr>
  </w:style>
  <w:style w:type="paragraph" w:customStyle="1" w:styleId="XBRL2">
    <w:name w:val="XBRL标题2"/>
    <w:basedOn w:val="a8"/>
    <w:next w:val="4"/>
    <w:qFormat/>
    <w:pPr>
      <w:spacing w:beforeLines="50" w:after="0" w:line="240" w:lineRule="auto"/>
    </w:pPr>
    <w:rPr>
      <w:bCs/>
    </w:rPr>
  </w:style>
  <w:style w:type="paragraph" w:customStyle="1" w:styleId="XBRL3">
    <w:name w:val="XBRL标题3"/>
    <w:basedOn w:val="a8"/>
    <w:next w:val="4"/>
    <w:qFormat/>
    <w:pPr>
      <w:spacing w:beforeLines="50" w:after="0" w:line="240" w:lineRule="auto"/>
      <w:outlineLvl w:val="9"/>
    </w:pPr>
    <w:rPr>
      <w:bCs/>
    </w:rPr>
  </w:style>
  <w:style w:type="paragraph" w:customStyle="1" w:styleId="XBRLTitle1">
    <w:name w:val="XBRLTitle1"/>
    <w:basedOn w:val="1"/>
    <w:next w:val="2"/>
    <w:qFormat/>
    <w:pPr>
      <w:keepNext w:val="0"/>
      <w:keepLines w:val="0"/>
      <w:numPr>
        <w:numId w:val="1"/>
      </w:numPr>
      <w:spacing w:beforeLines="50" w:after="0" w:line="240" w:lineRule="auto"/>
      <w:jc w:val="center"/>
    </w:pPr>
    <w:rPr>
      <w:rFonts w:hAnsi="Cambria"/>
      <w:sz w:val="24"/>
    </w:rPr>
  </w:style>
  <w:style w:type="paragraph" w:customStyle="1" w:styleId="XBRLTitle2">
    <w:name w:val="XBRLTitle2"/>
    <w:basedOn w:val="a8"/>
    <w:next w:val="4"/>
    <w:qFormat/>
    <w:pPr>
      <w:keepNext w:val="0"/>
      <w:keepLines w:val="0"/>
      <w:numPr>
        <w:ilvl w:val="1"/>
        <w:numId w:val="1"/>
      </w:numPr>
      <w:spacing w:beforeLines="50" w:after="0" w:line="240" w:lineRule="auto"/>
      <w:ind w:left="454"/>
    </w:pPr>
    <w:rPr>
      <w:rFonts w:ascii="宋体"/>
      <w:bCs/>
    </w:rPr>
  </w:style>
  <w:style w:type="paragraph" w:customStyle="1" w:styleId="XBRLTitle5">
    <w:name w:val="XBRLTitle5"/>
    <w:basedOn w:val="a8"/>
    <w:next w:val="4"/>
    <w:qFormat/>
    <w:pPr>
      <w:numPr>
        <w:ilvl w:val="4"/>
        <w:numId w:val="1"/>
      </w:numPr>
      <w:spacing w:beforeLines="50" w:after="0" w:line="240" w:lineRule="auto"/>
      <w:outlineLvl w:val="9"/>
    </w:pPr>
    <w:rPr>
      <w:bCs/>
    </w:rPr>
  </w:style>
  <w:style w:type="paragraph" w:customStyle="1" w:styleId="Char">
    <w:name w:val="Char"/>
    <w:basedOn w:val="a"/>
  </w:style>
  <w:style w:type="paragraph" w:customStyle="1" w:styleId="CharCharCharCharCharChar1CharCharChar">
    <w:name w:val="Char Char Char Char Char Char1 Char Char Char"/>
    <w:basedOn w:val="a"/>
    <w:pPr>
      <w:autoSpaceDE w:val="0"/>
      <w:autoSpaceDN w:val="0"/>
      <w:adjustRightInd w:val="0"/>
      <w:jc w:val="left"/>
    </w:pPr>
  </w:style>
  <w:style w:type="paragraph" w:customStyle="1" w:styleId="XBRL1">
    <w:name w:val="XBRL标题1"/>
    <w:basedOn w:val="1"/>
    <w:next w:val="2"/>
    <w:qFormat/>
    <w:pPr>
      <w:spacing w:beforeLines="50" w:after="0" w:line="240" w:lineRule="auto"/>
      <w:jc w:val="center"/>
    </w:pPr>
    <w:rPr>
      <w:rFonts w:ascii="Cambria" w:hAnsi="Cambria"/>
      <w:sz w:val="24"/>
    </w:rPr>
  </w:style>
  <w:style w:type="paragraph" w:customStyle="1" w:styleId="XBRL5">
    <w:name w:val="XBRL标题5"/>
    <w:basedOn w:val="a8"/>
    <w:next w:val="4"/>
    <w:qFormat/>
    <w:pPr>
      <w:spacing w:beforeLines="50" w:after="0" w:line="240" w:lineRule="auto"/>
      <w:outlineLvl w:val="9"/>
    </w:pPr>
    <w:rPr>
      <w:bCs/>
    </w:rPr>
  </w:style>
  <w:style w:type="paragraph" w:customStyle="1" w:styleId="XBRL4">
    <w:name w:val="XBRL标题4"/>
    <w:basedOn w:val="a8"/>
    <w:next w:val="4"/>
    <w:qFormat/>
    <w:pPr>
      <w:spacing w:beforeLines="50" w:after="0" w:line="240" w:lineRule="auto"/>
      <w:outlineLvl w:val="9"/>
    </w:pPr>
    <w:rPr>
      <w:bCs/>
    </w:rPr>
  </w:style>
  <w:style w:type="paragraph" w:customStyle="1" w:styleId="XBRLTitle4">
    <w:name w:val="XBRLTitle4"/>
    <w:basedOn w:val="a8"/>
    <w:next w:val="4"/>
    <w:qFormat/>
    <w:pPr>
      <w:numPr>
        <w:ilvl w:val="3"/>
        <w:numId w:val="1"/>
      </w:numPr>
      <w:spacing w:beforeLines="50" w:after="0" w:line="240" w:lineRule="auto"/>
      <w:outlineLvl w:val="9"/>
    </w:pPr>
    <w:rPr>
      <w:bCs/>
    </w:rPr>
  </w:style>
  <w:style w:type="paragraph" w:customStyle="1" w:styleId="xl33">
    <w:name w:val="xl33"/>
    <w:basedOn w:val="a"/>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hAnsi="Arial Unicode MS"/>
      <w:kern w:val="0"/>
      <w:sz w:val="24"/>
    </w:rPr>
  </w:style>
  <w:style w:type="paragraph" w:customStyle="1" w:styleId="XBRLTitle3">
    <w:name w:val="XBRLTitle3"/>
    <w:basedOn w:val="a8"/>
    <w:next w:val="4"/>
    <w:qFormat/>
    <w:pPr>
      <w:keepNext w:val="0"/>
      <w:keepLines w:val="0"/>
      <w:numPr>
        <w:ilvl w:val="2"/>
        <w:numId w:val="1"/>
      </w:numPr>
      <w:spacing w:beforeLines="50" w:after="0" w:line="360" w:lineRule="auto"/>
      <w:ind w:left="0" w:firstLine="0"/>
      <w:outlineLvl w:val="9"/>
    </w:pPr>
    <w:rPr>
      <w:rFonts w:ascii="宋体"/>
      <w:bCs/>
    </w:rPr>
  </w:style>
  <w:style w:type="paragraph" w:customStyle="1" w:styleId="Default">
    <w:name w:val="Default"/>
    <w:basedOn w:val="a"/>
    <w:pPr>
      <w:autoSpaceDE w:val="0"/>
      <w:autoSpaceDN w:val="0"/>
      <w:adjustRightInd w:val="0"/>
      <w:jc w:val="left"/>
    </w:pPr>
    <w:rPr>
      <w:rFonts w:ascii="仿宋" w:eastAsia="仿宋" w:hAnsi="仿宋"/>
      <w:color w:val="000000"/>
      <w:kern w:val="0"/>
      <w:sz w:val="24"/>
      <w:szCs w:val="24"/>
    </w:rPr>
  </w:style>
  <w:style w:type="character" w:customStyle="1" w:styleId="1Char">
    <w:name w:val="标题 1 Char"/>
    <w:link w:val="1"/>
    <w:uiPriority w:val="9"/>
    <w:locked/>
    <w:rPr>
      <w:b/>
      <w:bCs/>
      <w:kern w:val="44"/>
      <w:sz w:val="44"/>
      <w:szCs w:val="44"/>
    </w:rPr>
  </w:style>
  <w:style w:type="character" w:customStyle="1" w:styleId="2Char">
    <w:name w:val="标题 2 Char"/>
    <w:link w:val="2"/>
    <w:uiPriority w:val="9"/>
    <w:locked/>
    <w:rPr>
      <w:rFonts w:ascii="Cambria" w:eastAsia="宋体" w:hAnsi="Cambria" w:cs="Times New Roman" w:hint="default"/>
      <w:b/>
      <w:bCs/>
      <w:kern w:val="2"/>
      <w:sz w:val="32"/>
      <w:szCs w:val="32"/>
    </w:rPr>
  </w:style>
  <w:style w:type="character" w:customStyle="1" w:styleId="3Char">
    <w:name w:val="标题 3 Char"/>
    <w:link w:val="3"/>
    <w:uiPriority w:val="9"/>
    <w:locked/>
    <w:rPr>
      <w:b/>
      <w:bCs/>
      <w:kern w:val="2"/>
      <w:sz w:val="32"/>
      <w:szCs w:val="32"/>
    </w:rPr>
  </w:style>
  <w:style w:type="character" w:customStyle="1" w:styleId="4Char">
    <w:name w:val="标题 4 Char"/>
    <w:link w:val="4"/>
    <w:locked/>
    <w:rPr>
      <w:rFonts w:ascii="Cambria" w:eastAsia="宋体" w:hAnsi="Cambria" w:cs="Times New Roman" w:hint="default"/>
      <w:b/>
      <w:bCs/>
      <w:kern w:val="2"/>
      <w:sz w:val="24"/>
      <w:szCs w:val="24"/>
    </w:rPr>
  </w:style>
  <w:style w:type="character" w:customStyle="1" w:styleId="5Char">
    <w:name w:val="标题 5 Char"/>
    <w:link w:val="5"/>
    <w:uiPriority w:val="9"/>
    <w:semiHidden/>
    <w:locked/>
    <w:rPr>
      <w:b/>
      <w:bCs/>
      <w:kern w:val="2"/>
      <w:sz w:val="24"/>
      <w:szCs w:val="24"/>
    </w:rPr>
  </w:style>
  <w:style w:type="character" w:customStyle="1" w:styleId="6Char">
    <w:name w:val="标题 6 Char"/>
    <w:link w:val="6"/>
    <w:uiPriority w:val="9"/>
    <w:semiHidden/>
    <w:locked/>
    <w:rPr>
      <w:rFonts w:ascii="Cambria" w:eastAsia="宋体" w:hAnsi="Cambria" w:cs="Times New Roman" w:hint="default"/>
      <w:b/>
      <w:bCs/>
      <w:kern w:val="2"/>
      <w:sz w:val="24"/>
      <w:szCs w:val="24"/>
    </w:rPr>
  </w:style>
  <w:style w:type="character" w:customStyle="1" w:styleId="Char0">
    <w:name w:val="脚注文本 Char"/>
    <w:link w:val="a9"/>
    <w:locked/>
    <w:rPr>
      <w:kern w:val="2"/>
      <w:sz w:val="18"/>
      <w:szCs w:val="18"/>
    </w:rPr>
  </w:style>
  <w:style w:type="character" w:customStyle="1" w:styleId="Char3">
    <w:name w:val="页眉 Char"/>
    <w:link w:val="a7"/>
    <w:uiPriority w:val="99"/>
    <w:locked/>
    <w:rPr>
      <w:kern w:val="2"/>
      <w:sz w:val="18"/>
      <w:szCs w:val="18"/>
    </w:rPr>
  </w:style>
  <w:style w:type="character" w:customStyle="1" w:styleId="Char4">
    <w:name w:val="页脚 Char"/>
    <w:link w:val="a6"/>
    <w:uiPriority w:val="99"/>
    <w:locked/>
    <w:rPr>
      <w:kern w:val="2"/>
      <w:sz w:val="18"/>
      <w:szCs w:val="18"/>
    </w:rPr>
  </w:style>
  <w:style w:type="character" w:customStyle="1" w:styleId="Char5">
    <w:name w:val="标题 Char"/>
    <w:link w:val="ab"/>
    <w:uiPriority w:val="10"/>
    <w:locked/>
    <w:rPr>
      <w:rFonts w:ascii="Cambria" w:hAnsi="Cambria" w:cs="Times New Roman" w:hint="default"/>
      <w:b/>
      <w:bCs/>
      <w:kern w:val="2"/>
      <w:sz w:val="32"/>
      <w:szCs w:val="32"/>
    </w:rPr>
  </w:style>
  <w:style w:type="character" w:customStyle="1" w:styleId="Char6">
    <w:name w:val="副标题 Char"/>
    <w:link w:val="a8"/>
    <w:locked/>
    <w:rPr>
      <w:rFonts w:ascii="Cambria" w:hAnsi="Cambria" w:cs="Times New Roman" w:hint="default"/>
      <w:b/>
      <w:bCs/>
      <w:kern w:val="24"/>
      <w:sz w:val="32"/>
      <w:szCs w:val="32"/>
    </w:rPr>
  </w:style>
  <w:style w:type="character" w:customStyle="1" w:styleId="Char7">
    <w:name w:val="日期 Char"/>
    <w:link w:val="a4"/>
    <w:locked/>
    <w:rPr>
      <w:kern w:val="2"/>
      <w:sz w:val="21"/>
    </w:rPr>
  </w:style>
  <w:style w:type="character" w:customStyle="1" w:styleId="Char8">
    <w:name w:val="文档结构图 Char"/>
    <w:link w:val="a3"/>
    <w:locked/>
    <w:rPr>
      <w:rFonts w:ascii="宋体" w:eastAsia="宋体" w:hAnsi="宋体" w:hint="eastAsia"/>
      <w:kern w:val="2"/>
      <w:sz w:val="18"/>
      <w:szCs w:val="18"/>
    </w:rPr>
  </w:style>
  <w:style w:type="character" w:customStyle="1" w:styleId="Char9">
    <w:name w:val="批注框文本 Char"/>
    <w:link w:val="a5"/>
    <w:uiPriority w:val="99"/>
    <w:semiHidden/>
    <w:locked/>
    <w:rPr>
      <w:kern w:val="2"/>
      <w:sz w:val="18"/>
      <w:szCs w:val="18"/>
    </w:rPr>
  </w:style>
  <w:style w:type="character" w:customStyle="1" w:styleId="12">
    <w:name w:val="页眉 字符1"/>
    <w:locked/>
    <w:rPr>
      <w:kern w:val="2"/>
      <w:sz w:val="18"/>
      <w:szCs w:val="18"/>
    </w:rPr>
  </w:style>
  <w:style w:type="character" w:customStyle="1" w:styleId="Char15">
    <w:name w:val="页眉 Char1"/>
    <w:locked/>
    <w:rPr>
      <w:kern w:val="2"/>
      <w:sz w:val="18"/>
      <w:szCs w:val="18"/>
    </w:rPr>
  </w:style>
  <w:style w:type="character" w:customStyle="1" w:styleId="Char16">
    <w:name w:val="页脚 Char1"/>
    <w:uiPriority w:val="99"/>
    <w:locked/>
    <w:rPr>
      <w:kern w:val="2"/>
      <w:sz w:val="18"/>
      <w:szCs w:val="18"/>
    </w:rPr>
  </w:style>
</w:styles>
</file>

<file path=word/webSettings.xml><?xml version="1.0" encoding="utf-8"?>
<w:webSettings xmlns:r="http://schemas.openxmlformats.org/officeDocument/2006/relationships" xmlns:w="http://schemas.openxmlformats.org/wordprocessingml/2006/main">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1157</Characters>
  <Application>Microsoft Office Word</Application>
  <DocSecurity>4</DocSecurity>
  <Lines>9</Lines>
  <Paragraphs>2</Paragraphs>
  <ScaleCrop>false</ScaleCrop>
  <Company/>
  <LinksUpToDate>false</LinksUpToDate>
  <CharactersWithSpaces>1357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yss</dc:creator>
  <cp:keywords/>
  <dc:description/>
  <cp:lastModifiedBy>ZHONGM</cp:lastModifiedBy>
  <cp:revision>2</cp:revision>
  <dcterms:created xsi:type="dcterms:W3CDTF">2025-01-22T16:04:00Z</dcterms:created>
  <dcterms:modified xsi:type="dcterms:W3CDTF">2025-01-22T16:04:00Z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1658F1F47B2145ACA3CF9350E44D4239</vt:lpwstr>
  </property>
</Properties>
</file>