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申万菱信基金管理有限公司</w:t>
      </w:r>
    </w:p>
    <w:p w:rsidR="003D2DCF" w:rsidRDefault="00127D6E">
      <w:pPr>
        <w:spacing w:line="500" w:lineRule="exact"/>
        <w:jc w:val="center"/>
        <w:rPr>
          <w:rFonts w:ascii="黑体" w:eastAsia="黑体" w:hAnsi="黑体"/>
          <w:bCs/>
          <w:color w:val="1E1E1E"/>
          <w:sz w:val="30"/>
          <w:szCs w:val="30"/>
        </w:rPr>
      </w:pPr>
      <w:r>
        <w:rPr>
          <w:rFonts w:ascii="黑体" w:eastAsia="黑体" w:hAnsi="黑体" w:hint="eastAsia"/>
          <w:bCs/>
          <w:color w:val="1E1E1E"/>
          <w:sz w:val="30"/>
          <w:szCs w:val="30"/>
        </w:rPr>
        <w:t>旗下部分基金202</w:t>
      </w:r>
      <w:r w:rsidR="00C03E01">
        <w:rPr>
          <w:rFonts w:ascii="黑体" w:eastAsia="黑体" w:hAnsi="黑体"/>
          <w:bCs/>
          <w:color w:val="1E1E1E"/>
          <w:sz w:val="30"/>
          <w:szCs w:val="30"/>
        </w:rPr>
        <w:t>4</w:t>
      </w:r>
      <w:r>
        <w:rPr>
          <w:rFonts w:ascii="黑体" w:eastAsia="黑体" w:hAnsi="黑体" w:hint="eastAsia"/>
          <w:bCs/>
          <w:color w:val="1E1E1E"/>
          <w:sz w:val="30"/>
          <w:szCs w:val="30"/>
        </w:rPr>
        <w:t>年第</w:t>
      </w:r>
      <w:r w:rsidR="004B15F7">
        <w:rPr>
          <w:rFonts w:ascii="黑体" w:eastAsia="黑体" w:hAnsi="黑体" w:hint="eastAsia"/>
          <w:bCs/>
          <w:color w:val="1E1E1E"/>
          <w:sz w:val="30"/>
          <w:szCs w:val="30"/>
        </w:rPr>
        <w:t>四</w:t>
      </w:r>
      <w:r>
        <w:rPr>
          <w:rFonts w:ascii="黑体" w:eastAsia="黑体" w:hAnsi="黑体" w:hint="eastAsia"/>
          <w:bCs/>
          <w:color w:val="1E1E1E"/>
          <w:sz w:val="30"/>
          <w:szCs w:val="30"/>
        </w:rPr>
        <w:t>季度报告提示性公告</w:t>
      </w:r>
    </w:p>
    <w:p w:rsidR="003D2DCF" w:rsidRDefault="00127D6E">
      <w:pPr>
        <w:spacing w:line="500" w:lineRule="exact"/>
        <w:ind w:firstLineChars="200" w:firstLine="480"/>
        <w:rPr>
          <w:bCs/>
          <w:color w:val="1E1E1E"/>
          <w:sz w:val="24"/>
          <w:szCs w:val="24"/>
        </w:rPr>
      </w:pPr>
      <w:r>
        <w:rPr>
          <w:rFonts w:hint="eastAsia"/>
          <w:bCs/>
          <w:color w:val="1E1E1E"/>
          <w:sz w:val="24"/>
          <w:szCs w:val="24"/>
        </w:rPr>
        <w:t>申万菱信基金管理有限公司（以下简称“本公司”）董事会及董事保证基金年度报告所载资料不存在虚假记载、误导性陈述或重大遗漏，并对其内容的真实性、准确性和完整性承担个别及连带责任。</w:t>
      </w:r>
    </w:p>
    <w:p w:rsidR="003D2DCF" w:rsidRDefault="00127D6E">
      <w:pPr>
        <w:spacing w:line="500" w:lineRule="exact"/>
        <w:ind w:firstLineChars="200" w:firstLine="480"/>
        <w:rPr>
          <w:rFonts w:ascii="宋体" w:eastAsia="宋体" w:hAnsi="宋体" w:cs="宋体"/>
          <w:bCs/>
          <w:color w:val="1E1E1E"/>
          <w:sz w:val="24"/>
          <w:szCs w:val="24"/>
        </w:rPr>
      </w:pPr>
      <w:r>
        <w:rPr>
          <w:rFonts w:ascii="宋体" w:eastAsia="宋体" w:hAnsi="宋体" w:cs="宋体" w:hint="eastAsia"/>
          <w:bCs/>
          <w:color w:val="1E1E1E"/>
          <w:sz w:val="24"/>
          <w:szCs w:val="24"/>
        </w:rPr>
        <w:t>本公司旗下：</w:t>
      </w:r>
    </w:p>
    <w:tbl>
      <w:tblPr>
        <w:tblW w:w="8600" w:type="dxa"/>
        <w:tblLook w:val="04A0"/>
      </w:tblPr>
      <w:tblGrid>
        <w:gridCol w:w="900"/>
        <w:gridCol w:w="7700"/>
      </w:tblGrid>
      <w:tr w:rsidR="004B15F7" w:rsidRPr="00ED56E2" w:rsidTr="00ED56E2">
        <w:trPr>
          <w:trHeight w:val="41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15F7" w:rsidRDefault="004B15F7" w:rsidP="004B15F7">
            <w:pPr>
              <w:widowControl/>
              <w:jc w:val="center"/>
              <w:rPr>
                <w:rFonts w:ascii="宋体" w:eastAsia="宋体" w:hAnsi="宋体" w:cs="宋体"/>
                <w:color w:val="000000"/>
                <w:kern w:val="0"/>
                <w:sz w:val="22"/>
              </w:rPr>
            </w:pPr>
            <w:r>
              <w:rPr>
                <w:rFonts w:hint="eastAsia"/>
                <w:color w:val="000000"/>
                <w:sz w:val="22"/>
              </w:rPr>
              <w:t>序号</w:t>
            </w:r>
          </w:p>
        </w:tc>
        <w:tc>
          <w:tcPr>
            <w:tcW w:w="7700" w:type="dxa"/>
            <w:tcBorders>
              <w:top w:val="single" w:sz="4" w:space="0" w:color="auto"/>
              <w:left w:val="nil"/>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基金名称</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Pr="004B15F7" w:rsidRDefault="004B15F7" w:rsidP="004B15F7">
            <w:pPr>
              <w:jc w:val="center"/>
              <w:rPr>
                <w:sz w:val="22"/>
              </w:rPr>
            </w:pPr>
            <w:r w:rsidRPr="004B15F7">
              <w:rPr>
                <w:rFonts w:hint="eastAsia"/>
                <w:sz w:val="22"/>
              </w:rPr>
              <w:t>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Pr="004B15F7" w:rsidRDefault="008035D8" w:rsidP="004B15F7">
            <w:pPr>
              <w:jc w:val="left"/>
              <w:rPr>
                <w:sz w:val="22"/>
              </w:rPr>
            </w:pPr>
            <w:hyperlink r:id="rId6" w:history="1">
              <w:r w:rsidR="004B15F7" w:rsidRPr="004B15F7">
                <w:rPr>
                  <w:rStyle w:val="a5"/>
                  <w:rFonts w:hint="eastAsia"/>
                  <w:color w:val="auto"/>
                  <w:sz w:val="22"/>
                  <w:u w:val="none"/>
                </w:rPr>
                <w:t>申万菱信安泰鼎利一年定期开放债券型发起式证券投资基金</w:t>
              </w:r>
            </w:hyperlink>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申万菱信安泰丰利债券型证券投资基金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申万菱信安泰富利三年定期开放债券型证券投资基金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申万菱信安泰广利</w:t>
            </w:r>
            <w:r>
              <w:rPr>
                <w:rFonts w:hint="eastAsia"/>
                <w:color w:val="000000"/>
                <w:sz w:val="22"/>
              </w:rPr>
              <w:t>63</w:t>
            </w:r>
            <w:r>
              <w:rPr>
                <w:rFonts w:hint="eastAsia"/>
                <w:color w:val="000000"/>
                <w:sz w:val="22"/>
              </w:rPr>
              <w:t>个月定期开放债券型证券投资基金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申万菱信安泰惠利纯债债券型证券投资基金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申万菱信安泰景利纯债债券型证券投资基金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申万菱信安泰瑞利中短债债券型证券投资基金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申万菱信安泰添益纯债债券型证券投资基金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申万菱信安泰稳利纯债一年定期开放债券型发起式证券投资基金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申万菱信安泰永利利率债一年定期开放债券型发起式证券投资基金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申万菱信安泰裕利纯债债券型证券投资基金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申万菱信创业板量化精选股票型证券投资基金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申万菱信多策略灵活配置混合型证券投资基金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申万菱信国证</w:t>
            </w:r>
            <w:r>
              <w:rPr>
                <w:rFonts w:hint="eastAsia"/>
                <w:color w:val="000000"/>
                <w:sz w:val="22"/>
              </w:rPr>
              <w:t>2000</w:t>
            </w:r>
            <w:r>
              <w:rPr>
                <w:rFonts w:hint="eastAsia"/>
                <w:color w:val="000000"/>
                <w:sz w:val="22"/>
              </w:rPr>
              <w:t>指数增强型发起式证券投资基金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申万菱信合利纯债债券型证券投资基金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申万菱信恒利三个月定期开放债券型证券投资基金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申万菱信红利量化选股股票型证券投资基金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价值交易型开放式指数证券投资基金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19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价值指数证券投资基金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优选指数增强发起式证券投资基金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申万菱信沪深</w:t>
            </w:r>
            <w:r>
              <w:rPr>
                <w:rFonts w:hint="eastAsia"/>
                <w:color w:val="000000"/>
                <w:sz w:val="22"/>
              </w:rPr>
              <w:t>300</w:t>
            </w:r>
            <w:r>
              <w:rPr>
                <w:rFonts w:hint="eastAsia"/>
                <w:color w:val="000000"/>
                <w:sz w:val="22"/>
              </w:rPr>
              <w:t>指数增强型证券投资基金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申万菱信汇元宝债券型证券投资基金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申万菱信集利三个月定期开放债券型证券投资基金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申万菱信季季瑞三个月持有期纯债债券型证券投资基金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申万菱信价值精选混合型证券投资基金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lastRenderedPageBreak/>
              <w:t>26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申万菱信竞争优势混合型证券投资基金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申万菱信可转换债券债券型证券投资基金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申万菱信乐成混合型证券投资基金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29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申万菱信乐道三年持有期混合型证券投资基金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申万菱信乐融一年持有期混合型证券投资基金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申万菱信乐同混合型证券投资基金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申万菱信乐享混合型证券投资基金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申万菱信量化对冲策略灵活配置混合型发起式证券投资基金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申万菱信量化小盘股票型证券投资基金</w:t>
            </w:r>
            <w:r>
              <w:rPr>
                <w:rFonts w:hint="eastAsia"/>
                <w:color w:val="000000"/>
                <w:sz w:val="22"/>
              </w:rPr>
              <w:t>(LOF)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申万菱信绿色纯债债券型发起式证券投资基金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申万菱信全球新能源股票型发起式证券投资基金（</w:t>
            </w:r>
            <w:r>
              <w:rPr>
                <w:rFonts w:hint="eastAsia"/>
                <w:color w:val="000000"/>
                <w:sz w:val="22"/>
              </w:rPr>
              <w:t>QDII</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申万菱信上证</w:t>
            </w:r>
            <w:r>
              <w:rPr>
                <w:rFonts w:hint="eastAsia"/>
                <w:color w:val="000000"/>
                <w:sz w:val="22"/>
              </w:rPr>
              <w:t>50</w:t>
            </w:r>
            <w:r>
              <w:rPr>
                <w:rFonts w:hint="eastAsia"/>
                <w:color w:val="000000"/>
                <w:sz w:val="22"/>
              </w:rPr>
              <w:t>交易型开放式指数发起式证券投资基金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申万菱信上证</w:t>
            </w:r>
            <w:r>
              <w:rPr>
                <w:rFonts w:hint="eastAsia"/>
                <w:color w:val="000000"/>
                <w:sz w:val="22"/>
              </w:rPr>
              <w:t>G60</w:t>
            </w:r>
            <w:r>
              <w:rPr>
                <w:rFonts w:hint="eastAsia"/>
                <w:color w:val="000000"/>
                <w:sz w:val="22"/>
              </w:rPr>
              <w:t>战略新兴产业成份交易型开放式指数证券投资基金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39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申万菱信深证成份指数型证券投资基金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申万菱信盛利精选证券投资基金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申万菱信收益宝货币市场基金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申万菱信数字产业股票型发起式证券投资基金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申万菱信双利混合型证券投资基金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申万菱信双禧混合型发起式证券投资基金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申万菱信碳中和智选混合型发起式证券投资基金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申万菱信稳健养老目标一年持有期混合型发起式基金中基金（</w:t>
            </w:r>
            <w:r>
              <w:rPr>
                <w:rFonts w:hint="eastAsia"/>
                <w:color w:val="000000"/>
                <w:sz w:val="22"/>
              </w:rPr>
              <w:t>FOF</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申万菱信稳鑫</w:t>
            </w:r>
            <w:r>
              <w:rPr>
                <w:rFonts w:hint="eastAsia"/>
                <w:color w:val="000000"/>
                <w:sz w:val="22"/>
              </w:rPr>
              <w:t>30</w:t>
            </w:r>
            <w:r>
              <w:rPr>
                <w:rFonts w:hint="eastAsia"/>
                <w:color w:val="000000"/>
                <w:sz w:val="22"/>
              </w:rPr>
              <w:t>天滚动持有短债债券型发起式证券投资基金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申万菱信稳鑫</w:t>
            </w:r>
            <w:r>
              <w:rPr>
                <w:rFonts w:hint="eastAsia"/>
                <w:color w:val="000000"/>
                <w:sz w:val="22"/>
              </w:rPr>
              <w:t>60</w:t>
            </w:r>
            <w:r>
              <w:rPr>
                <w:rFonts w:hint="eastAsia"/>
                <w:color w:val="000000"/>
                <w:sz w:val="22"/>
              </w:rPr>
              <w:t>天滚动持有中短债债券型证券投资基金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49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申万菱信稳鑫</w:t>
            </w:r>
            <w:r>
              <w:rPr>
                <w:rFonts w:hint="eastAsia"/>
                <w:color w:val="000000"/>
                <w:sz w:val="22"/>
              </w:rPr>
              <w:t>90</w:t>
            </w:r>
            <w:r>
              <w:rPr>
                <w:rFonts w:hint="eastAsia"/>
                <w:color w:val="000000"/>
                <w:sz w:val="22"/>
              </w:rPr>
              <w:t>天滚动持有中短债债券型证券投资基金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申万菱信稳益宝债券型证券投资基金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申万菱信消费增长混合型证券投资基金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申万菱信新动力混合型证券投资基金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申万菱信新经济混合型证券投资基金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申万菱信新能源汽车主题灵活配置混合型证券投资基金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申万菱信鑫享稳健混合型发起式证券投资基金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申万菱信行业轮动股票型证券投资基金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申万菱信兴乐优选混合型证券投资基金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58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申万菱信养老目标日期</w:t>
            </w:r>
            <w:r>
              <w:rPr>
                <w:rFonts w:hint="eastAsia"/>
                <w:color w:val="000000"/>
                <w:sz w:val="22"/>
              </w:rPr>
              <w:t>2040</w:t>
            </w:r>
            <w:r>
              <w:rPr>
                <w:rFonts w:hint="eastAsia"/>
                <w:color w:val="000000"/>
                <w:sz w:val="22"/>
              </w:rPr>
              <w:t>三年持有期混合型发起式基金中基金（</w:t>
            </w:r>
            <w:r>
              <w:rPr>
                <w:rFonts w:hint="eastAsia"/>
                <w:color w:val="000000"/>
                <w:sz w:val="22"/>
              </w:rPr>
              <w:t>FOF</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lastRenderedPageBreak/>
              <w:t>59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申万菱信养老目标日期</w:t>
            </w:r>
            <w:r>
              <w:rPr>
                <w:rFonts w:hint="eastAsia"/>
                <w:color w:val="000000"/>
                <w:sz w:val="22"/>
              </w:rPr>
              <w:t>2045</w:t>
            </w:r>
            <w:r>
              <w:rPr>
                <w:rFonts w:hint="eastAsia"/>
                <w:color w:val="000000"/>
                <w:sz w:val="22"/>
              </w:rPr>
              <w:t>五年持有期混合型发起式基金中基金（</w:t>
            </w:r>
            <w:r>
              <w:rPr>
                <w:rFonts w:hint="eastAsia"/>
                <w:color w:val="000000"/>
                <w:sz w:val="22"/>
              </w:rPr>
              <w:t>FOF)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申万菱信医药先锋股票型证券投资基金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申万菱信智能汽车股票型证券投资基金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申万菱信智能驱动股票型证券投资基金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申万菱信智能生活量化选股混合型发起式证券投资基金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申万菱信中小企业</w:t>
            </w:r>
            <w:r>
              <w:rPr>
                <w:rFonts w:hint="eastAsia"/>
                <w:color w:val="000000"/>
                <w:sz w:val="22"/>
              </w:rPr>
              <w:t>100</w:t>
            </w:r>
            <w:r>
              <w:rPr>
                <w:rFonts w:hint="eastAsia"/>
                <w:color w:val="000000"/>
                <w:sz w:val="22"/>
              </w:rPr>
              <w:t>指数证券投资基金</w:t>
            </w:r>
            <w:r>
              <w:rPr>
                <w:rFonts w:hint="eastAsia"/>
                <w:color w:val="000000"/>
                <w:sz w:val="22"/>
              </w:rPr>
              <w:t>(LOF)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w:t>
            </w:r>
            <w:r>
              <w:rPr>
                <w:rFonts w:hint="eastAsia"/>
                <w:color w:val="000000"/>
                <w:sz w:val="22"/>
              </w:rPr>
              <w:t>500</w:t>
            </w:r>
            <w:r>
              <w:rPr>
                <w:rFonts w:hint="eastAsia"/>
                <w:color w:val="000000"/>
                <w:sz w:val="22"/>
              </w:rPr>
              <w:t>指数优选增强型证券投资基金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w:t>
            </w:r>
            <w:r>
              <w:rPr>
                <w:rFonts w:hint="eastAsia"/>
                <w:color w:val="000000"/>
                <w:sz w:val="22"/>
              </w:rPr>
              <w:t>500</w:t>
            </w:r>
            <w:r>
              <w:rPr>
                <w:rFonts w:hint="eastAsia"/>
                <w:color w:val="000000"/>
                <w:sz w:val="22"/>
              </w:rPr>
              <w:t>指数增强型证券投资基金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w:t>
            </w:r>
            <w:r>
              <w:rPr>
                <w:rFonts w:hint="eastAsia"/>
                <w:color w:val="000000"/>
                <w:sz w:val="22"/>
              </w:rPr>
              <w:t>1000</w:t>
            </w:r>
            <w:r>
              <w:rPr>
                <w:rFonts w:hint="eastAsia"/>
                <w:color w:val="000000"/>
                <w:sz w:val="22"/>
              </w:rPr>
              <w:t>指数增强型证券投资基金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申万菱信中证沪港深数字经济主题指数型发起式证券投资基金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69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申万菱信中证环保产业指数型证券投资基金</w:t>
            </w:r>
            <w:r>
              <w:rPr>
                <w:rFonts w:hint="eastAsia"/>
                <w:color w:val="000000"/>
                <w:sz w:val="22"/>
              </w:rPr>
              <w:t>(LOF)</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70</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申万菱信中证军工指数型证券投资基金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71</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申万菱信中证内地新能源主题交易型开放式指数证券投资基金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72</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申万菱信中证内地新能源主题交易型开放式指数证券投资基金发起式联接基金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73</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申万菱信中证申万电子行业投资指数型证券投资基金（</w:t>
            </w:r>
            <w:r>
              <w:rPr>
                <w:rFonts w:hint="eastAsia"/>
                <w:color w:val="000000"/>
                <w:sz w:val="22"/>
              </w:rPr>
              <w:t>LOF</w:t>
            </w:r>
            <w:r>
              <w:rPr>
                <w:rFonts w:hint="eastAsia"/>
                <w:color w:val="000000"/>
                <w:sz w:val="22"/>
              </w:rPr>
              <w:t>）</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74</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申万菱信中证申万医药生物指数型证券投资基金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75</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申万菱信中证申万证券行业指数型证券投资基金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76</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申万菱信中证同业存单</w:t>
            </w:r>
            <w:r>
              <w:rPr>
                <w:rFonts w:hint="eastAsia"/>
                <w:color w:val="000000"/>
                <w:sz w:val="22"/>
              </w:rPr>
              <w:t>AAA</w:t>
            </w:r>
            <w:r>
              <w:rPr>
                <w:rFonts w:hint="eastAsia"/>
                <w:color w:val="000000"/>
                <w:sz w:val="22"/>
              </w:rPr>
              <w:t>指数</w:t>
            </w:r>
            <w:r>
              <w:rPr>
                <w:rFonts w:hint="eastAsia"/>
                <w:color w:val="000000"/>
                <w:sz w:val="22"/>
              </w:rPr>
              <w:t>7</w:t>
            </w:r>
            <w:r>
              <w:rPr>
                <w:rFonts w:hint="eastAsia"/>
                <w:color w:val="000000"/>
                <w:sz w:val="22"/>
              </w:rPr>
              <w:t>天持有期证券投资基金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77</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申万菱信中证研发创新</w:t>
            </w:r>
            <w:r>
              <w:rPr>
                <w:rFonts w:hint="eastAsia"/>
                <w:color w:val="000000"/>
                <w:sz w:val="22"/>
              </w:rPr>
              <w:t>100</w:t>
            </w:r>
            <w:r>
              <w:rPr>
                <w:rFonts w:hint="eastAsia"/>
                <w:color w:val="000000"/>
                <w:sz w:val="22"/>
              </w:rPr>
              <w:t>交易型开放式指数证券投资基金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78</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申万菱信中证研发创新</w:t>
            </w:r>
            <w:r>
              <w:rPr>
                <w:rFonts w:hint="eastAsia"/>
                <w:color w:val="000000"/>
                <w:sz w:val="22"/>
              </w:rPr>
              <w:t>100</w:t>
            </w:r>
            <w:r>
              <w:rPr>
                <w:rFonts w:hint="eastAsia"/>
                <w:color w:val="000000"/>
                <w:sz w:val="22"/>
              </w:rPr>
              <w:t>交易型开放式指数证券投资基金联接基金</w:t>
            </w:r>
          </w:p>
        </w:tc>
      </w:tr>
      <w:tr w:rsidR="004B15F7" w:rsidRPr="00ED56E2" w:rsidTr="00ED56E2">
        <w:trPr>
          <w:trHeight w:val="41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4B15F7" w:rsidRDefault="004B15F7" w:rsidP="004B15F7">
            <w:pPr>
              <w:jc w:val="center"/>
              <w:rPr>
                <w:color w:val="000000"/>
                <w:sz w:val="22"/>
              </w:rPr>
            </w:pPr>
            <w:r>
              <w:rPr>
                <w:rFonts w:hint="eastAsia"/>
                <w:color w:val="000000"/>
                <w:sz w:val="22"/>
              </w:rPr>
              <w:t>79</w:t>
            </w:r>
          </w:p>
        </w:tc>
        <w:tc>
          <w:tcPr>
            <w:tcW w:w="7700" w:type="dxa"/>
            <w:tcBorders>
              <w:top w:val="nil"/>
              <w:left w:val="nil"/>
              <w:bottom w:val="single" w:sz="4" w:space="0" w:color="auto"/>
              <w:right w:val="single" w:sz="4" w:space="0" w:color="auto"/>
            </w:tcBorders>
            <w:shd w:val="clear" w:color="auto" w:fill="auto"/>
            <w:noWrap/>
            <w:vAlign w:val="center"/>
            <w:hideMark/>
          </w:tcPr>
          <w:p w:rsidR="004B15F7" w:rsidRDefault="004B15F7" w:rsidP="004B15F7">
            <w:pPr>
              <w:jc w:val="left"/>
              <w:rPr>
                <w:color w:val="000000"/>
                <w:sz w:val="22"/>
              </w:rPr>
            </w:pPr>
            <w:r>
              <w:rPr>
                <w:rFonts w:hint="eastAsia"/>
                <w:color w:val="000000"/>
                <w:sz w:val="22"/>
              </w:rPr>
              <w:t>申万菱信专精特新主题混合型发起式证券投资基金</w:t>
            </w:r>
          </w:p>
        </w:tc>
      </w:tr>
    </w:tbl>
    <w:p w:rsidR="003D2DCF" w:rsidRDefault="00127D6E" w:rsidP="004B15F7">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C03E01">
        <w:rPr>
          <w:rFonts w:ascii="宋体" w:eastAsia="宋体" w:hAnsi="宋体" w:cs="宋体"/>
          <w:color w:val="000000"/>
          <w:kern w:val="0"/>
          <w:sz w:val="24"/>
          <w:szCs w:val="24"/>
        </w:rPr>
        <w:t>4</w:t>
      </w:r>
      <w:r>
        <w:rPr>
          <w:rFonts w:ascii="宋体" w:eastAsia="宋体" w:hAnsi="宋体" w:cs="宋体" w:hint="eastAsia"/>
          <w:color w:val="000000"/>
          <w:kern w:val="0"/>
          <w:sz w:val="24"/>
          <w:szCs w:val="24"/>
        </w:rPr>
        <w:t>年第</w:t>
      </w:r>
      <w:r w:rsidR="004B15F7">
        <w:rPr>
          <w:rFonts w:ascii="宋体" w:eastAsia="宋体" w:hAnsi="宋体" w:cs="宋体" w:hint="eastAsia"/>
          <w:color w:val="000000"/>
          <w:kern w:val="0"/>
          <w:sz w:val="24"/>
          <w:szCs w:val="24"/>
        </w:rPr>
        <w:t>四</w:t>
      </w:r>
      <w:r>
        <w:rPr>
          <w:rFonts w:ascii="宋体" w:eastAsia="宋体" w:hAnsi="宋体" w:cs="宋体" w:hint="eastAsia"/>
          <w:color w:val="000000"/>
          <w:kern w:val="0"/>
          <w:sz w:val="24"/>
          <w:szCs w:val="24"/>
        </w:rPr>
        <w:t>季度报告全文于202</w:t>
      </w:r>
      <w:r w:rsidR="004B15F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ED56E2">
        <w:rPr>
          <w:rFonts w:ascii="宋体" w:eastAsia="宋体" w:hAnsi="宋体" w:cs="宋体"/>
          <w:color w:val="000000"/>
          <w:kern w:val="0"/>
          <w:sz w:val="24"/>
          <w:szCs w:val="24"/>
        </w:rPr>
        <w:t>1</w:t>
      </w:r>
      <w:r>
        <w:rPr>
          <w:rFonts w:ascii="宋体" w:eastAsia="宋体" w:hAnsi="宋体" w:cs="宋体" w:hint="eastAsia"/>
          <w:color w:val="000000"/>
          <w:kern w:val="0"/>
          <w:sz w:val="24"/>
          <w:szCs w:val="24"/>
        </w:rPr>
        <w:t>月</w:t>
      </w:r>
      <w:r w:rsidR="004B15F7">
        <w:rPr>
          <w:rFonts w:ascii="宋体" w:eastAsia="宋体" w:hAnsi="宋体" w:cs="宋体"/>
          <w:color w:val="000000"/>
          <w:kern w:val="0"/>
          <w:sz w:val="24"/>
          <w:szCs w:val="24"/>
        </w:rPr>
        <w:t>22</w:t>
      </w:r>
      <w:r>
        <w:rPr>
          <w:rFonts w:ascii="宋体" w:eastAsia="宋体" w:hAnsi="宋体" w:cs="宋体" w:hint="eastAsia"/>
          <w:color w:val="000000"/>
          <w:kern w:val="0"/>
          <w:sz w:val="24"/>
          <w:szCs w:val="24"/>
        </w:rPr>
        <w:t>日在本公司网站（www.swsmu.com）和中国证监会基金电子披露网站（http://eid.csrc.gov.cn/fund）披露，供投资者查阅。如有疑问可拨打本公司客服电话（400-880-8588）咨询。</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本公司承诺以诚实信用、勤勉尽责的原则管理和运用基金资产，但不保证基金一定盈利，也不保证最低收益。请充分了解基金的风险收益特征，审慎做出投资决定。</w:t>
      </w:r>
    </w:p>
    <w:p w:rsidR="003D2DCF" w:rsidRDefault="00127D6E">
      <w:pPr>
        <w:spacing w:line="500" w:lineRule="exact"/>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特此公告。</w:t>
      </w:r>
    </w:p>
    <w:p w:rsidR="003D2DCF" w:rsidRDefault="00127D6E">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申万菱信基金管理有限公司</w:t>
      </w:r>
    </w:p>
    <w:p w:rsidR="003D2DCF" w:rsidRPr="00980B45" w:rsidRDefault="00127D6E" w:rsidP="00980B45">
      <w:pPr>
        <w:spacing w:line="500" w:lineRule="exact"/>
        <w:ind w:firstLineChars="20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202</w:t>
      </w:r>
      <w:r w:rsidR="004B15F7">
        <w:rPr>
          <w:rFonts w:ascii="宋体" w:eastAsia="宋体" w:hAnsi="宋体" w:cs="宋体"/>
          <w:color w:val="000000"/>
          <w:kern w:val="0"/>
          <w:sz w:val="24"/>
          <w:szCs w:val="24"/>
        </w:rPr>
        <w:t>5</w:t>
      </w:r>
      <w:r>
        <w:rPr>
          <w:rFonts w:ascii="宋体" w:eastAsia="宋体" w:hAnsi="宋体" w:cs="宋体" w:hint="eastAsia"/>
          <w:color w:val="000000"/>
          <w:kern w:val="0"/>
          <w:sz w:val="24"/>
          <w:szCs w:val="24"/>
        </w:rPr>
        <w:t>年</w:t>
      </w:r>
      <w:r w:rsidR="00ED56E2">
        <w:rPr>
          <w:rFonts w:ascii="宋体" w:eastAsia="宋体" w:hAnsi="宋体" w:cs="宋体"/>
          <w:color w:val="000000"/>
          <w:kern w:val="0"/>
          <w:sz w:val="24"/>
          <w:szCs w:val="24"/>
        </w:rPr>
        <w:t>1</w:t>
      </w:r>
      <w:r>
        <w:rPr>
          <w:rFonts w:ascii="宋体" w:eastAsia="宋体" w:hAnsi="宋体" w:cs="宋体" w:hint="eastAsia"/>
          <w:color w:val="000000"/>
          <w:kern w:val="0"/>
          <w:sz w:val="24"/>
          <w:szCs w:val="24"/>
        </w:rPr>
        <w:t>月</w:t>
      </w:r>
      <w:r w:rsidR="004B15F7">
        <w:rPr>
          <w:rFonts w:ascii="宋体" w:eastAsia="宋体" w:hAnsi="宋体" w:cs="宋体"/>
          <w:color w:val="000000"/>
          <w:kern w:val="0"/>
          <w:sz w:val="24"/>
          <w:szCs w:val="24"/>
        </w:rPr>
        <w:t>22</w:t>
      </w:r>
      <w:r>
        <w:rPr>
          <w:rFonts w:ascii="宋体" w:eastAsia="宋体" w:hAnsi="宋体" w:cs="宋体" w:hint="eastAsia"/>
          <w:color w:val="000000"/>
          <w:kern w:val="0"/>
          <w:sz w:val="24"/>
          <w:szCs w:val="24"/>
        </w:rPr>
        <w:t>日</w:t>
      </w:r>
      <w:bookmarkStart w:id="0" w:name="_GoBack"/>
      <w:bookmarkEnd w:id="0"/>
    </w:p>
    <w:sectPr w:rsidR="003D2DCF" w:rsidRPr="00980B45" w:rsidSect="008035D8">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24" w:rsidRDefault="00182424" w:rsidP="00182424">
      <w:r>
        <w:separator/>
      </w:r>
    </w:p>
  </w:endnote>
  <w:endnote w:type="continuationSeparator" w:id="0">
    <w:p w:rsidR="00182424" w:rsidRDefault="00182424" w:rsidP="0018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24" w:rsidRDefault="00182424" w:rsidP="00182424">
      <w:r>
        <w:separator/>
      </w:r>
    </w:p>
  </w:footnote>
  <w:footnote w:type="continuationSeparator" w:id="0">
    <w:p w:rsidR="00182424" w:rsidRDefault="00182424" w:rsidP="001824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FFD"/>
    <w:rsid w:val="00074006"/>
    <w:rsid w:val="00122C0B"/>
    <w:rsid w:val="00127D6E"/>
    <w:rsid w:val="00182424"/>
    <w:rsid w:val="001D6FFD"/>
    <w:rsid w:val="00266701"/>
    <w:rsid w:val="002D4014"/>
    <w:rsid w:val="00347410"/>
    <w:rsid w:val="0035567B"/>
    <w:rsid w:val="003841BB"/>
    <w:rsid w:val="003D2DCF"/>
    <w:rsid w:val="00422FB9"/>
    <w:rsid w:val="004442FB"/>
    <w:rsid w:val="004B15F7"/>
    <w:rsid w:val="004C028D"/>
    <w:rsid w:val="005364EA"/>
    <w:rsid w:val="00572756"/>
    <w:rsid w:val="006702FE"/>
    <w:rsid w:val="006C78FF"/>
    <w:rsid w:val="007A26E2"/>
    <w:rsid w:val="007D3305"/>
    <w:rsid w:val="008035D8"/>
    <w:rsid w:val="008C62AD"/>
    <w:rsid w:val="008D0210"/>
    <w:rsid w:val="008F17F2"/>
    <w:rsid w:val="00980B45"/>
    <w:rsid w:val="00AA7BD6"/>
    <w:rsid w:val="00B35A1A"/>
    <w:rsid w:val="00B65CC2"/>
    <w:rsid w:val="00BF2E78"/>
    <w:rsid w:val="00C03E01"/>
    <w:rsid w:val="00C677DB"/>
    <w:rsid w:val="00CF19BD"/>
    <w:rsid w:val="00E9785D"/>
    <w:rsid w:val="00ED56E2"/>
    <w:rsid w:val="00EF5A63"/>
    <w:rsid w:val="00F01121"/>
    <w:rsid w:val="07130382"/>
    <w:rsid w:val="36240E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D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sid w:val="008035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035D8"/>
    <w:rPr>
      <w:rFonts w:ascii="宋体" w:eastAsia="宋体" w:hAnsi="宋体" w:cs="宋体"/>
      <w:kern w:val="0"/>
      <w:sz w:val="24"/>
      <w:szCs w:val="24"/>
    </w:rPr>
  </w:style>
  <w:style w:type="character" w:customStyle="1" w:styleId="font11">
    <w:name w:val="font11"/>
    <w:basedOn w:val="a0"/>
    <w:rsid w:val="008035D8"/>
    <w:rPr>
      <w:rFonts w:ascii="宋体" w:eastAsia="宋体" w:hAnsi="宋体" w:hint="eastAsia"/>
      <w:color w:val="000000"/>
      <w:sz w:val="21"/>
      <w:szCs w:val="21"/>
      <w:u w:val="none"/>
    </w:rPr>
  </w:style>
  <w:style w:type="character" w:customStyle="1" w:styleId="font01">
    <w:name w:val="font01"/>
    <w:basedOn w:val="a0"/>
    <w:qFormat/>
    <w:rsid w:val="008035D8"/>
    <w:rPr>
      <w:rFonts w:ascii="Arial" w:hAnsi="Arial" w:cs="Arial" w:hint="default"/>
      <w:color w:val="000000"/>
      <w:sz w:val="20"/>
      <w:szCs w:val="20"/>
      <w:u w:val="none"/>
    </w:rPr>
  </w:style>
  <w:style w:type="character" w:customStyle="1" w:styleId="font21">
    <w:name w:val="font21"/>
    <w:basedOn w:val="a0"/>
    <w:qFormat/>
    <w:rsid w:val="008035D8"/>
    <w:rPr>
      <w:rFonts w:ascii="宋体" w:eastAsia="宋体" w:hAnsi="宋体" w:hint="eastAsia"/>
      <w:color w:val="000000"/>
      <w:sz w:val="20"/>
      <w:szCs w:val="20"/>
      <w:u w:val="none"/>
    </w:rPr>
  </w:style>
  <w:style w:type="paragraph" w:styleId="a3">
    <w:name w:val="header"/>
    <w:basedOn w:val="a"/>
    <w:link w:val="Char"/>
    <w:uiPriority w:val="99"/>
    <w:unhideWhenUsed/>
    <w:rsid w:val="00182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2424"/>
    <w:rPr>
      <w:rFonts w:asciiTheme="minorHAnsi" w:eastAsiaTheme="minorEastAsia" w:hAnsiTheme="minorHAnsi" w:cstheme="minorBidi"/>
      <w:kern w:val="2"/>
      <w:sz w:val="18"/>
      <w:szCs w:val="18"/>
    </w:rPr>
  </w:style>
  <w:style w:type="paragraph" w:styleId="a4">
    <w:name w:val="footer"/>
    <w:basedOn w:val="a"/>
    <w:link w:val="Char0"/>
    <w:uiPriority w:val="99"/>
    <w:unhideWhenUsed/>
    <w:rsid w:val="00182424"/>
    <w:pPr>
      <w:tabs>
        <w:tab w:val="center" w:pos="4153"/>
        <w:tab w:val="right" w:pos="8306"/>
      </w:tabs>
      <w:snapToGrid w:val="0"/>
      <w:jc w:val="left"/>
    </w:pPr>
    <w:rPr>
      <w:sz w:val="18"/>
      <w:szCs w:val="18"/>
    </w:rPr>
  </w:style>
  <w:style w:type="character" w:customStyle="1" w:styleId="Char0">
    <w:name w:val="页脚 Char"/>
    <w:basedOn w:val="a0"/>
    <w:link w:val="a4"/>
    <w:uiPriority w:val="99"/>
    <w:rsid w:val="00182424"/>
    <w:rPr>
      <w:rFonts w:asciiTheme="minorHAnsi" w:eastAsiaTheme="minorEastAsia" w:hAnsiTheme="minorHAnsi" w:cstheme="minorBidi"/>
      <w:kern w:val="2"/>
      <w:sz w:val="18"/>
      <w:szCs w:val="18"/>
    </w:rPr>
  </w:style>
  <w:style w:type="character" w:styleId="a5">
    <w:name w:val="Hyperlink"/>
    <w:basedOn w:val="a0"/>
    <w:uiPriority w:val="99"/>
    <w:semiHidden/>
    <w:unhideWhenUsed/>
    <w:rsid w:val="00BF2E78"/>
    <w:rPr>
      <w:color w:val="0563C1"/>
      <w:u w:val="single"/>
    </w:rPr>
  </w:style>
  <w:style w:type="paragraph" w:styleId="a6">
    <w:name w:val="Date"/>
    <w:basedOn w:val="a"/>
    <w:next w:val="a"/>
    <w:link w:val="Char1"/>
    <w:uiPriority w:val="99"/>
    <w:semiHidden/>
    <w:unhideWhenUsed/>
    <w:rsid w:val="004B15F7"/>
    <w:pPr>
      <w:ind w:leftChars="2500" w:left="100"/>
    </w:pPr>
  </w:style>
  <w:style w:type="character" w:customStyle="1" w:styleId="Char1">
    <w:name w:val="日期 Char"/>
    <w:basedOn w:val="a0"/>
    <w:link w:val="a6"/>
    <w:uiPriority w:val="99"/>
    <w:semiHidden/>
    <w:rsid w:val="004B15F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886720753">
      <w:bodyDiv w:val="1"/>
      <w:marLeft w:val="0"/>
      <w:marRight w:val="0"/>
      <w:marTop w:val="0"/>
      <w:marBottom w:val="0"/>
      <w:divBdr>
        <w:top w:val="none" w:sz="0" w:space="0" w:color="auto"/>
        <w:left w:val="none" w:sz="0" w:space="0" w:color="auto"/>
        <w:bottom w:val="none" w:sz="0" w:space="0" w:color="auto"/>
        <w:right w:val="none" w:sz="0" w:space="0" w:color="auto"/>
      </w:divBdr>
    </w:div>
    <w:div w:id="887569845">
      <w:bodyDiv w:val="1"/>
      <w:marLeft w:val="0"/>
      <w:marRight w:val="0"/>
      <w:marTop w:val="0"/>
      <w:marBottom w:val="0"/>
      <w:divBdr>
        <w:top w:val="none" w:sz="0" w:space="0" w:color="auto"/>
        <w:left w:val="none" w:sz="0" w:space="0" w:color="auto"/>
        <w:bottom w:val="none" w:sz="0" w:space="0" w:color="auto"/>
        <w:right w:val="none" w:sz="0" w:space="0" w:color="auto"/>
      </w:divBdr>
    </w:div>
    <w:div w:id="1019697601">
      <w:bodyDiv w:val="1"/>
      <w:marLeft w:val="0"/>
      <w:marRight w:val="0"/>
      <w:marTop w:val="0"/>
      <w:marBottom w:val="0"/>
      <w:divBdr>
        <w:top w:val="none" w:sz="0" w:space="0" w:color="auto"/>
        <w:left w:val="none" w:sz="0" w:space="0" w:color="auto"/>
        <w:bottom w:val="none" w:sz="0" w:space="0" w:color="auto"/>
        <w:right w:val="none" w:sz="0" w:space="0" w:color="auto"/>
      </w:divBdr>
    </w:div>
    <w:div w:id="1279684638">
      <w:bodyDiv w:val="1"/>
      <w:marLeft w:val="0"/>
      <w:marRight w:val="0"/>
      <w:marTop w:val="0"/>
      <w:marBottom w:val="0"/>
      <w:divBdr>
        <w:top w:val="none" w:sz="0" w:space="0" w:color="auto"/>
        <w:left w:val="none" w:sz="0" w:space="0" w:color="auto"/>
        <w:bottom w:val="none" w:sz="0" w:space="0" w:color="auto"/>
        <w:right w:val="none" w:sz="0" w:space="0" w:color="auto"/>
      </w:divBdr>
    </w:div>
    <w:div w:id="1564412911">
      <w:bodyDiv w:val="1"/>
      <w:marLeft w:val="0"/>
      <w:marRight w:val="0"/>
      <w:marTop w:val="0"/>
      <w:marBottom w:val="0"/>
      <w:divBdr>
        <w:top w:val="none" w:sz="0" w:space="0" w:color="auto"/>
        <w:left w:val="none" w:sz="0" w:space="0" w:color="auto"/>
        <w:bottom w:val="none" w:sz="0" w:space="0" w:color="auto"/>
        <w:right w:val="none" w:sz="0" w:space="0" w:color="auto"/>
      </w:divBdr>
    </w:div>
    <w:div w:id="1962494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72.16.3.151\FileShare\&#37096;&#38376;&#25991;&#20214;&#22841;\&#30417;&#23519;&#31293;&#26680;&#24635;&#37096;\172-2025\&#23395;&#25253;&#12289;&#24180;&#25253;\&#22235;&#23395;&#25253;\2024&#24180;4&#23395;&#25253;&#23450;&#31295;\&#30003;&#19975;&#33777;&#20449;&#23433;&#27888;&#40718;&#21033;&#19968;&#24180;&#23450;&#26399;&#24320;&#25918;&#20538;&#21048;&#22411;&#21457;&#36215;&#24335;&#35777;&#21048;&#25237;&#36164;&#22522;&#37329;2024&#24180;&#31532;4&#23395;&#24230;&#25253;&#21578;.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2223</Characters>
  <Application>Microsoft Office Word</Application>
  <DocSecurity>4</DocSecurity>
  <Lines>18</Lines>
  <Paragraphs>5</Paragraphs>
  <ScaleCrop>false</ScaleCrop>
  <Company>Microsoft</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2025-01-21T16:05:00Z</dcterms:created>
  <dcterms:modified xsi:type="dcterms:W3CDTF">2025-01-21T16:05:00Z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1F7D9DBA563F439F946A4E043EF665D7</vt:lpwstr>
  </property>
</Properties>
</file>