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C9" w:rsidRDefault="00972AFE" w:rsidP="00972AFE">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红土创新基金管理有限公司旗下基金</w:t>
      </w:r>
    </w:p>
    <w:p w:rsidR="001523C9" w:rsidRDefault="00972AFE" w:rsidP="00972AFE">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季度</w:t>
      </w:r>
      <w:r>
        <w:rPr>
          <w:rFonts w:ascii="仿宋" w:eastAsia="仿宋" w:hAnsi="仿宋" w:hint="eastAsia"/>
          <w:b/>
          <w:color w:val="000000" w:themeColor="text1"/>
          <w:sz w:val="32"/>
          <w:szCs w:val="32"/>
        </w:rPr>
        <w:t>报告提示性公告</w:t>
      </w:r>
    </w:p>
    <w:p w:rsidR="001523C9" w:rsidRDefault="001523C9">
      <w:pPr>
        <w:spacing w:line="540" w:lineRule="exact"/>
        <w:rPr>
          <w:rFonts w:ascii="仿宋" w:eastAsia="仿宋" w:hAnsi="仿宋"/>
          <w:color w:val="000000" w:themeColor="text1"/>
          <w:sz w:val="32"/>
          <w:szCs w:val="32"/>
        </w:rPr>
      </w:pPr>
    </w:p>
    <w:p w:rsidR="001523C9" w:rsidRDefault="00972AFE">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红土创新新兴产业灵活配置混合型证券投资基金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红土创新转型精选灵活配置混合型证券投资基金（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红土创新货币市场基金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红土创新优淳货币市场基金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红土创新增强收益债券型证券投资基金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红土创新新科技股票型发起式证券投资基金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红土创新医疗保健股票型发起式证券投资基金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红土创新稳健混合证券投资基金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红土创新稳进混合型证券投资基金</w:t>
      </w:r>
    </w:p>
    <w:p w:rsidR="001523C9" w:rsidRDefault="00972AFE">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523C9" w:rsidRDefault="00972AFE">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红土创新纯债债券型证券投资基金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红土创新智能制造混合型发起式证券投资基金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个月定期开放混合型证券投资基金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红土创新丰源中短债债券型证券投资基金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红土创新丰泽中短债债券型证券投资基金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红土创新添利债券型证券投资基金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红土创新丰睿中短债债券型证券投资基金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红土创新稳益</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红土创新盐田港仓储物流封闭式基础设施证券投资基金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红土创新深圳人才安居保障性租赁住房封闭式基础设施证券投资基金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红土创新丰和利率债债券型证券投资基金</w:t>
      </w:r>
    </w:p>
    <w:p w:rsidR="001523C9" w:rsidRDefault="00972AFE">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红土创新添益债券型证券投资基金</w:t>
      </w:r>
      <w:bookmarkStart w:id="0" w:name="_GoBack"/>
      <w:bookmarkEnd w:id="0"/>
    </w:p>
    <w:p w:rsidR="001523C9" w:rsidRDefault="00972AF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上述基金的</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第</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季度</w:t>
      </w:r>
      <w:r>
        <w:rPr>
          <w:rFonts w:ascii="仿宋" w:eastAsia="仿宋" w:hAnsi="仿宋" w:hint="eastAsia"/>
          <w:color w:val="000000" w:themeColor="text1"/>
          <w:sz w:val="32"/>
          <w:szCs w:val="32"/>
        </w:rPr>
        <w:t>报告全文已于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日在本公司网站</w:t>
      </w:r>
      <w:r>
        <w:rPr>
          <w:rFonts w:ascii="仿宋" w:eastAsia="仿宋" w:hAnsi="仿宋" w:hint="eastAsia"/>
          <w:color w:val="000000" w:themeColor="text1"/>
          <w:sz w:val="32"/>
          <w:szCs w:val="32"/>
        </w:rPr>
        <w:t>[http://www.htcxfund.com]</w:t>
      </w:r>
      <w:r>
        <w:rPr>
          <w:rFonts w:ascii="仿宋" w:eastAsia="仿宋" w:hAnsi="仿宋" w:hint="eastAsia"/>
          <w:color w:val="000000" w:themeColor="text1"/>
          <w:sz w:val="32"/>
          <w:szCs w:val="32"/>
        </w:rPr>
        <w:t>和中国证监会基金电子披露网站（</w:t>
      </w:r>
      <w:r>
        <w:rPr>
          <w:rFonts w:ascii="仿宋" w:eastAsia="仿宋" w:hAnsi="仿宋" w:hint="eastAsia"/>
          <w:color w:val="000000" w:themeColor="text1"/>
          <w:sz w:val="32"/>
          <w:szCs w:val="32"/>
        </w:rPr>
        <w:t>http://eid.csrc.gov.cn/fund</w:t>
      </w:r>
      <w:r>
        <w:rPr>
          <w:rFonts w:ascii="仿宋" w:eastAsia="仿宋" w:hAnsi="仿宋" w:hint="eastAsia"/>
          <w:color w:val="000000" w:themeColor="text1"/>
          <w:sz w:val="32"/>
          <w:szCs w:val="32"/>
        </w:rPr>
        <w:t>）披露，供投资者查阅。如有疑问可拨打本公司客服电话（</w:t>
      </w:r>
      <w:r>
        <w:rPr>
          <w:rFonts w:ascii="仿宋" w:eastAsia="仿宋" w:hAnsi="仿宋" w:hint="eastAsia"/>
          <w:color w:val="000000" w:themeColor="text1"/>
          <w:sz w:val="32"/>
          <w:szCs w:val="32"/>
        </w:rPr>
        <w:t>400-060-3333</w:t>
      </w:r>
      <w:r>
        <w:rPr>
          <w:rFonts w:ascii="仿宋" w:eastAsia="仿宋" w:hAnsi="仿宋" w:hint="eastAsia"/>
          <w:color w:val="000000" w:themeColor="text1"/>
          <w:sz w:val="32"/>
          <w:szCs w:val="32"/>
        </w:rPr>
        <w:t>）咨询。</w:t>
      </w:r>
    </w:p>
    <w:p w:rsidR="001523C9" w:rsidRDefault="00972AF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1523C9" w:rsidRDefault="00972AF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1523C9" w:rsidRDefault="001523C9">
      <w:pPr>
        <w:spacing w:line="540" w:lineRule="exact"/>
        <w:ind w:firstLineChars="200" w:firstLine="640"/>
        <w:rPr>
          <w:rFonts w:ascii="仿宋" w:eastAsia="仿宋" w:hAnsi="仿宋"/>
          <w:color w:val="000000" w:themeColor="text1"/>
          <w:sz w:val="32"/>
          <w:szCs w:val="32"/>
        </w:rPr>
      </w:pPr>
    </w:p>
    <w:p w:rsidR="001523C9" w:rsidRDefault="001523C9">
      <w:pPr>
        <w:spacing w:line="540" w:lineRule="exact"/>
        <w:ind w:firstLineChars="200" w:firstLine="640"/>
        <w:rPr>
          <w:rFonts w:ascii="仿宋" w:eastAsia="仿宋" w:hAnsi="仿宋"/>
          <w:color w:val="000000" w:themeColor="text1"/>
          <w:sz w:val="32"/>
          <w:szCs w:val="32"/>
        </w:rPr>
      </w:pPr>
    </w:p>
    <w:p w:rsidR="001523C9" w:rsidRDefault="001523C9">
      <w:pPr>
        <w:spacing w:line="540" w:lineRule="exact"/>
        <w:rPr>
          <w:rFonts w:ascii="仿宋" w:eastAsia="仿宋" w:hAnsi="仿宋"/>
          <w:color w:val="000000" w:themeColor="text1"/>
          <w:sz w:val="32"/>
          <w:szCs w:val="32"/>
        </w:rPr>
      </w:pPr>
    </w:p>
    <w:p w:rsidR="001523C9" w:rsidRDefault="00972AF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p>
    <w:p w:rsidR="001523C9" w:rsidRDefault="00972AF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color w:val="000000" w:themeColor="text1"/>
          <w:sz w:val="32"/>
          <w:szCs w:val="32"/>
        </w:rPr>
        <w:t>月</w:t>
      </w:r>
      <w:r>
        <w:rPr>
          <w:rFonts w:ascii="仿宋" w:eastAsia="仿宋" w:hAnsi="仿宋" w:hint="eastAsia"/>
          <w:color w:val="000000" w:themeColor="text1"/>
          <w:sz w:val="32"/>
          <w:szCs w:val="32"/>
        </w:rPr>
        <w:t>22</w:t>
      </w:r>
      <w:r>
        <w:rPr>
          <w:rFonts w:ascii="仿宋" w:eastAsia="仿宋" w:hAnsi="仿宋"/>
          <w:color w:val="000000" w:themeColor="text1"/>
          <w:sz w:val="32"/>
          <w:szCs w:val="32"/>
        </w:rPr>
        <w:t>日</w:t>
      </w:r>
    </w:p>
    <w:sectPr w:rsidR="001523C9" w:rsidSect="001523C9">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3C9" w:rsidRDefault="001523C9" w:rsidP="001523C9">
      <w:r>
        <w:separator/>
      </w:r>
    </w:p>
  </w:endnote>
  <w:endnote w:type="continuationSeparator" w:id="0">
    <w:p w:rsidR="001523C9" w:rsidRDefault="001523C9" w:rsidP="001523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1523C9" w:rsidRDefault="001523C9">
        <w:pPr>
          <w:pStyle w:val="a6"/>
          <w:jc w:val="center"/>
        </w:pPr>
        <w:r>
          <w:fldChar w:fldCharType="begin"/>
        </w:r>
        <w:r w:rsidR="00972AFE">
          <w:instrText>PAGE   \* MERGEFORMAT</w:instrText>
        </w:r>
        <w:r>
          <w:fldChar w:fldCharType="separate"/>
        </w:r>
        <w:r w:rsidR="00972AFE" w:rsidRPr="00972AFE">
          <w:rPr>
            <w:noProof/>
            <w:lang w:val="zh-CN"/>
          </w:rPr>
          <w:t>2</w:t>
        </w:r>
        <w:r>
          <w:fldChar w:fldCharType="end"/>
        </w:r>
      </w:p>
    </w:sdtContent>
  </w:sdt>
  <w:p w:rsidR="001523C9" w:rsidRDefault="001523C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1523C9" w:rsidRDefault="001523C9">
        <w:pPr>
          <w:pStyle w:val="a6"/>
          <w:jc w:val="center"/>
        </w:pPr>
        <w:r>
          <w:fldChar w:fldCharType="begin"/>
        </w:r>
        <w:r w:rsidR="00972AFE">
          <w:instrText>PAGE   \* MERGEFORMAT</w:instrText>
        </w:r>
        <w:r>
          <w:fldChar w:fldCharType="separate"/>
        </w:r>
        <w:r w:rsidR="00972AFE" w:rsidRPr="00972AFE">
          <w:rPr>
            <w:noProof/>
            <w:lang w:val="zh-CN"/>
          </w:rPr>
          <w:t>1</w:t>
        </w:r>
        <w:r>
          <w:fldChar w:fldCharType="end"/>
        </w:r>
      </w:p>
    </w:sdtContent>
  </w:sdt>
  <w:p w:rsidR="001523C9" w:rsidRDefault="001523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3C9" w:rsidRDefault="001523C9" w:rsidP="001523C9">
      <w:r>
        <w:separator/>
      </w:r>
    </w:p>
  </w:footnote>
  <w:footnote w:type="continuationSeparator" w:id="0">
    <w:p w:rsidR="001523C9" w:rsidRDefault="001523C9" w:rsidP="00152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4A35"/>
    <w:multiLevelType w:val="multilevel"/>
    <w:tmpl w:val="51184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E33ECA"/>
    <w:multiLevelType w:val="multilevel"/>
    <w:tmpl w:val="63E33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667BA"/>
    <w:rsid w:val="0008010F"/>
    <w:rsid w:val="00081ADE"/>
    <w:rsid w:val="00084E7D"/>
    <w:rsid w:val="00087988"/>
    <w:rsid w:val="0009227A"/>
    <w:rsid w:val="00093E55"/>
    <w:rsid w:val="00094F20"/>
    <w:rsid w:val="000A0272"/>
    <w:rsid w:val="000A0ECE"/>
    <w:rsid w:val="000A588E"/>
    <w:rsid w:val="000B53A5"/>
    <w:rsid w:val="000B715E"/>
    <w:rsid w:val="000C06E1"/>
    <w:rsid w:val="000C1032"/>
    <w:rsid w:val="000D18EF"/>
    <w:rsid w:val="000E13E9"/>
    <w:rsid w:val="000E7D66"/>
    <w:rsid w:val="000F07E6"/>
    <w:rsid w:val="000F3A6C"/>
    <w:rsid w:val="000F407E"/>
    <w:rsid w:val="000F6458"/>
    <w:rsid w:val="001039BC"/>
    <w:rsid w:val="001279BE"/>
    <w:rsid w:val="0013251E"/>
    <w:rsid w:val="0013792E"/>
    <w:rsid w:val="001445A9"/>
    <w:rsid w:val="00146307"/>
    <w:rsid w:val="001523C9"/>
    <w:rsid w:val="001533B2"/>
    <w:rsid w:val="001623CF"/>
    <w:rsid w:val="00165D5C"/>
    <w:rsid w:val="00166B15"/>
    <w:rsid w:val="00174C8C"/>
    <w:rsid w:val="0017571E"/>
    <w:rsid w:val="00175AED"/>
    <w:rsid w:val="00191702"/>
    <w:rsid w:val="00192262"/>
    <w:rsid w:val="001A593B"/>
    <w:rsid w:val="001C4DD7"/>
    <w:rsid w:val="001C5B64"/>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67D7"/>
    <w:rsid w:val="00311075"/>
    <w:rsid w:val="003117E6"/>
    <w:rsid w:val="0031471A"/>
    <w:rsid w:val="00332619"/>
    <w:rsid w:val="00333802"/>
    <w:rsid w:val="003467B5"/>
    <w:rsid w:val="00355B7C"/>
    <w:rsid w:val="00361065"/>
    <w:rsid w:val="0036248F"/>
    <w:rsid w:val="003702D7"/>
    <w:rsid w:val="00382BCB"/>
    <w:rsid w:val="00391944"/>
    <w:rsid w:val="00393949"/>
    <w:rsid w:val="003948AF"/>
    <w:rsid w:val="00394BBC"/>
    <w:rsid w:val="003A4AC6"/>
    <w:rsid w:val="003C2820"/>
    <w:rsid w:val="003C3CB5"/>
    <w:rsid w:val="003C5A1A"/>
    <w:rsid w:val="003D0424"/>
    <w:rsid w:val="003D2098"/>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D3E"/>
    <w:rsid w:val="005158A6"/>
    <w:rsid w:val="0052094C"/>
    <w:rsid w:val="00534A41"/>
    <w:rsid w:val="0053650E"/>
    <w:rsid w:val="00542535"/>
    <w:rsid w:val="00544E6E"/>
    <w:rsid w:val="00547910"/>
    <w:rsid w:val="00551033"/>
    <w:rsid w:val="00560AC4"/>
    <w:rsid w:val="00563FE4"/>
    <w:rsid w:val="00567A02"/>
    <w:rsid w:val="005711D9"/>
    <w:rsid w:val="00573557"/>
    <w:rsid w:val="005751C6"/>
    <w:rsid w:val="00582D8F"/>
    <w:rsid w:val="005837B0"/>
    <w:rsid w:val="005874C1"/>
    <w:rsid w:val="00592213"/>
    <w:rsid w:val="00596AC1"/>
    <w:rsid w:val="005A408B"/>
    <w:rsid w:val="005A46AE"/>
    <w:rsid w:val="005A77EA"/>
    <w:rsid w:val="005B5746"/>
    <w:rsid w:val="005C00AF"/>
    <w:rsid w:val="005C7C95"/>
    <w:rsid w:val="005D0B27"/>
    <w:rsid w:val="005D3C24"/>
    <w:rsid w:val="005D4528"/>
    <w:rsid w:val="005E088E"/>
    <w:rsid w:val="005E0EBB"/>
    <w:rsid w:val="005E0F00"/>
    <w:rsid w:val="005F4D9C"/>
    <w:rsid w:val="005F7E5C"/>
    <w:rsid w:val="00604996"/>
    <w:rsid w:val="00605B67"/>
    <w:rsid w:val="006163B1"/>
    <w:rsid w:val="00616874"/>
    <w:rsid w:val="0062589F"/>
    <w:rsid w:val="00626EA8"/>
    <w:rsid w:val="00641CEA"/>
    <w:rsid w:val="00646F00"/>
    <w:rsid w:val="0065080E"/>
    <w:rsid w:val="00655229"/>
    <w:rsid w:val="00656B0C"/>
    <w:rsid w:val="0066309A"/>
    <w:rsid w:val="0066627D"/>
    <w:rsid w:val="0067273B"/>
    <w:rsid w:val="006832A2"/>
    <w:rsid w:val="00684A20"/>
    <w:rsid w:val="00690EC4"/>
    <w:rsid w:val="00692288"/>
    <w:rsid w:val="006962CB"/>
    <w:rsid w:val="006A0BB0"/>
    <w:rsid w:val="006A7F42"/>
    <w:rsid w:val="006B110D"/>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2AFE"/>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7355"/>
    <w:rsid w:val="00A21627"/>
    <w:rsid w:val="00A33353"/>
    <w:rsid w:val="00A37A94"/>
    <w:rsid w:val="00A41611"/>
    <w:rsid w:val="00A441B7"/>
    <w:rsid w:val="00A447AF"/>
    <w:rsid w:val="00A46430"/>
    <w:rsid w:val="00A5780A"/>
    <w:rsid w:val="00A62B15"/>
    <w:rsid w:val="00A63901"/>
    <w:rsid w:val="00A63F21"/>
    <w:rsid w:val="00A67950"/>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A72"/>
    <w:rsid w:val="00B07EA5"/>
    <w:rsid w:val="00B11B77"/>
    <w:rsid w:val="00B16987"/>
    <w:rsid w:val="00B17EF5"/>
    <w:rsid w:val="00B2068A"/>
    <w:rsid w:val="00B23F95"/>
    <w:rsid w:val="00B25BAB"/>
    <w:rsid w:val="00B26285"/>
    <w:rsid w:val="00B33F4A"/>
    <w:rsid w:val="00B41297"/>
    <w:rsid w:val="00B475C3"/>
    <w:rsid w:val="00B504F2"/>
    <w:rsid w:val="00B517DE"/>
    <w:rsid w:val="00B51CE1"/>
    <w:rsid w:val="00B5279B"/>
    <w:rsid w:val="00B61D0F"/>
    <w:rsid w:val="00B64EDD"/>
    <w:rsid w:val="00B65E43"/>
    <w:rsid w:val="00B725A0"/>
    <w:rsid w:val="00B7491E"/>
    <w:rsid w:val="00B763C4"/>
    <w:rsid w:val="00B8453B"/>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0D4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07F5"/>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C6973"/>
    <w:rsid w:val="00ED548C"/>
    <w:rsid w:val="00ED7F3F"/>
    <w:rsid w:val="00EE5937"/>
    <w:rsid w:val="00EF043C"/>
    <w:rsid w:val="00EF49B3"/>
    <w:rsid w:val="00EF56E1"/>
    <w:rsid w:val="00EF73FD"/>
    <w:rsid w:val="00F00561"/>
    <w:rsid w:val="00F01150"/>
    <w:rsid w:val="00F01E3D"/>
    <w:rsid w:val="00F04DC2"/>
    <w:rsid w:val="00F066D9"/>
    <w:rsid w:val="00F102EE"/>
    <w:rsid w:val="00F21C09"/>
    <w:rsid w:val="00F25F52"/>
    <w:rsid w:val="00F3518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45E44CB"/>
    <w:rsid w:val="04AE4551"/>
    <w:rsid w:val="072F1D56"/>
    <w:rsid w:val="0AB6477B"/>
    <w:rsid w:val="0AC45ADA"/>
    <w:rsid w:val="134A4B20"/>
    <w:rsid w:val="175824B5"/>
    <w:rsid w:val="18066FE7"/>
    <w:rsid w:val="1B36592D"/>
    <w:rsid w:val="1FB52E3A"/>
    <w:rsid w:val="21487990"/>
    <w:rsid w:val="25C912DD"/>
    <w:rsid w:val="2EE17F22"/>
    <w:rsid w:val="316B7DDC"/>
    <w:rsid w:val="32055C10"/>
    <w:rsid w:val="35BB4790"/>
    <w:rsid w:val="386447CE"/>
    <w:rsid w:val="38A0243C"/>
    <w:rsid w:val="39407457"/>
    <w:rsid w:val="39E2028C"/>
    <w:rsid w:val="3BD06D92"/>
    <w:rsid w:val="504A1170"/>
    <w:rsid w:val="51EC45E6"/>
    <w:rsid w:val="520D4B7C"/>
    <w:rsid w:val="53D83A4B"/>
    <w:rsid w:val="57B37F36"/>
    <w:rsid w:val="5889680A"/>
    <w:rsid w:val="59054702"/>
    <w:rsid w:val="61422ED9"/>
    <w:rsid w:val="67721497"/>
    <w:rsid w:val="6D195FE0"/>
    <w:rsid w:val="7EA24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523C9"/>
    <w:rPr>
      <w:rFonts w:ascii="宋体" w:eastAsia="宋体"/>
      <w:sz w:val="18"/>
      <w:szCs w:val="18"/>
    </w:rPr>
  </w:style>
  <w:style w:type="paragraph" w:styleId="a4">
    <w:name w:val="annotation text"/>
    <w:basedOn w:val="a"/>
    <w:link w:val="Char0"/>
    <w:uiPriority w:val="99"/>
    <w:semiHidden/>
    <w:unhideWhenUsed/>
    <w:qFormat/>
    <w:rsid w:val="001523C9"/>
    <w:pPr>
      <w:jc w:val="left"/>
    </w:pPr>
  </w:style>
  <w:style w:type="paragraph" w:styleId="a5">
    <w:name w:val="Balloon Text"/>
    <w:basedOn w:val="a"/>
    <w:link w:val="Char1"/>
    <w:uiPriority w:val="99"/>
    <w:semiHidden/>
    <w:unhideWhenUsed/>
    <w:qFormat/>
    <w:rsid w:val="001523C9"/>
    <w:rPr>
      <w:sz w:val="18"/>
      <w:szCs w:val="18"/>
    </w:rPr>
  </w:style>
  <w:style w:type="paragraph" w:styleId="a6">
    <w:name w:val="footer"/>
    <w:basedOn w:val="a"/>
    <w:link w:val="Char2"/>
    <w:uiPriority w:val="99"/>
    <w:unhideWhenUsed/>
    <w:qFormat/>
    <w:rsid w:val="001523C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523C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1523C9"/>
    <w:pPr>
      <w:snapToGrid w:val="0"/>
      <w:jc w:val="left"/>
    </w:pPr>
    <w:rPr>
      <w:sz w:val="18"/>
      <w:szCs w:val="18"/>
    </w:rPr>
  </w:style>
  <w:style w:type="paragraph" w:styleId="a9">
    <w:name w:val="annotation subject"/>
    <w:basedOn w:val="a4"/>
    <w:next w:val="a4"/>
    <w:link w:val="Char5"/>
    <w:uiPriority w:val="99"/>
    <w:semiHidden/>
    <w:unhideWhenUsed/>
    <w:qFormat/>
    <w:rsid w:val="001523C9"/>
    <w:rPr>
      <w:b/>
      <w:bCs/>
    </w:rPr>
  </w:style>
  <w:style w:type="character" w:styleId="aa">
    <w:name w:val="Hyperlink"/>
    <w:basedOn w:val="a0"/>
    <w:uiPriority w:val="99"/>
    <w:unhideWhenUsed/>
    <w:qFormat/>
    <w:rsid w:val="001523C9"/>
    <w:rPr>
      <w:color w:val="0000FF" w:themeColor="hyperlink"/>
      <w:u w:val="single"/>
    </w:rPr>
  </w:style>
  <w:style w:type="character" w:styleId="ab">
    <w:name w:val="annotation reference"/>
    <w:basedOn w:val="a0"/>
    <w:uiPriority w:val="99"/>
    <w:semiHidden/>
    <w:unhideWhenUsed/>
    <w:qFormat/>
    <w:rsid w:val="001523C9"/>
    <w:rPr>
      <w:sz w:val="21"/>
      <w:szCs w:val="21"/>
    </w:rPr>
  </w:style>
  <w:style w:type="character" w:styleId="ac">
    <w:name w:val="footnote reference"/>
    <w:basedOn w:val="a0"/>
    <w:uiPriority w:val="99"/>
    <w:semiHidden/>
    <w:unhideWhenUsed/>
    <w:qFormat/>
    <w:rsid w:val="001523C9"/>
    <w:rPr>
      <w:vertAlign w:val="superscript"/>
    </w:rPr>
  </w:style>
  <w:style w:type="character" w:customStyle="1" w:styleId="Char3">
    <w:name w:val="页眉 Char"/>
    <w:basedOn w:val="a0"/>
    <w:link w:val="a7"/>
    <w:uiPriority w:val="99"/>
    <w:qFormat/>
    <w:rsid w:val="001523C9"/>
    <w:rPr>
      <w:sz w:val="18"/>
      <w:szCs w:val="18"/>
    </w:rPr>
  </w:style>
  <w:style w:type="character" w:customStyle="1" w:styleId="Char2">
    <w:name w:val="页脚 Char"/>
    <w:basedOn w:val="a0"/>
    <w:link w:val="a6"/>
    <w:uiPriority w:val="99"/>
    <w:qFormat/>
    <w:rsid w:val="001523C9"/>
    <w:rPr>
      <w:sz w:val="18"/>
      <w:szCs w:val="18"/>
    </w:rPr>
  </w:style>
  <w:style w:type="paragraph" w:styleId="ad">
    <w:name w:val="List Paragraph"/>
    <w:basedOn w:val="a"/>
    <w:uiPriority w:val="34"/>
    <w:qFormat/>
    <w:rsid w:val="001523C9"/>
    <w:pPr>
      <w:ind w:firstLineChars="200" w:firstLine="420"/>
    </w:pPr>
  </w:style>
  <w:style w:type="character" w:customStyle="1" w:styleId="Char1">
    <w:name w:val="批注框文本 Char"/>
    <w:basedOn w:val="a0"/>
    <w:link w:val="a5"/>
    <w:uiPriority w:val="99"/>
    <w:semiHidden/>
    <w:qFormat/>
    <w:rsid w:val="001523C9"/>
    <w:rPr>
      <w:sz w:val="18"/>
      <w:szCs w:val="18"/>
    </w:rPr>
  </w:style>
  <w:style w:type="character" w:customStyle="1" w:styleId="Char0">
    <w:name w:val="批注文字 Char"/>
    <w:basedOn w:val="a0"/>
    <w:link w:val="a4"/>
    <w:uiPriority w:val="99"/>
    <w:semiHidden/>
    <w:qFormat/>
    <w:rsid w:val="001523C9"/>
  </w:style>
  <w:style w:type="character" w:customStyle="1" w:styleId="Char5">
    <w:name w:val="批注主题 Char"/>
    <w:basedOn w:val="Char0"/>
    <w:link w:val="a9"/>
    <w:uiPriority w:val="99"/>
    <w:semiHidden/>
    <w:qFormat/>
    <w:rsid w:val="001523C9"/>
    <w:rPr>
      <w:b/>
      <w:bCs/>
    </w:rPr>
  </w:style>
  <w:style w:type="character" w:customStyle="1" w:styleId="Char4">
    <w:name w:val="脚注文本 Char"/>
    <w:basedOn w:val="a0"/>
    <w:link w:val="a8"/>
    <w:uiPriority w:val="99"/>
    <w:semiHidden/>
    <w:qFormat/>
    <w:rsid w:val="001523C9"/>
    <w:rPr>
      <w:sz w:val="18"/>
      <w:szCs w:val="18"/>
    </w:rPr>
  </w:style>
  <w:style w:type="character" w:customStyle="1" w:styleId="Char">
    <w:name w:val="文档结构图 Char"/>
    <w:basedOn w:val="a0"/>
    <w:link w:val="a3"/>
    <w:uiPriority w:val="99"/>
    <w:semiHidden/>
    <w:qFormat/>
    <w:rsid w:val="001523C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8E3C-3058-4606-A972-61D58E7E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4</DocSecurity>
  <Lines>5</Lines>
  <Paragraphs>1</Paragraphs>
  <ScaleCrop>false</ScaleCrop>
  <Company>CNSTOCK</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2025-01-21T16:01:00Z</dcterms:created>
  <dcterms:modified xsi:type="dcterms:W3CDTF">2025-01-21T16:01:00Z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3857FB794AF1433A91FC867C6685608E</vt:lpwstr>
  </property>
</Properties>
</file>