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A5" w:rsidRDefault="005C0BF8">
      <w:pPr>
        <w:spacing w:line="360" w:lineRule="auto"/>
        <w:jc w:val="center"/>
        <w:rPr>
          <w:rFonts w:ascii="宋体" w:eastAsia="宋体" w:hAnsi="宋体" w:cs="Times New Roman"/>
          <w:b/>
          <w:kern w:val="0"/>
          <w:sz w:val="28"/>
          <w:szCs w:val="28"/>
        </w:rPr>
      </w:pPr>
      <w:r>
        <w:rPr>
          <w:rFonts w:ascii="宋体" w:eastAsia="宋体" w:hAnsi="宋体" w:cs="Times New Roman" w:hint="eastAsia"/>
          <w:b/>
          <w:kern w:val="0"/>
          <w:sz w:val="28"/>
          <w:szCs w:val="28"/>
        </w:rPr>
        <w:t>南方基金管理股份有限公司</w:t>
      </w:r>
    </w:p>
    <w:p w:rsidR="00192EA5" w:rsidRDefault="005C0BF8">
      <w:pPr>
        <w:spacing w:line="360" w:lineRule="auto"/>
        <w:jc w:val="center"/>
        <w:rPr>
          <w:rFonts w:ascii="宋体" w:eastAsia="宋体" w:hAnsi="宋体" w:cs="Times New Roman"/>
          <w:b/>
          <w:kern w:val="0"/>
          <w:sz w:val="28"/>
          <w:szCs w:val="28"/>
        </w:rPr>
      </w:pPr>
      <w:r>
        <w:rPr>
          <w:rFonts w:ascii="宋体" w:eastAsia="宋体" w:hAnsi="宋体" w:cs="Times New Roman" w:hint="eastAsia"/>
          <w:b/>
          <w:kern w:val="0"/>
          <w:sz w:val="28"/>
          <w:szCs w:val="28"/>
        </w:rPr>
        <w:t>关于调整旗下公募基金风险评级相关事项的公告</w:t>
      </w:r>
    </w:p>
    <w:p w:rsidR="00192EA5" w:rsidRDefault="00192EA5">
      <w:pPr>
        <w:spacing w:line="360" w:lineRule="auto"/>
        <w:ind w:firstLineChars="200" w:firstLine="420"/>
        <w:rPr>
          <w:rFonts w:ascii="宋体" w:eastAsia="宋体" w:hAnsi="宋体" w:cs="Times New Roman"/>
          <w:kern w:val="0"/>
          <w:szCs w:val="21"/>
        </w:rPr>
      </w:pPr>
    </w:p>
    <w:p w:rsidR="00192EA5" w:rsidRDefault="005C0BF8">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根据《证券期货投资者适当性管理办法》、《基金募集机构投资者适当性管理实施指引（试行）》及其他相关法律法规的有关规定，为进一步提升投资者适当性服务水平，南方基金管理股份有限公司（以下简称“本公司”）自</w:t>
      </w:r>
      <w:r>
        <w:rPr>
          <w:rFonts w:ascii="宋体" w:eastAsia="宋体" w:hAnsi="宋体"/>
          <w:color w:val="000000" w:themeColor="text1"/>
          <w:szCs w:val="21"/>
        </w:rPr>
        <w:t>202</w:t>
      </w:r>
      <w:r>
        <w:rPr>
          <w:rFonts w:ascii="宋体" w:eastAsia="宋体" w:hAnsi="宋体" w:hint="eastAsia"/>
          <w:color w:val="000000" w:themeColor="text1"/>
          <w:szCs w:val="21"/>
        </w:rPr>
        <w:t>5</w:t>
      </w:r>
      <w:r>
        <w:rPr>
          <w:rFonts w:ascii="宋体" w:eastAsia="宋体" w:hAnsi="宋体"/>
          <w:color w:val="000000" w:themeColor="text1"/>
          <w:szCs w:val="21"/>
        </w:rPr>
        <w:t>年</w:t>
      </w:r>
      <w:r>
        <w:rPr>
          <w:rFonts w:ascii="宋体" w:eastAsia="宋体" w:hAnsi="宋体" w:hint="eastAsia"/>
          <w:color w:val="000000" w:themeColor="text1"/>
          <w:szCs w:val="21"/>
        </w:rPr>
        <w:t>1</w:t>
      </w:r>
      <w:r>
        <w:rPr>
          <w:rFonts w:ascii="宋体" w:eastAsia="宋体" w:hAnsi="宋体"/>
          <w:color w:val="000000" w:themeColor="text1"/>
          <w:szCs w:val="21"/>
        </w:rPr>
        <w:t>月</w:t>
      </w:r>
      <w:r>
        <w:rPr>
          <w:rFonts w:ascii="宋体" w:eastAsia="宋体" w:hAnsi="宋体" w:hint="eastAsia"/>
          <w:color w:val="000000" w:themeColor="text1"/>
          <w:szCs w:val="21"/>
        </w:rPr>
        <w:t>20</w:t>
      </w:r>
      <w:r>
        <w:rPr>
          <w:rFonts w:ascii="宋体" w:eastAsia="宋体" w:hAnsi="宋体"/>
          <w:color w:val="000000" w:themeColor="text1"/>
          <w:szCs w:val="21"/>
        </w:rPr>
        <w:t>日</w:t>
      </w:r>
      <w:r>
        <w:rPr>
          <w:rFonts w:ascii="宋体" w:eastAsia="宋体" w:hAnsi="宋体" w:hint="eastAsia"/>
          <w:color w:val="000000" w:themeColor="text1"/>
          <w:szCs w:val="21"/>
        </w:rPr>
        <w:t>起调整</w:t>
      </w:r>
      <w:r>
        <w:rPr>
          <w:rFonts w:ascii="宋体" w:eastAsia="宋体" w:hAnsi="宋体" w:hint="eastAsia"/>
          <w:szCs w:val="21"/>
        </w:rPr>
        <w:t>公司旗下公募基金风险评级规则，并</w:t>
      </w:r>
      <w:r>
        <w:rPr>
          <w:rFonts w:ascii="宋体" w:eastAsia="宋体" w:hAnsi="宋体" w:cs="Times New Roman" w:hint="eastAsia"/>
          <w:kern w:val="0"/>
          <w:szCs w:val="21"/>
        </w:rPr>
        <w:t>对旗下基金的风险等级进行了重新评估，调整了部分产品风险评级。</w:t>
      </w:r>
      <w:r>
        <w:rPr>
          <w:rFonts w:ascii="宋体" w:eastAsia="宋体" w:hAnsi="宋体"/>
          <w:color w:val="000000" w:themeColor="text1"/>
          <w:szCs w:val="21"/>
        </w:rPr>
        <w:t>现将有关事项公告如下:</w:t>
      </w:r>
    </w:p>
    <w:p w:rsidR="00192EA5" w:rsidRDefault="005C0BF8">
      <w:pPr>
        <w:pStyle w:val="af"/>
        <w:numPr>
          <w:ilvl w:val="0"/>
          <w:numId w:val="1"/>
        </w:numPr>
        <w:spacing w:line="360" w:lineRule="auto"/>
        <w:ind w:firstLineChars="0"/>
        <w:rPr>
          <w:rFonts w:ascii="宋体" w:eastAsia="宋体" w:hAnsi="宋体" w:cs="Times New Roman"/>
          <w:kern w:val="0"/>
          <w:szCs w:val="21"/>
        </w:rPr>
      </w:pPr>
      <w:r>
        <w:rPr>
          <w:rFonts w:ascii="宋体" w:eastAsia="宋体" w:hAnsi="宋体" w:cs="Times New Roman" w:hint="eastAsia"/>
          <w:kern w:val="0"/>
          <w:szCs w:val="21"/>
        </w:rPr>
        <w:t>本次调整风险评级的基金名单如下，调整事项自2025年1月20日起生效</w:t>
      </w:r>
    </w:p>
    <w:tbl>
      <w:tblPr>
        <w:tblW w:w="9140" w:type="dxa"/>
        <w:jc w:val="center"/>
        <w:tblLook w:val="04A0"/>
      </w:tblPr>
      <w:tblGrid>
        <w:gridCol w:w="2120"/>
        <w:gridCol w:w="3380"/>
        <w:gridCol w:w="1820"/>
        <w:gridCol w:w="1820"/>
      </w:tblGrid>
      <w:tr w:rsidR="00192EA5">
        <w:trPr>
          <w:trHeight w:val="435"/>
          <w:tblHeader/>
          <w:jc w:val="center"/>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2EA5" w:rsidRDefault="005C0BF8">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基金代码</w:t>
            </w:r>
          </w:p>
        </w:tc>
        <w:tc>
          <w:tcPr>
            <w:tcW w:w="3380" w:type="dxa"/>
            <w:tcBorders>
              <w:top w:val="single" w:sz="4" w:space="0" w:color="auto"/>
              <w:left w:val="nil"/>
              <w:bottom w:val="single" w:sz="4" w:space="0" w:color="auto"/>
              <w:right w:val="single" w:sz="4" w:space="0" w:color="auto"/>
            </w:tcBorders>
            <w:shd w:val="clear" w:color="auto" w:fill="auto"/>
            <w:noWrap/>
            <w:vAlign w:val="center"/>
          </w:tcPr>
          <w:p w:rsidR="00192EA5" w:rsidRDefault="005C0BF8">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基金简称</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192EA5" w:rsidRDefault="005C0BF8">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调整前风险评级</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192EA5" w:rsidRDefault="005C0BF8">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调整后风险评级</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001113</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南方大数据100指数A</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004344</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南方大数据100指数C</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004642</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南方中证全指房地产ETF联接A</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004643</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南方中证全指房地产ETF联接C</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010989</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南方中证全指房地产ETF联接E</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r>
              <w:rPr>
                <w:rFonts w:ascii="宋体" w:eastAsia="宋体" w:hAnsi="宋体" w:cs="宋体"/>
                <w:color w:val="000000"/>
                <w:kern w:val="0"/>
                <w:sz w:val="18"/>
                <w:szCs w:val="18"/>
              </w:rPr>
              <w:t>21002</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南方中证全指房地产ETF联接I</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020685</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南方上证科创板新材料ETF发起联接A</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020686</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南方上证科创板新材料ETF发起联接C</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159639</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南方中证上海环交所碳中和ETF</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016917</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南方中证上海环交所碳中和ETF联接A</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016918</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南方中证上海环交所碳中和ETF联接C</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159858</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南方中证创新药产业ETF</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021097</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南方中证创新药产业ETF发起联接A</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021098</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南方中证创新药产业ETF发起联接C</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159877</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南方中证全指医疗保健设备与服务ETF</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019452</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南方中证全指医疗保健设备与服务ETF联接A</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019453</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南方中证全指医疗保健设备与服务ETF联接C</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021006</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南方中证全指医疗保健设备与服务ETF联接I</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159896</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南方中证物联网主题ETF</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512200</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南方中证全指房地产ETF</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517160</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南方中证长江保护主题ETF</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016938</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南方中证长江保护主题ETF联接A</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016939</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南方中证长江保护主题ETF联接C</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588160</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南方上证科创板新材料ETF</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588370</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南方上证科创板50成份增强策略ETF</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007109</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南方沪港深核心优势混合</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009318</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南方成长先锋混合A</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009319</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南方成长先锋混合C</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010299</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南方产业升级混合A</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010300</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南方产业升级混合C</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014189</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南方专精特新混合A</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014190</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南方专精特新混合C</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010592</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南方医药创新股票A</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010593</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南方医药创新股票C</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005207</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南方高端装备混合C</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202027</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南方高端装备混合A</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02028</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南方高端装备混合A（后端）</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w:t>
            </w:r>
            <w:r>
              <w:rPr>
                <w:rFonts w:ascii="宋体" w:eastAsia="宋体" w:hAnsi="宋体" w:cs="宋体"/>
                <w:color w:val="000000"/>
                <w:kern w:val="0"/>
                <w:sz w:val="18"/>
                <w:szCs w:val="18"/>
              </w:rPr>
              <w:t>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w:t>
            </w:r>
            <w:r>
              <w:rPr>
                <w:rFonts w:ascii="宋体" w:eastAsia="宋体" w:hAnsi="宋体" w:cs="宋体"/>
                <w:color w:val="000000"/>
                <w:kern w:val="0"/>
                <w:sz w:val="18"/>
                <w:szCs w:val="18"/>
              </w:rPr>
              <w:t>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009152</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南方瑞盛三年持有期混合A</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009153</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南方瑞盛三年持有期混合C</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010357</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南方阿尔法混合A</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010358</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南方阿尔法混合C</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011216</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南方优质企业混合A</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011217</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南方优质企业混合C</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011862</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南方蓝筹成长混合A</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011863</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南方蓝筹成长混合C</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011903</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南方领航优选混合A</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011904</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南方领航优选混合C</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012354</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南方新能源产业趋势混合A</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012355</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南方新能源产业趋势混合C</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r w:rsidR="00192EA5">
        <w:trPr>
          <w:trHeight w:val="285"/>
          <w:jc w:val="center"/>
        </w:trPr>
        <w:tc>
          <w:tcPr>
            <w:tcW w:w="2120" w:type="dxa"/>
            <w:tcBorders>
              <w:top w:val="nil"/>
              <w:left w:val="single" w:sz="4" w:space="0" w:color="auto"/>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012314</w:t>
            </w:r>
          </w:p>
        </w:tc>
        <w:tc>
          <w:tcPr>
            <w:tcW w:w="338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南方行业领先混合</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R3</w:t>
            </w:r>
          </w:p>
        </w:tc>
        <w:tc>
          <w:tcPr>
            <w:tcW w:w="1820" w:type="dxa"/>
            <w:tcBorders>
              <w:top w:val="nil"/>
              <w:left w:val="nil"/>
              <w:bottom w:val="single" w:sz="4" w:space="0" w:color="auto"/>
              <w:right w:val="single" w:sz="4" w:space="0" w:color="auto"/>
            </w:tcBorders>
            <w:shd w:val="clear" w:color="FFFFFF" w:fill="FFFFFF"/>
            <w:noWrap/>
            <w:vAlign w:val="center"/>
          </w:tcPr>
          <w:p w:rsidR="00192EA5" w:rsidRDefault="005C0BF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R4</w:t>
            </w:r>
          </w:p>
        </w:tc>
      </w:tr>
    </w:tbl>
    <w:p w:rsidR="00192EA5" w:rsidRDefault="00192EA5">
      <w:pPr>
        <w:spacing w:line="360" w:lineRule="auto"/>
        <w:ind w:firstLineChars="200" w:firstLine="420"/>
        <w:jc w:val="left"/>
        <w:rPr>
          <w:rFonts w:ascii="宋体" w:eastAsia="宋体" w:hAnsi="宋体" w:cs="Times New Roman"/>
          <w:szCs w:val="21"/>
        </w:rPr>
      </w:pPr>
    </w:p>
    <w:p w:rsidR="00192EA5" w:rsidRDefault="005C0BF8">
      <w:pPr>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二、风险评级规则调整</w:t>
      </w:r>
    </w:p>
    <w:p w:rsidR="00192EA5" w:rsidRDefault="005C0BF8">
      <w:pPr>
        <w:spacing w:line="360" w:lineRule="auto"/>
        <w:ind w:firstLineChars="200" w:firstLine="420"/>
        <w:jc w:val="left"/>
        <w:rPr>
          <w:rFonts w:ascii="宋体" w:eastAsia="宋体" w:hAnsi="宋体"/>
          <w:szCs w:val="21"/>
        </w:rPr>
      </w:pPr>
      <w:r>
        <w:rPr>
          <w:rFonts w:ascii="宋体" w:eastAsia="宋体" w:hAnsi="宋体" w:hint="eastAsia"/>
          <w:szCs w:val="21"/>
        </w:rPr>
        <w:t>调整公司旗下所有公募基金的风险评级规则，</w:t>
      </w:r>
      <w:r>
        <w:rPr>
          <w:rFonts w:ascii="宋体" w:eastAsia="宋体" w:hAnsi="宋体" w:hint="eastAsia"/>
          <w:color w:val="000000" w:themeColor="text1"/>
          <w:szCs w:val="21"/>
        </w:rPr>
        <w:t>调整</w:t>
      </w:r>
      <w:r>
        <w:rPr>
          <w:rFonts w:ascii="宋体" w:eastAsia="宋体" w:hAnsi="宋体"/>
          <w:color w:val="000000" w:themeColor="text1"/>
          <w:szCs w:val="21"/>
        </w:rPr>
        <w:t>后的</w:t>
      </w:r>
      <w:r>
        <w:rPr>
          <w:rFonts w:ascii="宋体" w:eastAsia="宋体" w:hAnsi="宋体" w:hint="eastAsia"/>
          <w:color w:val="000000" w:themeColor="text1"/>
          <w:szCs w:val="21"/>
        </w:rPr>
        <w:t>《</w:t>
      </w:r>
      <w:r>
        <w:rPr>
          <w:rFonts w:ascii="宋体" w:eastAsia="宋体" w:hAnsi="宋体" w:cs="Times New Roman" w:hint="eastAsia"/>
          <w:kern w:val="0"/>
          <w:szCs w:val="21"/>
        </w:rPr>
        <w:t>南方基金公募基金风险评级规则</w:t>
      </w:r>
      <w:r>
        <w:rPr>
          <w:rFonts w:ascii="宋体" w:eastAsia="宋体" w:hAnsi="宋体" w:hint="eastAsia"/>
          <w:color w:val="000000" w:themeColor="text1"/>
          <w:szCs w:val="21"/>
        </w:rPr>
        <w:t>》详见本公告附件和公司官网。</w:t>
      </w:r>
      <w:r>
        <w:rPr>
          <w:rFonts w:ascii="宋体" w:eastAsia="宋体" w:hAnsi="宋体" w:hint="eastAsia"/>
          <w:szCs w:val="21"/>
        </w:rPr>
        <w:t>本次</w:t>
      </w:r>
      <w:r>
        <w:rPr>
          <w:rFonts w:ascii="宋体" w:eastAsia="宋体" w:hAnsi="宋体"/>
          <w:szCs w:val="21"/>
        </w:rPr>
        <w:t>调整事项</w:t>
      </w:r>
      <w:r>
        <w:rPr>
          <w:rFonts w:ascii="宋体" w:eastAsia="宋体" w:hAnsi="宋体" w:hint="eastAsia"/>
          <w:szCs w:val="21"/>
        </w:rPr>
        <w:t>适用于公司</w:t>
      </w:r>
      <w:r>
        <w:rPr>
          <w:rFonts w:ascii="宋体" w:eastAsia="宋体" w:hAnsi="宋体"/>
          <w:szCs w:val="21"/>
        </w:rPr>
        <w:t>直销渠道</w:t>
      </w:r>
      <w:r>
        <w:rPr>
          <w:rFonts w:ascii="宋体" w:eastAsia="宋体" w:hAnsi="宋体" w:hint="eastAsia"/>
          <w:szCs w:val="21"/>
        </w:rPr>
        <w:t>以及</w:t>
      </w:r>
      <w:r>
        <w:rPr>
          <w:rFonts w:ascii="宋体" w:eastAsia="宋体" w:hAnsi="宋体"/>
          <w:szCs w:val="21"/>
        </w:rPr>
        <w:t>采用公司</w:t>
      </w:r>
      <w:r>
        <w:rPr>
          <w:rFonts w:ascii="宋体" w:eastAsia="宋体" w:hAnsi="宋体" w:hint="eastAsia"/>
          <w:szCs w:val="21"/>
        </w:rPr>
        <w:t>产品</w:t>
      </w:r>
      <w:r>
        <w:rPr>
          <w:rFonts w:ascii="宋体" w:eastAsia="宋体" w:hAnsi="宋体"/>
          <w:szCs w:val="21"/>
        </w:rPr>
        <w:t>风险评级方式</w:t>
      </w:r>
      <w:r>
        <w:rPr>
          <w:rFonts w:ascii="宋体" w:eastAsia="宋体" w:hAnsi="宋体" w:hint="eastAsia"/>
          <w:szCs w:val="21"/>
        </w:rPr>
        <w:t>、</w:t>
      </w:r>
      <w:r>
        <w:rPr>
          <w:rFonts w:ascii="宋体" w:eastAsia="宋体" w:hAnsi="宋体"/>
          <w:szCs w:val="21"/>
        </w:rPr>
        <w:t>标准</w:t>
      </w:r>
      <w:r>
        <w:rPr>
          <w:rFonts w:ascii="宋体" w:eastAsia="宋体" w:hAnsi="宋体" w:hint="eastAsia"/>
          <w:szCs w:val="21"/>
        </w:rPr>
        <w:t>和</w:t>
      </w:r>
      <w:r>
        <w:rPr>
          <w:rFonts w:ascii="宋体" w:eastAsia="宋体" w:hAnsi="宋体"/>
          <w:szCs w:val="21"/>
        </w:rPr>
        <w:t>结果的销售机构。</w:t>
      </w:r>
    </w:p>
    <w:p w:rsidR="00192EA5" w:rsidRDefault="00192EA5">
      <w:pPr>
        <w:widowControl/>
        <w:spacing w:line="360" w:lineRule="auto"/>
        <w:ind w:firstLineChars="240" w:firstLine="504"/>
        <w:jc w:val="left"/>
        <w:rPr>
          <w:rFonts w:ascii="宋体" w:eastAsia="宋体" w:hAnsi="宋体"/>
          <w:color w:val="000000" w:themeColor="text1"/>
          <w:szCs w:val="21"/>
        </w:rPr>
      </w:pPr>
    </w:p>
    <w:p w:rsidR="00192EA5" w:rsidRDefault="005C0BF8">
      <w:pPr>
        <w:widowControl/>
        <w:spacing w:line="360" w:lineRule="auto"/>
        <w:ind w:firstLineChars="240" w:firstLine="504"/>
        <w:jc w:val="left"/>
        <w:rPr>
          <w:rFonts w:ascii="宋体" w:eastAsia="宋体" w:hAnsi="宋体"/>
          <w:color w:val="000000" w:themeColor="text1"/>
          <w:szCs w:val="21"/>
        </w:rPr>
      </w:pPr>
      <w:r>
        <w:rPr>
          <w:rFonts w:ascii="宋体" w:eastAsia="宋体" w:hAnsi="宋体" w:hint="eastAsia"/>
          <w:color w:val="000000" w:themeColor="text1"/>
          <w:szCs w:val="21"/>
        </w:rPr>
        <w:t>三、其他事项</w:t>
      </w:r>
    </w:p>
    <w:p w:rsidR="00192EA5" w:rsidRDefault="005C0BF8">
      <w:pPr>
        <w:widowControl/>
        <w:spacing w:line="360" w:lineRule="auto"/>
        <w:ind w:firstLineChars="240" w:firstLine="504"/>
        <w:jc w:val="left"/>
        <w:rPr>
          <w:rFonts w:ascii="宋体" w:eastAsia="宋体" w:hAnsi="宋体"/>
          <w:color w:val="000000" w:themeColor="text1"/>
          <w:szCs w:val="21"/>
        </w:rPr>
      </w:pPr>
      <w:r>
        <w:rPr>
          <w:rFonts w:ascii="宋体" w:eastAsia="宋体" w:hAnsi="宋体" w:hint="eastAsia"/>
          <w:color w:val="000000" w:themeColor="text1"/>
          <w:szCs w:val="21"/>
        </w:rPr>
        <w:t>投资人可访问本公司网站</w:t>
      </w:r>
      <w:r>
        <w:rPr>
          <w:rFonts w:ascii="宋体" w:eastAsia="宋体" w:hAnsi="宋体"/>
          <w:color w:val="000000" w:themeColor="text1"/>
          <w:szCs w:val="21"/>
        </w:rPr>
        <w:t>(www.nffund.com)或拨打客户服务电话（400－889－8899）咨询相关情况。</w:t>
      </w:r>
    </w:p>
    <w:p w:rsidR="00192EA5" w:rsidRDefault="00192EA5">
      <w:pPr>
        <w:spacing w:line="360" w:lineRule="auto"/>
        <w:ind w:firstLineChars="200" w:firstLine="420"/>
        <w:rPr>
          <w:rFonts w:ascii="宋体" w:eastAsia="宋体" w:hAnsi="宋体" w:cs="Times New Roman"/>
          <w:kern w:val="0"/>
          <w:szCs w:val="21"/>
        </w:rPr>
      </w:pPr>
    </w:p>
    <w:p w:rsidR="00192EA5" w:rsidRDefault="005C0BF8">
      <w:pPr>
        <w:spacing w:line="360" w:lineRule="auto"/>
        <w:ind w:firstLineChars="200" w:firstLine="422"/>
        <w:rPr>
          <w:rFonts w:ascii="宋体" w:eastAsia="宋体" w:hAnsi="宋体" w:cs="Times New Roman"/>
          <w:b/>
          <w:kern w:val="0"/>
          <w:szCs w:val="21"/>
        </w:rPr>
      </w:pPr>
      <w:r>
        <w:rPr>
          <w:rFonts w:ascii="宋体" w:eastAsia="宋体" w:hAnsi="宋体" w:cs="Times New Roman" w:hint="eastAsia"/>
          <w:b/>
          <w:kern w:val="0"/>
          <w:szCs w:val="21"/>
        </w:rPr>
        <w:t>风险提示：</w:t>
      </w:r>
    </w:p>
    <w:p w:rsidR="00192EA5" w:rsidRDefault="005C0BF8">
      <w:pPr>
        <w:widowControl/>
        <w:spacing w:line="360" w:lineRule="auto"/>
        <w:ind w:firstLineChars="240" w:firstLine="504"/>
        <w:jc w:val="left"/>
        <w:rPr>
          <w:rFonts w:ascii="宋体" w:eastAsia="宋体" w:hAnsi="宋体"/>
          <w:color w:val="000000" w:themeColor="text1"/>
          <w:szCs w:val="21"/>
        </w:rPr>
      </w:pPr>
      <w:r>
        <w:rPr>
          <w:rFonts w:ascii="宋体" w:eastAsia="宋体" w:hAnsi="宋体" w:cs="Times New Roman" w:hint="eastAsia"/>
          <w:kern w:val="0"/>
          <w:szCs w:val="21"/>
        </w:rPr>
        <w:lastRenderedPageBreak/>
        <w:t>1、</w:t>
      </w:r>
      <w:r>
        <w:rPr>
          <w:rFonts w:ascii="宋体" w:eastAsia="宋体" w:hAnsi="宋体"/>
          <w:color w:val="000000" w:themeColor="text1"/>
          <w:szCs w:val="21"/>
        </w:rPr>
        <w:t>此次</w:t>
      </w:r>
      <w:r>
        <w:rPr>
          <w:rFonts w:ascii="宋体" w:eastAsia="宋体" w:hAnsi="宋体" w:hint="eastAsia"/>
          <w:color w:val="000000" w:themeColor="text1"/>
          <w:szCs w:val="21"/>
        </w:rPr>
        <w:t>公司公募</w:t>
      </w:r>
      <w:r>
        <w:rPr>
          <w:rFonts w:ascii="宋体" w:eastAsia="宋体" w:hAnsi="宋体"/>
          <w:color w:val="000000" w:themeColor="text1"/>
          <w:szCs w:val="21"/>
        </w:rPr>
        <w:t>基金风险</w:t>
      </w:r>
      <w:r>
        <w:rPr>
          <w:rFonts w:ascii="宋体" w:eastAsia="宋体" w:hAnsi="宋体" w:hint="eastAsia"/>
          <w:color w:val="000000" w:themeColor="text1"/>
          <w:szCs w:val="21"/>
        </w:rPr>
        <w:t>评级规则调整后</w:t>
      </w:r>
      <w:r>
        <w:rPr>
          <w:rFonts w:ascii="宋体" w:eastAsia="宋体" w:hAnsi="宋体"/>
          <w:color w:val="000000" w:themeColor="text1"/>
          <w:szCs w:val="21"/>
        </w:rPr>
        <w:t>，</w:t>
      </w:r>
      <w:r>
        <w:rPr>
          <w:rFonts w:ascii="宋体" w:eastAsia="宋体" w:hAnsi="宋体" w:hint="eastAsia"/>
          <w:color w:val="000000" w:themeColor="text1"/>
          <w:szCs w:val="21"/>
        </w:rPr>
        <w:t>部分基金的风险等级将发生变化，请投资人务必了解调整后的基金风险等级，</w:t>
      </w:r>
      <w:r>
        <w:rPr>
          <w:rFonts w:ascii="宋体" w:eastAsia="宋体" w:hAnsi="宋体"/>
          <w:color w:val="000000" w:themeColor="text1"/>
          <w:szCs w:val="21"/>
        </w:rPr>
        <w:t>并根据自身的投资目的、投资期限、投资经验、资产状况等判断基金是否</w:t>
      </w:r>
      <w:r>
        <w:rPr>
          <w:rFonts w:ascii="宋体" w:eastAsia="宋体" w:hAnsi="宋体" w:hint="eastAsia"/>
          <w:color w:val="000000" w:themeColor="text1"/>
          <w:szCs w:val="21"/>
        </w:rPr>
        <w:t>与本人</w:t>
      </w:r>
      <w:r>
        <w:rPr>
          <w:rFonts w:ascii="宋体" w:eastAsia="宋体" w:hAnsi="宋体"/>
          <w:color w:val="000000" w:themeColor="text1"/>
          <w:szCs w:val="21"/>
        </w:rPr>
        <w:t>的风险承受能力</w:t>
      </w:r>
      <w:r>
        <w:rPr>
          <w:rFonts w:ascii="宋体" w:eastAsia="宋体" w:hAnsi="宋体" w:hint="eastAsia"/>
          <w:color w:val="000000" w:themeColor="text1"/>
          <w:szCs w:val="21"/>
        </w:rPr>
        <w:t>及</w:t>
      </w:r>
      <w:r>
        <w:rPr>
          <w:rFonts w:ascii="宋体" w:eastAsia="宋体" w:hAnsi="宋体"/>
          <w:color w:val="000000" w:themeColor="text1"/>
          <w:szCs w:val="21"/>
        </w:rPr>
        <w:t>投资需求相适应。</w:t>
      </w:r>
    </w:p>
    <w:p w:rsidR="00192EA5" w:rsidRDefault="005C0BF8">
      <w:pPr>
        <w:spacing w:line="360" w:lineRule="auto"/>
        <w:ind w:firstLine="420"/>
        <w:rPr>
          <w:rFonts w:ascii="宋体" w:eastAsia="宋体" w:hAnsi="宋体" w:cs="Times New Roman"/>
          <w:kern w:val="0"/>
          <w:szCs w:val="21"/>
        </w:rPr>
      </w:pPr>
      <w:r>
        <w:rPr>
          <w:rFonts w:ascii="宋体" w:eastAsia="宋体" w:hAnsi="宋体" w:cs="Times New Roman"/>
          <w:kern w:val="0"/>
          <w:szCs w:val="21"/>
        </w:rPr>
        <w:t>2</w:t>
      </w:r>
      <w:r>
        <w:rPr>
          <w:rFonts w:ascii="宋体" w:eastAsia="宋体" w:hAnsi="宋体" w:cs="Times New Roman" w:hint="eastAsia"/>
          <w:kern w:val="0"/>
          <w:szCs w:val="21"/>
        </w:rPr>
        <w:t>、销售机构根据投资者适当性法律法规对基金进行风险评价，不同的销售机构采用的评价方法不同，因此不同销售机构对基金的风险等级评价结果可能存在不同。</w:t>
      </w:r>
    </w:p>
    <w:p w:rsidR="00192EA5" w:rsidRDefault="005C0BF8">
      <w:pPr>
        <w:spacing w:line="360" w:lineRule="auto"/>
        <w:ind w:firstLineChars="200" w:firstLine="420"/>
        <w:rPr>
          <w:rFonts w:ascii="宋体" w:eastAsia="宋体" w:hAnsi="宋体" w:cs="Times New Roman"/>
          <w:kern w:val="0"/>
          <w:szCs w:val="21"/>
        </w:rPr>
      </w:pPr>
      <w:r>
        <w:rPr>
          <w:rFonts w:ascii="宋体" w:eastAsia="宋体" w:hAnsi="宋体" w:cs="Times New Roman"/>
          <w:kern w:val="0"/>
          <w:szCs w:val="21"/>
        </w:rPr>
        <w:t>3</w:t>
      </w:r>
      <w:r>
        <w:rPr>
          <w:rFonts w:ascii="宋体" w:eastAsia="宋体" w:hAnsi="宋体" w:cs="Times New Roman" w:hint="eastAsia"/>
          <w:kern w:val="0"/>
          <w:szCs w:val="21"/>
        </w:rPr>
        <w:t>、投资者购买基金后，所购买的基金产品风险等级可能因市场或运作情况等影响而发生调整，并可能超出投资者自身风险承受能力，从而可能产生不利后果和损失。投资者应及时关注基金风险等级的变化并谨慎决策，以确保自身的投资决策与风险承受能力相匹配。</w:t>
      </w:r>
    </w:p>
    <w:p w:rsidR="00192EA5" w:rsidRDefault="005C0BF8">
      <w:pPr>
        <w:spacing w:line="360" w:lineRule="auto"/>
        <w:ind w:firstLine="420"/>
        <w:rPr>
          <w:rFonts w:ascii="宋体" w:eastAsia="宋体" w:hAnsi="宋体" w:cs="Times New Roman"/>
          <w:kern w:val="0"/>
          <w:szCs w:val="21"/>
        </w:rPr>
      </w:pPr>
      <w:r>
        <w:rPr>
          <w:rFonts w:ascii="宋体" w:eastAsia="宋体" w:hAnsi="宋体" w:cs="Times New Roman"/>
          <w:kern w:val="0"/>
          <w:szCs w:val="21"/>
        </w:rPr>
        <w:t>4</w:t>
      </w:r>
      <w:r>
        <w:rPr>
          <w:rFonts w:ascii="宋体" w:eastAsia="宋体" w:hAnsi="宋体" w:cs="Times New Roman" w:hint="eastAsia"/>
          <w:kern w:val="0"/>
          <w:szCs w:val="21"/>
        </w:rPr>
        <w:t>、本公司承诺以诚实信用、勤勉尽责的原则管理和运用基金资产，但不保证基金一定盈利，也不保证最低收益。投资者投资于本公司管理的基金时应认真阅读各基金的基金合同、招募说明书等法律文件，了解所投资基金的风险收益特征及归属的风险等级，并根据自身风险承受能力选择适合自己的基金产品。 敬请投资者注意投资风险。</w:t>
      </w:r>
    </w:p>
    <w:p w:rsidR="00192EA5" w:rsidRDefault="00192EA5">
      <w:pPr>
        <w:widowControl/>
        <w:spacing w:line="360" w:lineRule="auto"/>
        <w:ind w:firstLineChars="240" w:firstLine="504"/>
        <w:jc w:val="left"/>
        <w:rPr>
          <w:rFonts w:ascii="宋体" w:eastAsia="宋体" w:hAnsi="宋体"/>
          <w:color w:val="000000" w:themeColor="text1"/>
          <w:szCs w:val="21"/>
        </w:rPr>
      </w:pPr>
    </w:p>
    <w:p w:rsidR="00192EA5" w:rsidRDefault="005C0BF8">
      <w:pPr>
        <w:widowControl/>
        <w:spacing w:line="360" w:lineRule="auto"/>
        <w:ind w:firstLineChars="240" w:firstLine="504"/>
        <w:jc w:val="left"/>
        <w:rPr>
          <w:rFonts w:ascii="宋体" w:eastAsia="宋体" w:hAnsi="宋体"/>
          <w:color w:val="000000" w:themeColor="text1"/>
          <w:szCs w:val="21"/>
        </w:rPr>
      </w:pPr>
      <w:r>
        <w:rPr>
          <w:rFonts w:ascii="宋体" w:eastAsia="宋体" w:hAnsi="宋体" w:hint="eastAsia"/>
          <w:color w:val="000000" w:themeColor="text1"/>
          <w:szCs w:val="21"/>
        </w:rPr>
        <w:t>特此公告。</w:t>
      </w:r>
    </w:p>
    <w:p w:rsidR="00192EA5" w:rsidRDefault="00192EA5">
      <w:pPr>
        <w:widowControl/>
        <w:spacing w:line="360" w:lineRule="auto"/>
        <w:ind w:firstLineChars="240" w:firstLine="504"/>
        <w:jc w:val="left"/>
        <w:rPr>
          <w:rFonts w:ascii="宋体" w:eastAsia="宋体" w:hAnsi="宋体"/>
          <w:color w:val="000000" w:themeColor="text1"/>
          <w:szCs w:val="21"/>
        </w:rPr>
      </w:pPr>
    </w:p>
    <w:p w:rsidR="00192EA5" w:rsidRDefault="005C0BF8">
      <w:pPr>
        <w:widowControl/>
        <w:spacing w:line="360" w:lineRule="auto"/>
        <w:ind w:firstLineChars="240" w:firstLine="504"/>
        <w:jc w:val="left"/>
        <w:rPr>
          <w:rFonts w:ascii="宋体" w:eastAsia="宋体" w:hAnsi="宋体"/>
          <w:color w:val="000000" w:themeColor="text1"/>
          <w:szCs w:val="21"/>
        </w:rPr>
      </w:pPr>
      <w:r>
        <w:rPr>
          <w:rFonts w:ascii="宋体" w:eastAsia="宋体" w:hAnsi="宋体" w:hint="eastAsia"/>
          <w:color w:val="000000" w:themeColor="text1"/>
          <w:szCs w:val="21"/>
        </w:rPr>
        <w:t>附件：</w:t>
      </w:r>
      <w:r>
        <w:rPr>
          <w:rFonts w:ascii="宋体" w:eastAsia="宋体" w:hAnsi="宋体" w:cs="Times New Roman" w:hint="eastAsia"/>
          <w:kern w:val="0"/>
          <w:szCs w:val="21"/>
        </w:rPr>
        <w:t>南方基金公募基金风险评级规则</w:t>
      </w:r>
    </w:p>
    <w:p w:rsidR="00192EA5" w:rsidRDefault="00192EA5">
      <w:pPr>
        <w:widowControl/>
        <w:spacing w:line="360" w:lineRule="auto"/>
        <w:ind w:firstLineChars="240" w:firstLine="504"/>
        <w:jc w:val="left"/>
        <w:rPr>
          <w:rFonts w:ascii="宋体" w:eastAsia="宋体" w:hAnsi="宋体"/>
          <w:color w:val="000000" w:themeColor="text1"/>
          <w:szCs w:val="21"/>
        </w:rPr>
      </w:pPr>
    </w:p>
    <w:p w:rsidR="00192EA5" w:rsidRDefault="005C0BF8">
      <w:pPr>
        <w:widowControl/>
        <w:spacing w:line="360" w:lineRule="auto"/>
        <w:ind w:firstLineChars="240" w:firstLine="504"/>
        <w:jc w:val="right"/>
        <w:rPr>
          <w:rFonts w:ascii="宋体" w:eastAsia="宋体" w:hAnsi="宋体"/>
          <w:color w:val="000000" w:themeColor="text1"/>
          <w:szCs w:val="21"/>
        </w:rPr>
      </w:pPr>
      <w:r>
        <w:rPr>
          <w:rFonts w:ascii="宋体" w:eastAsia="宋体" w:hAnsi="宋体" w:hint="eastAsia"/>
          <w:color w:val="000000" w:themeColor="text1"/>
          <w:szCs w:val="21"/>
        </w:rPr>
        <w:t>南方基金管理股份有限公司</w:t>
      </w:r>
    </w:p>
    <w:p w:rsidR="00192EA5" w:rsidRDefault="005C0BF8">
      <w:pPr>
        <w:spacing w:line="360" w:lineRule="auto"/>
        <w:ind w:firstLineChars="3200" w:firstLine="6720"/>
        <w:rPr>
          <w:rFonts w:ascii="宋体" w:eastAsia="宋体" w:hAnsi="宋体" w:cs="Times New Roman"/>
          <w:kern w:val="0"/>
          <w:szCs w:val="21"/>
        </w:rPr>
      </w:pPr>
      <w:r>
        <w:rPr>
          <w:rFonts w:ascii="宋体" w:eastAsia="宋体" w:hAnsi="宋体"/>
          <w:color w:val="000000" w:themeColor="text1"/>
          <w:szCs w:val="21"/>
        </w:rPr>
        <w:t>202</w:t>
      </w:r>
      <w:r>
        <w:rPr>
          <w:rFonts w:ascii="宋体" w:eastAsia="宋体" w:hAnsi="宋体" w:hint="eastAsia"/>
          <w:color w:val="000000" w:themeColor="text1"/>
          <w:szCs w:val="21"/>
        </w:rPr>
        <w:t>5</w:t>
      </w:r>
      <w:r>
        <w:rPr>
          <w:rFonts w:ascii="宋体" w:eastAsia="宋体" w:hAnsi="宋体"/>
          <w:color w:val="000000" w:themeColor="text1"/>
          <w:szCs w:val="21"/>
        </w:rPr>
        <w:t>年</w:t>
      </w:r>
      <w:r>
        <w:rPr>
          <w:rFonts w:ascii="宋体" w:eastAsia="宋体" w:hAnsi="宋体" w:hint="eastAsia"/>
          <w:color w:val="000000" w:themeColor="text1"/>
          <w:szCs w:val="21"/>
        </w:rPr>
        <w:t>1</w:t>
      </w:r>
      <w:r>
        <w:rPr>
          <w:rFonts w:ascii="宋体" w:eastAsia="宋体" w:hAnsi="宋体"/>
          <w:color w:val="000000" w:themeColor="text1"/>
          <w:szCs w:val="21"/>
        </w:rPr>
        <w:t>月</w:t>
      </w:r>
      <w:r>
        <w:rPr>
          <w:rFonts w:ascii="宋体" w:eastAsia="宋体" w:hAnsi="宋体" w:hint="eastAsia"/>
          <w:color w:val="000000" w:themeColor="text1"/>
          <w:szCs w:val="21"/>
        </w:rPr>
        <w:t>20</w:t>
      </w:r>
      <w:r>
        <w:rPr>
          <w:rFonts w:ascii="宋体" w:eastAsia="宋体" w:hAnsi="宋体"/>
          <w:color w:val="000000" w:themeColor="text1"/>
          <w:szCs w:val="21"/>
        </w:rPr>
        <w:t>日</w:t>
      </w:r>
    </w:p>
    <w:p w:rsidR="00192EA5" w:rsidRDefault="005C0BF8">
      <w:pPr>
        <w:widowControl/>
        <w:jc w:val="left"/>
        <w:rPr>
          <w:rFonts w:ascii="宋体" w:eastAsia="宋体" w:hAnsi="宋体" w:cs="Times New Roman"/>
          <w:kern w:val="0"/>
          <w:szCs w:val="21"/>
        </w:rPr>
      </w:pPr>
      <w:r>
        <w:rPr>
          <w:rFonts w:ascii="宋体" w:eastAsia="宋体" w:hAnsi="宋体" w:cs="Times New Roman"/>
          <w:kern w:val="0"/>
          <w:szCs w:val="21"/>
        </w:rPr>
        <w:br w:type="page"/>
      </w:r>
    </w:p>
    <w:p w:rsidR="00192EA5" w:rsidRDefault="005C0BF8">
      <w:pPr>
        <w:jc w:val="center"/>
        <w:outlineLvl w:val="0"/>
        <w:rPr>
          <w:rFonts w:ascii="仿宋_GB2312" w:eastAsia="仿宋_GB2312" w:hAnsiTheme="majorEastAsia"/>
          <w:b/>
          <w:bCs/>
          <w:sz w:val="36"/>
          <w:szCs w:val="36"/>
        </w:rPr>
      </w:pPr>
      <w:r>
        <w:rPr>
          <w:rFonts w:ascii="仿宋_GB2312" w:eastAsia="仿宋_GB2312" w:hAnsiTheme="majorEastAsia" w:hint="eastAsia"/>
          <w:b/>
          <w:bCs/>
          <w:sz w:val="36"/>
          <w:szCs w:val="36"/>
        </w:rPr>
        <w:t>南方基金公募基金风险评级规则</w:t>
      </w:r>
    </w:p>
    <w:p w:rsidR="00192EA5" w:rsidRDefault="005C0BF8" w:rsidP="002D2243">
      <w:pPr>
        <w:spacing w:beforeLines="100" w:line="460" w:lineRule="exact"/>
        <w:jc w:val="center"/>
        <w:outlineLvl w:val="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2025</w:t>
      </w:r>
      <w:r>
        <w:rPr>
          <w:rFonts w:ascii="仿宋_GB2312" w:eastAsia="仿宋_GB2312" w:hAnsi="宋体" w:hint="eastAsia"/>
          <w:sz w:val="28"/>
          <w:szCs w:val="28"/>
        </w:rPr>
        <w:t>年</w:t>
      </w:r>
      <w:r>
        <w:rPr>
          <w:rFonts w:ascii="仿宋_GB2312" w:eastAsia="仿宋_GB2312" w:hAnsi="宋体"/>
          <w:sz w:val="28"/>
          <w:szCs w:val="28"/>
        </w:rPr>
        <w:t>1</w:t>
      </w:r>
      <w:r>
        <w:rPr>
          <w:rFonts w:ascii="仿宋_GB2312" w:eastAsia="仿宋_GB2312" w:hAnsi="宋体" w:hint="eastAsia"/>
          <w:sz w:val="28"/>
          <w:szCs w:val="28"/>
        </w:rPr>
        <w:t>月）</w:t>
      </w:r>
    </w:p>
    <w:p w:rsidR="00192EA5" w:rsidRDefault="00192EA5" w:rsidP="002D2243">
      <w:pPr>
        <w:tabs>
          <w:tab w:val="left" w:pos="540"/>
          <w:tab w:val="center" w:pos="4153"/>
        </w:tabs>
        <w:spacing w:afterLines="100" w:line="540" w:lineRule="exact"/>
        <w:jc w:val="center"/>
        <w:rPr>
          <w:rFonts w:ascii="仿宋_GB2312" w:eastAsia="仿宋_GB2312" w:hAnsi="仿宋"/>
          <w:sz w:val="28"/>
          <w:szCs w:val="28"/>
        </w:rPr>
      </w:pPr>
    </w:p>
    <w:p w:rsidR="00192EA5" w:rsidRDefault="005C0BF8">
      <w:pPr>
        <w:spacing w:line="560" w:lineRule="exact"/>
        <w:ind w:firstLine="420"/>
        <w:rPr>
          <w:rFonts w:ascii="仿宋" w:eastAsia="仿宋" w:hAnsi="仿宋"/>
          <w:color w:val="000000" w:themeColor="text1"/>
          <w:sz w:val="28"/>
          <w:szCs w:val="28"/>
        </w:rPr>
      </w:pPr>
      <w:r>
        <w:rPr>
          <w:rFonts w:ascii="仿宋" w:eastAsia="仿宋" w:hAnsi="仿宋" w:hint="eastAsia"/>
          <w:b/>
          <w:color w:val="000000" w:themeColor="text1"/>
          <w:sz w:val="28"/>
          <w:szCs w:val="28"/>
        </w:rPr>
        <w:t xml:space="preserve">第一条  </w:t>
      </w:r>
      <w:r>
        <w:rPr>
          <w:rFonts w:ascii="仿宋" w:eastAsia="仿宋" w:hAnsi="仿宋" w:hint="eastAsia"/>
          <w:color w:val="000000" w:themeColor="text1"/>
          <w:sz w:val="28"/>
          <w:szCs w:val="28"/>
        </w:rPr>
        <w:t>南方基金管理股份有限公司（下简称“公司”）在销售基金和相关产品的过程中，需注重投资人的适当性管理，根据投资人的风险承受能力销售不同风险等级的产品，把合适的基金产品卖给合适的投资人。为此，公司需对基金产品的风险等级进行设置并对基金产品进行风险评价，以风险评价结果作为公司向投资人推介基金产品的重要依据。</w:t>
      </w:r>
    </w:p>
    <w:p w:rsidR="00192EA5" w:rsidRDefault="005C0BF8">
      <w:pPr>
        <w:spacing w:line="560" w:lineRule="exact"/>
        <w:ind w:firstLine="420"/>
        <w:rPr>
          <w:rFonts w:ascii="仿宋" w:eastAsia="仿宋" w:hAnsi="仿宋"/>
          <w:color w:val="000000" w:themeColor="text1"/>
          <w:sz w:val="28"/>
          <w:szCs w:val="28"/>
        </w:rPr>
      </w:pPr>
      <w:r>
        <w:rPr>
          <w:rFonts w:ascii="仿宋" w:eastAsia="仿宋" w:hAnsi="仿宋" w:hint="eastAsia"/>
          <w:color w:val="000000" w:themeColor="text1"/>
          <w:sz w:val="28"/>
          <w:szCs w:val="28"/>
        </w:rPr>
        <w:t>根据《证券投资基金销售适用性指导意见》、《证券期货投资者适当性管理办法》、《基金募集机构投资者适当性管理实施指引（试行）》（以下简称《指引》）、《公开募集证券投资基金销售机构监督管理办法》和其他</w:t>
      </w:r>
      <w:r>
        <w:rPr>
          <w:rFonts w:ascii="仿宋" w:eastAsia="仿宋" w:hAnsi="仿宋"/>
          <w:color w:val="000000" w:themeColor="text1"/>
          <w:sz w:val="28"/>
          <w:szCs w:val="28"/>
        </w:rPr>
        <w:t>法律法规及</w:t>
      </w:r>
      <w:r>
        <w:rPr>
          <w:rFonts w:ascii="仿宋" w:eastAsia="仿宋" w:hAnsi="仿宋" w:hint="eastAsia"/>
          <w:color w:val="000000" w:themeColor="text1"/>
          <w:sz w:val="28"/>
          <w:szCs w:val="28"/>
        </w:rPr>
        <w:t>公司相关制度</w:t>
      </w:r>
      <w:r>
        <w:rPr>
          <w:rFonts w:ascii="仿宋" w:eastAsia="仿宋" w:hAnsi="仿宋"/>
          <w:color w:val="000000" w:themeColor="text1"/>
          <w:sz w:val="28"/>
          <w:szCs w:val="28"/>
        </w:rPr>
        <w:t>，</w:t>
      </w:r>
      <w:r>
        <w:rPr>
          <w:rFonts w:ascii="仿宋" w:eastAsia="仿宋" w:hAnsi="仿宋" w:hint="eastAsia"/>
          <w:color w:val="000000" w:themeColor="text1"/>
          <w:sz w:val="28"/>
          <w:szCs w:val="28"/>
        </w:rPr>
        <w:t>公司将基金产品风险等级设置为高风险、中高风险、中风险、中低风险、低风险五个风险等级，并将各类风险等级的基金产品与不同风险承受能力的投资人相对应（其可购买对应风险等级及以下的产品），具体标准如下：</w:t>
      </w:r>
    </w:p>
    <w:tbl>
      <w:tblPr>
        <w:tblStyle w:val="ac"/>
        <w:tblW w:w="8784" w:type="dxa"/>
        <w:tblLayout w:type="fixed"/>
        <w:tblLook w:val="04A0"/>
      </w:tblPr>
      <w:tblGrid>
        <w:gridCol w:w="4106"/>
        <w:gridCol w:w="4678"/>
      </w:tblGrid>
      <w:tr w:rsidR="00192EA5">
        <w:trPr>
          <w:trHeight w:val="20"/>
        </w:trPr>
        <w:tc>
          <w:tcPr>
            <w:tcW w:w="4106" w:type="dxa"/>
            <w:vAlign w:val="center"/>
          </w:tcPr>
          <w:p w:rsidR="00192EA5" w:rsidRDefault="005C0BF8">
            <w:pPr>
              <w:ind w:firstLine="56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基金投资者风险承受能力</w:t>
            </w:r>
          </w:p>
        </w:tc>
        <w:tc>
          <w:tcPr>
            <w:tcW w:w="4678" w:type="dxa"/>
            <w:vAlign w:val="center"/>
          </w:tcPr>
          <w:p w:rsidR="00192EA5" w:rsidRDefault="005C0BF8">
            <w:pPr>
              <w:ind w:firstLine="56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基金产品及服务风险评价</w:t>
            </w:r>
          </w:p>
        </w:tc>
      </w:tr>
      <w:tr w:rsidR="00192EA5">
        <w:trPr>
          <w:trHeight w:val="384"/>
        </w:trPr>
        <w:tc>
          <w:tcPr>
            <w:tcW w:w="4106" w:type="dxa"/>
            <w:vAlign w:val="center"/>
          </w:tcPr>
          <w:p w:rsidR="00192EA5" w:rsidRDefault="005C0BF8">
            <w:pPr>
              <w:spacing w:before="100" w:beforeAutospacing="1" w:after="100" w:afterAutospacing="1"/>
              <w:ind w:firstLine="480"/>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进取型</w:t>
            </w:r>
            <w:r>
              <w:rPr>
                <w:rFonts w:ascii="仿宋_GB2312" w:eastAsia="仿宋_GB2312" w:hAnsi="宋体" w:cs="宋体" w:hint="eastAsia"/>
                <w:kern w:val="0"/>
                <w:sz w:val="24"/>
                <w:szCs w:val="24"/>
              </w:rPr>
              <w:t>（高风险承受能力）</w:t>
            </w:r>
          </w:p>
        </w:tc>
        <w:tc>
          <w:tcPr>
            <w:tcW w:w="4678" w:type="dxa"/>
            <w:vAlign w:val="center"/>
          </w:tcPr>
          <w:p w:rsidR="00192EA5" w:rsidRDefault="005C0BF8">
            <w:pPr>
              <w:ind w:firstLine="48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R5高风险及</w:t>
            </w:r>
            <w:r>
              <w:rPr>
                <w:rFonts w:ascii="仿宋_GB2312" w:eastAsia="仿宋_GB2312" w:hAnsi="宋体" w:cs="宋体"/>
                <w:kern w:val="0"/>
                <w:sz w:val="24"/>
                <w:szCs w:val="24"/>
              </w:rPr>
              <w:t>以下</w:t>
            </w:r>
            <w:r>
              <w:rPr>
                <w:rFonts w:ascii="仿宋_GB2312" w:eastAsia="仿宋_GB2312" w:hAnsi="宋体" w:cs="宋体" w:hint="eastAsia"/>
                <w:kern w:val="0"/>
                <w:sz w:val="24"/>
                <w:szCs w:val="24"/>
              </w:rPr>
              <w:t>等级基金产品及服务</w:t>
            </w:r>
          </w:p>
        </w:tc>
      </w:tr>
      <w:tr w:rsidR="00192EA5">
        <w:trPr>
          <w:trHeight w:val="20"/>
        </w:trPr>
        <w:tc>
          <w:tcPr>
            <w:tcW w:w="4106" w:type="dxa"/>
            <w:vAlign w:val="center"/>
          </w:tcPr>
          <w:p w:rsidR="00192EA5" w:rsidRDefault="005C0BF8">
            <w:pPr>
              <w:spacing w:before="100" w:beforeAutospacing="1" w:after="100" w:afterAutospacing="1"/>
              <w:ind w:firstLine="480"/>
              <w:jc w:val="center"/>
              <w:rPr>
                <w:rFonts w:ascii="仿宋_GB2312" w:eastAsia="仿宋_GB2312" w:hAnsi="宋体" w:cs="宋体"/>
                <w:bCs/>
                <w:kern w:val="0"/>
                <w:sz w:val="24"/>
                <w:szCs w:val="24"/>
              </w:rPr>
            </w:pPr>
            <w:r>
              <w:rPr>
                <w:rFonts w:ascii="仿宋_GB2312" w:eastAsia="仿宋_GB2312" w:hAnsi="宋体" w:cs="宋体" w:hint="eastAsia"/>
                <w:kern w:val="0"/>
                <w:sz w:val="24"/>
                <w:szCs w:val="24"/>
              </w:rPr>
              <w:t>积极型（中高风险承受能力）</w:t>
            </w:r>
          </w:p>
        </w:tc>
        <w:tc>
          <w:tcPr>
            <w:tcW w:w="4678" w:type="dxa"/>
            <w:vAlign w:val="center"/>
          </w:tcPr>
          <w:p w:rsidR="00192EA5" w:rsidRDefault="005C0BF8">
            <w:pPr>
              <w:ind w:firstLine="480"/>
              <w:jc w:val="center"/>
              <w:rPr>
                <w:rFonts w:ascii="仿宋_GB2312" w:eastAsia="仿宋_GB2312" w:hAnsi="宋体" w:cs="宋体"/>
                <w:kern w:val="0"/>
                <w:sz w:val="24"/>
                <w:szCs w:val="24"/>
              </w:rPr>
            </w:pPr>
            <w:r>
              <w:rPr>
                <w:rFonts w:ascii="仿宋_GB2312" w:eastAsia="仿宋_GB2312" w:hAnsi="宋体" w:cs="宋体" w:hint="eastAsia"/>
                <w:bCs/>
                <w:kern w:val="0"/>
                <w:sz w:val="24"/>
                <w:szCs w:val="24"/>
              </w:rPr>
              <w:t>R4中高风险及</w:t>
            </w:r>
            <w:r>
              <w:rPr>
                <w:rFonts w:ascii="仿宋_GB2312" w:eastAsia="仿宋_GB2312" w:hAnsi="宋体" w:cs="宋体"/>
                <w:bCs/>
                <w:kern w:val="0"/>
                <w:sz w:val="24"/>
                <w:szCs w:val="24"/>
              </w:rPr>
              <w:t>以下</w:t>
            </w:r>
            <w:r>
              <w:rPr>
                <w:rFonts w:ascii="仿宋_GB2312" w:eastAsia="仿宋_GB2312" w:hAnsi="宋体" w:cs="宋体" w:hint="eastAsia"/>
                <w:bCs/>
                <w:kern w:val="0"/>
                <w:sz w:val="24"/>
                <w:szCs w:val="24"/>
              </w:rPr>
              <w:t>等级基金产品及服务</w:t>
            </w:r>
          </w:p>
        </w:tc>
      </w:tr>
      <w:tr w:rsidR="00192EA5">
        <w:trPr>
          <w:trHeight w:val="20"/>
        </w:trPr>
        <w:tc>
          <w:tcPr>
            <w:tcW w:w="4106" w:type="dxa"/>
            <w:vAlign w:val="center"/>
          </w:tcPr>
          <w:p w:rsidR="00192EA5" w:rsidRDefault="005C0BF8">
            <w:pPr>
              <w:spacing w:before="100" w:beforeAutospacing="1" w:after="100" w:afterAutospacing="1"/>
              <w:ind w:firstLine="480"/>
              <w:jc w:val="center"/>
              <w:rPr>
                <w:rFonts w:ascii="仿宋_GB2312" w:eastAsia="仿宋_GB2312" w:hAnsi="宋体" w:cs="宋体"/>
                <w:bCs/>
                <w:kern w:val="0"/>
                <w:sz w:val="24"/>
                <w:szCs w:val="24"/>
              </w:rPr>
            </w:pPr>
            <w:r>
              <w:rPr>
                <w:rFonts w:ascii="仿宋_GB2312" w:eastAsia="仿宋_GB2312" w:hAnsi="宋体" w:cs="宋体" w:hint="eastAsia"/>
                <w:kern w:val="0"/>
                <w:sz w:val="24"/>
                <w:szCs w:val="24"/>
              </w:rPr>
              <w:t>稳健型（中风险承受能力）</w:t>
            </w:r>
          </w:p>
        </w:tc>
        <w:tc>
          <w:tcPr>
            <w:tcW w:w="4678" w:type="dxa"/>
            <w:vAlign w:val="center"/>
          </w:tcPr>
          <w:p w:rsidR="00192EA5" w:rsidRDefault="005C0BF8">
            <w:pPr>
              <w:ind w:firstLine="480"/>
              <w:jc w:val="center"/>
              <w:rPr>
                <w:rFonts w:ascii="仿宋_GB2312" w:eastAsia="仿宋_GB2312" w:hAnsi="宋体" w:cs="宋体"/>
                <w:kern w:val="0"/>
                <w:sz w:val="24"/>
                <w:szCs w:val="24"/>
              </w:rPr>
            </w:pPr>
            <w:r>
              <w:rPr>
                <w:rFonts w:ascii="仿宋_GB2312" w:eastAsia="仿宋_GB2312" w:hAnsi="宋体" w:cs="宋体" w:hint="eastAsia"/>
                <w:bCs/>
                <w:kern w:val="0"/>
                <w:sz w:val="24"/>
                <w:szCs w:val="24"/>
              </w:rPr>
              <w:t>R3中风险及</w:t>
            </w:r>
            <w:r>
              <w:rPr>
                <w:rFonts w:ascii="仿宋_GB2312" w:eastAsia="仿宋_GB2312" w:hAnsi="宋体" w:cs="宋体"/>
                <w:bCs/>
                <w:kern w:val="0"/>
                <w:sz w:val="24"/>
                <w:szCs w:val="24"/>
              </w:rPr>
              <w:t>以下</w:t>
            </w:r>
            <w:r>
              <w:rPr>
                <w:rFonts w:ascii="仿宋_GB2312" w:eastAsia="仿宋_GB2312" w:hAnsi="宋体" w:cs="宋体" w:hint="eastAsia"/>
                <w:bCs/>
                <w:kern w:val="0"/>
                <w:sz w:val="24"/>
                <w:szCs w:val="24"/>
              </w:rPr>
              <w:t>等级基金产品及服务</w:t>
            </w:r>
          </w:p>
        </w:tc>
      </w:tr>
      <w:tr w:rsidR="00192EA5">
        <w:trPr>
          <w:trHeight w:val="20"/>
        </w:trPr>
        <w:tc>
          <w:tcPr>
            <w:tcW w:w="4106" w:type="dxa"/>
            <w:vAlign w:val="center"/>
          </w:tcPr>
          <w:p w:rsidR="00192EA5" w:rsidRDefault="005C0BF8">
            <w:pPr>
              <w:spacing w:before="100" w:beforeAutospacing="1" w:after="100" w:afterAutospacing="1"/>
              <w:ind w:firstLine="480"/>
              <w:jc w:val="center"/>
              <w:rPr>
                <w:rFonts w:ascii="仿宋_GB2312" w:eastAsia="仿宋_GB2312" w:hAnsi="宋体" w:cs="宋体"/>
                <w:bCs/>
                <w:kern w:val="0"/>
                <w:sz w:val="24"/>
                <w:szCs w:val="24"/>
              </w:rPr>
            </w:pPr>
            <w:r>
              <w:rPr>
                <w:rFonts w:ascii="仿宋_GB2312" w:eastAsia="仿宋_GB2312" w:hAnsi="宋体" w:cs="宋体" w:hint="eastAsia"/>
                <w:kern w:val="0"/>
                <w:sz w:val="24"/>
                <w:szCs w:val="24"/>
              </w:rPr>
              <w:t>保守型（中低风险承受能力）</w:t>
            </w:r>
          </w:p>
        </w:tc>
        <w:tc>
          <w:tcPr>
            <w:tcW w:w="4678" w:type="dxa"/>
            <w:vAlign w:val="center"/>
          </w:tcPr>
          <w:p w:rsidR="00192EA5" w:rsidRDefault="005C0BF8">
            <w:pPr>
              <w:ind w:firstLine="480"/>
              <w:jc w:val="center"/>
              <w:rPr>
                <w:rFonts w:ascii="仿宋_GB2312" w:eastAsia="仿宋_GB2312" w:hAnsi="宋体" w:cs="宋体"/>
                <w:kern w:val="0"/>
                <w:sz w:val="24"/>
                <w:szCs w:val="24"/>
              </w:rPr>
            </w:pPr>
            <w:r>
              <w:rPr>
                <w:rFonts w:ascii="仿宋_GB2312" w:eastAsia="仿宋_GB2312" w:hAnsi="宋体" w:cs="宋体" w:hint="eastAsia"/>
                <w:bCs/>
                <w:kern w:val="0"/>
                <w:sz w:val="24"/>
                <w:szCs w:val="24"/>
              </w:rPr>
              <w:t>R2中低风险及</w:t>
            </w:r>
            <w:r>
              <w:rPr>
                <w:rFonts w:ascii="仿宋_GB2312" w:eastAsia="仿宋_GB2312" w:hAnsi="宋体" w:cs="宋体"/>
                <w:bCs/>
                <w:kern w:val="0"/>
                <w:sz w:val="24"/>
                <w:szCs w:val="24"/>
              </w:rPr>
              <w:t>以下</w:t>
            </w:r>
            <w:r>
              <w:rPr>
                <w:rFonts w:ascii="仿宋_GB2312" w:eastAsia="仿宋_GB2312" w:hAnsi="宋体" w:cs="宋体" w:hint="eastAsia"/>
                <w:bCs/>
                <w:kern w:val="0"/>
                <w:sz w:val="24"/>
                <w:szCs w:val="24"/>
              </w:rPr>
              <w:t>等级基金产品及服务</w:t>
            </w:r>
          </w:p>
        </w:tc>
      </w:tr>
      <w:tr w:rsidR="00192EA5">
        <w:trPr>
          <w:trHeight w:val="20"/>
        </w:trPr>
        <w:tc>
          <w:tcPr>
            <w:tcW w:w="4106" w:type="dxa"/>
            <w:vAlign w:val="center"/>
          </w:tcPr>
          <w:p w:rsidR="00192EA5" w:rsidRDefault="005C0BF8">
            <w:pPr>
              <w:spacing w:before="100" w:beforeAutospacing="1" w:after="100" w:afterAutospacing="1"/>
              <w:ind w:firstLine="480"/>
              <w:jc w:val="center"/>
              <w:rPr>
                <w:rFonts w:ascii="仿宋_GB2312" w:eastAsia="仿宋_GB2312" w:hAnsi="宋体" w:cs="宋体"/>
                <w:bCs/>
                <w:kern w:val="0"/>
                <w:sz w:val="24"/>
                <w:szCs w:val="24"/>
              </w:rPr>
            </w:pPr>
            <w:r>
              <w:rPr>
                <w:rFonts w:ascii="仿宋_GB2312" w:eastAsia="仿宋_GB2312" w:hAnsi="宋体" w:cs="宋体" w:hint="eastAsia"/>
                <w:kern w:val="0"/>
                <w:sz w:val="24"/>
                <w:szCs w:val="24"/>
              </w:rPr>
              <w:t>安全型（低风险承受能力）</w:t>
            </w:r>
          </w:p>
        </w:tc>
        <w:tc>
          <w:tcPr>
            <w:tcW w:w="4678" w:type="dxa"/>
            <w:vAlign w:val="center"/>
          </w:tcPr>
          <w:p w:rsidR="00192EA5" w:rsidRDefault="005C0BF8">
            <w:pPr>
              <w:ind w:firstLine="480"/>
              <w:jc w:val="center"/>
              <w:rPr>
                <w:rFonts w:ascii="仿宋_GB2312" w:eastAsia="仿宋_GB2312" w:hAnsi="宋体" w:cs="宋体"/>
                <w:kern w:val="0"/>
                <w:sz w:val="24"/>
                <w:szCs w:val="24"/>
              </w:rPr>
            </w:pPr>
            <w:r>
              <w:rPr>
                <w:rFonts w:ascii="仿宋_GB2312" w:eastAsia="仿宋_GB2312" w:hAnsi="宋体" w:cs="宋体" w:hint="eastAsia"/>
                <w:bCs/>
                <w:kern w:val="0"/>
                <w:sz w:val="24"/>
                <w:szCs w:val="24"/>
              </w:rPr>
              <w:t>R1低风险等级基金产品及服务</w:t>
            </w:r>
          </w:p>
        </w:tc>
      </w:tr>
    </w:tbl>
    <w:p w:rsidR="00192EA5" w:rsidRDefault="005C0BF8">
      <w:pPr>
        <w:spacing w:line="560" w:lineRule="exact"/>
        <w:ind w:firstLine="420"/>
        <w:rPr>
          <w:rFonts w:ascii="仿宋" w:eastAsia="仿宋" w:hAnsi="仿宋"/>
          <w:color w:val="000000" w:themeColor="text1"/>
          <w:sz w:val="28"/>
          <w:szCs w:val="28"/>
        </w:rPr>
      </w:pPr>
      <w:r>
        <w:rPr>
          <w:rFonts w:ascii="仿宋" w:eastAsia="仿宋" w:hAnsi="仿宋" w:hint="eastAsia"/>
          <w:b/>
          <w:color w:val="000000" w:themeColor="text1"/>
          <w:sz w:val="28"/>
          <w:szCs w:val="28"/>
        </w:rPr>
        <w:t>第</w:t>
      </w:r>
      <w:r>
        <w:rPr>
          <w:rFonts w:ascii="仿宋" w:eastAsia="仿宋" w:hAnsi="仿宋"/>
          <w:b/>
          <w:color w:val="000000" w:themeColor="text1"/>
          <w:sz w:val="28"/>
          <w:szCs w:val="28"/>
        </w:rPr>
        <w:t>二条</w:t>
      </w:r>
      <w:r>
        <w:rPr>
          <w:rFonts w:ascii="仿宋" w:eastAsia="仿宋" w:hAnsi="仿宋" w:hint="eastAsia"/>
          <w:b/>
          <w:color w:val="000000" w:themeColor="text1"/>
          <w:sz w:val="28"/>
          <w:szCs w:val="28"/>
        </w:rPr>
        <w:t xml:space="preserve"> </w:t>
      </w:r>
      <w:r>
        <w:rPr>
          <w:rFonts w:ascii="仿宋" w:eastAsia="仿宋" w:hAnsi="仿宋" w:hint="eastAsia"/>
          <w:color w:val="000000" w:themeColor="text1"/>
          <w:sz w:val="28"/>
          <w:szCs w:val="28"/>
        </w:rPr>
        <w:t xml:space="preserve"> 本制度适用于公司旗下所有公募产品</w:t>
      </w:r>
      <w:r>
        <w:rPr>
          <w:rFonts w:ascii="仿宋" w:eastAsia="仿宋" w:hAnsi="仿宋"/>
          <w:color w:val="000000" w:themeColor="text1"/>
          <w:sz w:val="28"/>
          <w:szCs w:val="28"/>
        </w:rPr>
        <w:t>。</w:t>
      </w:r>
    </w:p>
    <w:p w:rsidR="00192EA5" w:rsidRDefault="005C0BF8">
      <w:pPr>
        <w:spacing w:line="560" w:lineRule="exact"/>
        <w:ind w:firstLine="420"/>
        <w:rPr>
          <w:rFonts w:ascii="仿宋" w:eastAsia="仿宋" w:hAnsi="仿宋"/>
          <w:color w:val="000000" w:themeColor="text1"/>
          <w:sz w:val="28"/>
          <w:szCs w:val="28"/>
        </w:rPr>
      </w:pPr>
      <w:r>
        <w:rPr>
          <w:rFonts w:ascii="仿宋" w:eastAsia="仿宋" w:hAnsi="仿宋" w:hint="eastAsia"/>
          <w:b/>
          <w:color w:val="000000" w:themeColor="text1"/>
          <w:sz w:val="28"/>
          <w:szCs w:val="28"/>
        </w:rPr>
        <w:t>第三</w:t>
      </w:r>
      <w:r>
        <w:rPr>
          <w:rFonts w:ascii="仿宋" w:eastAsia="仿宋" w:hAnsi="仿宋"/>
          <w:b/>
          <w:color w:val="000000" w:themeColor="text1"/>
          <w:sz w:val="28"/>
          <w:szCs w:val="28"/>
        </w:rPr>
        <w:t>条</w:t>
      </w:r>
      <w:r>
        <w:rPr>
          <w:rFonts w:ascii="仿宋" w:eastAsia="仿宋" w:hAnsi="仿宋" w:hint="eastAsia"/>
          <w:b/>
          <w:color w:val="000000" w:themeColor="text1"/>
          <w:sz w:val="28"/>
          <w:szCs w:val="28"/>
        </w:rPr>
        <w:t xml:space="preserve"> </w:t>
      </w:r>
      <w:r>
        <w:rPr>
          <w:rFonts w:ascii="仿宋" w:eastAsia="仿宋" w:hAnsi="仿宋" w:hint="eastAsia"/>
          <w:color w:val="000000" w:themeColor="text1"/>
          <w:sz w:val="28"/>
          <w:szCs w:val="28"/>
        </w:rPr>
        <w:t xml:space="preserve"> 风险评级采用定量与定性相结合的方式，从公司及产品本身角度出发，基于基金产品合同相关要素与基金实际运作状况对产品进行定量打分，之后审慎考虑定性指标，对产品最终的定量得分进行定性调整，完成对基金风险的评级。对于新成立的基金，成立时确定初始风险评级。对于存续期</w:t>
      </w:r>
      <w:r>
        <w:rPr>
          <w:rFonts w:ascii="仿宋" w:eastAsia="仿宋" w:hAnsi="仿宋"/>
          <w:color w:val="000000" w:themeColor="text1"/>
          <w:sz w:val="28"/>
          <w:szCs w:val="28"/>
        </w:rPr>
        <w:t>基金，</w:t>
      </w:r>
      <w:r>
        <w:rPr>
          <w:rFonts w:ascii="仿宋" w:eastAsia="仿宋" w:hAnsi="仿宋" w:hint="eastAsia"/>
          <w:sz w:val="28"/>
          <w:szCs w:val="28"/>
        </w:rPr>
        <w:t>定期</w:t>
      </w:r>
      <w:r>
        <w:rPr>
          <w:rFonts w:ascii="仿宋" w:eastAsia="仿宋" w:hAnsi="仿宋" w:hint="eastAsia"/>
          <w:color w:val="000000" w:themeColor="text1"/>
          <w:sz w:val="28"/>
          <w:szCs w:val="28"/>
        </w:rPr>
        <w:t>评估</w:t>
      </w:r>
      <w:r>
        <w:rPr>
          <w:rFonts w:ascii="仿宋" w:eastAsia="仿宋" w:hAnsi="仿宋"/>
          <w:color w:val="000000" w:themeColor="text1"/>
          <w:sz w:val="28"/>
          <w:szCs w:val="28"/>
        </w:rPr>
        <w:t>风险</w:t>
      </w:r>
      <w:r>
        <w:rPr>
          <w:rFonts w:ascii="仿宋" w:eastAsia="仿宋" w:hAnsi="仿宋" w:hint="eastAsia"/>
          <w:color w:val="000000" w:themeColor="text1"/>
          <w:sz w:val="28"/>
          <w:szCs w:val="28"/>
        </w:rPr>
        <w:t>等级并对</w:t>
      </w:r>
      <w:r>
        <w:rPr>
          <w:rFonts w:ascii="仿宋" w:eastAsia="仿宋" w:hAnsi="仿宋"/>
          <w:color w:val="000000" w:themeColor="text1"/>
          <w:sz w:val="28"/>
          <w:szCs w:val="28"/>
        </w:rPr>
        <w:t>结果进行更新。</w:t>
      </w:r>
    </w:p>
    <w:p w:rsidR="00192EA5" w:rsidRDefault="005C0BF8">
      <w:pPr>
        <w:spacing w:line="560" w:lineRule="exact"/>
        <w:ind w:firstLine="420"/>
        <w:rPr>
          <w:rFonts w:ascii="仿宋" w:eastAsia="仿宋" w:hAnsi="仿宋"/>
          <w:color w:val="000000" w:themeColor="text1"/>
          <w:sz w:val="28"/>
          <w:szCs w:val="28"/>
        </w:rPr>
      </w:pPr>
      <w:r>
        <w:rPr>
          <w:rFonts w:ascii="仿宋" w:eastAsia="仿宋" w:hAnsi="仿宋" w:hint="eastAsia"/>
          <w:b/>
          <w:color w:val="000000" w:themeColor="text1"/>
          <w:sz w:val="28"/>
          <w:szCs w:val="28"/>
        </w:rPr>
        <w:t>第四</w:t>
      </w:r>
      <w:r>
        <w:rPr>
          <w:rFonts w:ascii="仿宋" w:eastAsia="仿宋" w:hAnsi="仿宋"/>
          <w:b/>
          <w:color w:val="000000" w:themeColor="text1"/>
          <w:sz w:val="28"/>
          <w:szCs w:val="28"/>
        </w:rPr>
        <w:t>条</w:t>
      </w:r>
      <w:r>
        <w:rPr>
          <w:rFonts w:ascii="仿宋" w:eastAsia="仿宋" w:hAnsi="仿宋" w:hint="eastAsia"/>
          <w:b/>
          <w:color w:val="000000" w:themeColor="text1"/>
          <w:sz w:val="28"/>
          <w:szCs w:val="28"/>
        </w:rPr>
        <w:t xml:space="preserve"> </w:t>
      </w:r>
      <w:r>
        <w:rPr>
          <w:rFonts w:ascii="仿宋" w:eastAsia="仿宋" w:hAnsi="仿宋" w:hint="eastAsia"/>
          <w:color w:val="000000" w:themeColor="text1"/>
          <w:sz w:val="28"/>
          <w:szCs w:val="28"/>
        </w:rPr>
        <w:t xml:space="preserve"> 对于创新型产品、产品投资标的发生异常变动的产品以及包含有《指引》第四十一条指出的特殊因素的产品（简称“特别基金”），需审慎评估其风险等级，最终评级结果可根据产品具体情况进行一定程度的修</w:t>
      </w:r>
      <w:r>
        <w:rPr>
          <w:rFonts w:ascii="仿宋" w:eastAsia="仿宋" w:hAnsi="仿宋" w:hint="eastAsia"/>
          <w:sz w:val="28"/>
          <w:szCs w:val="28"/>
        </w:rPr>
        <w:t>正。</w:t>
      </w:r>
    </w:p>
    <w:p w:rsidR="00192EA5" w:rsidRDefault="005C0BF8">
      <w:pPr>
        <w:spacing w:line="560" w:lineRule="exact"/>
        <w:ind w:firstLine="420"/>
        <w:rPr>
          <w:rFonts w:ascii="仿宋" w:eastAsia="仿宋" w:hAnsi="仿宋"/>
          <w:color w:val="000000" w:themeColor="text1"/>
          <w:sz w:val="28"/>
          <w:szCs w:val="28"/>
        </w:rPr>
      </w:pPr>
      <w:r>
        <w:rPr>
          <w:rFonts w:ascii="仿宋" w:eastAsia="仿宋" w:hAnsi="仿宋" w:hint="eastAsia"/>
          <w:b/>
          <w:color w:val="000000" w:themeColor="text1"/>
          <w:sz w:val="28"/>
          <w:szCs w:val="28"/>
        </w:rPr>
        <w:t>第五</w:t>
      </w:r>
      <w:r>
        <w:rPr>
          <w:rFonts w:ascii="仿宋" w:eastAsia="仿宋" w:hAnsi="仿宋"/>
          <w:b/>
          <w:color w:val="000000" w:themeColor="text1"/>
          <w:sz w:val="28"/>
          <w:szCs w:val="28"/>
        </w:rPr>
        <w:t>条</w:t>
      </w:r>
      <w:r>
        <w:rPr>
          <w:rFonts w:ascii="仿宋" w:eastAsia="仿宋" w:hAnsi="仿宋" w:hint="eastAsia"/>
          <w:b/>
          <w:color w:val="000000" w:themeColor="text1"/>
          <w:sz w:val="28"/>
          <w:szCs w:val="28"/>
        </w:rPr>
        <w:t xml:space="preserve"> </w:t>
      </w:r>
      <w:r>
        <w:rPr>
          <w:rFonts w:ascii="仿宋" w:eastAsia="仿宋" w:hAnsi="仿宋" w:hint="eastAsia"/>
          <w:color w:val="000000" w:themeColor="text1"/>
          <w:sz w:val="28"/>
          <w:szCs w:val="28"/>
        </w:rPr>
        <w:t xml:space="preserve"> 产品的风险等级</w:t>
      </w:r>
      <w:r>
        <w:rPr>
          <w:rFonts w:ascii="仿宋" w:eastAsia="仿宋" w:hAnsi="仿宋"/>
          <w:color w:val="000000" w:themeColor="text1"/>
          <w:sz w:val="28"/>
          <w:szCs w:val="28"/>
        </w:rPr>
        <w:t>按照风险</w:t>
      </w:r>
      <w:r>
        <w:rPr>
          <w:rFonts w:ascii="仿宋" w:eastAsia="仿宋" w:hAnsi="仿宋" w:hint="eastAsia"/>
          <w:color w:val="000000" w:themeColor="text1"/>
          <w:sz w:val="28"/>
          <w:szCs w:val="28"/>
        </w:rPr>
        <w:t>由低到高</w:t>
      </w:r>
      <w:r>
        <w:rPr>
          <w:rFonts w:ascii="仿宋" w:eastAsia="仿宋" w:hAnsi="仿宋"/>
          <w:color w:val="000000" w:themeColor="text1"/>
          <w:sz w:val="28"/>
          <w:szCs w:val="28"/>
        </w:rPr>
        <w:t>顺序，划分为R1、 R2、R3、R4、</w:t>
      </w:r>
      <w:r>
        <w:rPr>
          <w:rFonts w:ascii="仿宋" w:eastAsia="仿宋" w:hAnsi="仿宋" w:hint="eastAsia"/>
          <w:color w:val="000000" w:themeColor="text1"/>
          <w:sz w:val="28"/>
          <w:szCs w:val="28"/>
        </w:rPr>
        <w:t>R</w:t>
      </w:r>
      <w:r>
        <w:rPr>
          <w:rFonts w:ascii="仿宋" w:eastAsia="仿宋" w:hAnsi="仿宋"/>
          <w:color w:val="000000" w:themeColor="text1"/>
          <w:sz w:val="28"/>
          <w:szCs w:val="28"/>
        </w:rPr>
        <w:t>5五个等级。</w:t>
      </w:r>
    </w:p>
    <w:p w:rsidR="00192EA5" w:rsidRDefault="005C0BF8">
      <w:pPr>
        <w:spacing w:line="560" w:lineRule="exact"/>
        <w:ind w:firstLine="420"/>
        <w:rPr>
          <w:rFonts w:ascii="仿宋" w:eastAsia="仿宋" w:hAnsi="仿宋"/>
          <w:sz w:val="28"/>
          <w:szCs w:val="28"/>
        </w:rPr>
      </w:pPr>
      <w:r>
        <w:rPr>
          <w:rFonts w:ascii="仿宋" w:eastAsia="仿宋" w:hAnsi="仿宋" w:hint="eastAsia"/>
          <w:b/>
          <w:color w:val="000000" w:themeColor="text1"/>
          <w:sz w:val="28"/>
          <w:szCs w:val="28"/>
        </w:rPr>
        <w:t>第六</w:t>
      </w:r>
      <w:r>
        <w:rPr>
          <w:rFonts w:ascii="仿宋" w:eastAsia="仿宋" w:hAnsi="仿宋"/>
          <w:b/>
          <w:color w:val="000000" w:themeColor="text1"/>
          <w:sz w:val="28"/>
          <w:szCs w:val="28"/>
        </w:rPr>
        <w:t>条</w:t>
      </w:r>
      <w:r>
        <w:rPr>
          <w:rFonts w:ascii="仿宋" w:eastAsia="仿宋" w:hAnsi="仿宋" w:hint="eastAsia"/>
          <w:b/>
          <w:color w:val="000000" w:themeColor="text1"/>
          <w:sz w:val="28"/>
          <w:szCs w:val="28"/>
        </w:rPr>
        <w:t xml:space="preserve"> </w:t>
      </w:r>
      <w:r>
        <w:rPr>
          <w:rFonts w:ascii="仿宋" w:eastAsia="仿宋" w:hAnsi="仿宋" w:hint="eastAsia"/>
          <w:color w:val="000000" w:themeColor="text1"/>
          <w:sz w:val="28"/>
          <w:szCs w:val="28"/>
        </w:rPr>
        <w:t xml:space="preserve"> 定性指标</w:t>
      </w:r>
      <w:r>
        <w:rPr>
          <w:rFonts w:ascii="仿宋" w:eastAsia="仿宋" w:hAnsi="仿宋" w:hint="eastAsia"/>
          <w:sz w:val="28"/>
          <w:szCs w:val="28"/>
        </w:rPr>
        <w:t>包括但不限于基金经理的稳定性，基金经理或产品成立以来有无违规行为发生,同业同类产品的风险评级，以及基金经理管理的其他同类产品的风险评级等其他与产品风险评级相关的因素。</w:t>
      </w:r>
    </w:p>
    <w:p w:rsidR="00192EA5" w:rsidRDefault="005C0BF8">
      <w:pPr>
        <w:spacing w:line="560" w:lineRule="exact"/>
        <w:ind w:firstLine="420"/>
        <w:rPr>
          <w:rFonts w:ascii="仿宋" w:eastAsia="仿宋" w:hAnsi="仿宋"/>
          <w:color w:val="000000" w:themeColor="text1"/>
          <w:sz w:val="28"/>
          <w:szCs w:val="28"/>
        </w:rPr>
      </w:pPr>
      <w:r>
        <w:rPr>
          <w:rFonts w:ascii="仿宋" w:eastAsia="仿宋" w:hAnsi="仿宋" w:hint="eastAsia"/>
          <w:b/>
          <w:color w:val="000000" w:themeColor="text1"/>
          <w:sz w:val="28"/>
          <w:szCs w:val="28"/>
        </w:rPr>
        <w:t>第七</w:t>
      </w:r>
      <w:r>
        <w:rPr>
          <w:rFonts w:ascii="仿宋" w:eastAsia="仿宋" w:hAnsi="仿宋"/>
          <w:b/>
          <w:color w:val="000000" w:themeColor="text1"/>
          <w:sz w:val="28"/>
          <w:szCs w:val="28"/>
        </w:rPr>
        <w:t>条</w:t>
      </w:r>
      <w:r>
        <w:rPr>
          <w:rFonts w:ascii="仿宋" w:eastAsia="仿宋" w:hAnsi="仿宋" w:hint="eastAsia"/>
          <w:b/>
          <w:color w:val="000000" w:themeColor="text1"/>
          <w:sz w:val="28"/>
          <w:szCs w:val="28"/>
        </w:rPr>
        <w:t xml:space="preserve"> </w:t>
      </w:r>
      <w:r>
        <w:rPr>
          <w:rFonts w:ascii="仿宋" w:eastAsia="仿宋" w:hAnsi="仿宋" w:hint="eastAsia"/>
          <w:color w:val="000000" w:themeColor="text1"/>
          <w:sz w:val="28"/>
          <w:szCs w:val="28"/>
        </w:rPr>
        <w:t xml:space="preserve"> 定量指标分为基金产品合同风险评分和</w:t>
      </w:r>
      <w:r>
        <w:rPr>
          <w:rFonts w:ascii="仿宋" w:eastAsia="仿宋" w:hAnsi="仿宋"/>
          <w:color w:val="000000" w:themeColor="text1"/>
          <w:sz w:val="28"/>
          <w:szCs w:val="28"/>
        </w:rPr>
        <w:t>存续期风险评分</w:t>
      </w:r>
      <w:r>
        <w:rPr>
          <w:rFonts w:ascii="仿宋" w:eastAsia="仿宋" w:hAnsi="仿宋" w:hint="eastAsia"/>
          <w:color w:val="000000" w:themeColor="text1"/>
          <w:sz w:val="28"/>
          <w:szCs w:val="28"/>
        </w:rPr>
        <w:t>两部分</w:t>
      </w:r>
      <w:r>
        <w:rPr>
          <w:rFonts w:ascii="仿宋" w:eastAsia="仿宋" w:hAnsi="仿宋"/>
          <w:color w:val="000000" w:themeColor="text1"/>
          <w:sz w:val="28"/>
          <w:szCs w:val="28"/>
        </w:rPr>
        <w:t>。</w:t>
      </w:r>
      <w:r>
        <w:rPr>
          <w:rFonts w:ascii="仿宋" w:eastAsia="仿宋" w:hAnsi="仿宋" w:hint="eastAsia"/>
          <w:color w:val="000000" w:themeColor="text1"/>
          <w:sz w:val="28"/>
          <w:szCs w:val="28"/>
        </w:rPr>
        <w:t>根据《指引》第四十条、第四十二条内容，结合公司实际对评估因素进行增删调整，评估因素如下：</w:t>
      </w:r>
    </w:p>
    <w:p w:rsidR="00192EA5" w:rsidRDefault="005C0BF8">
      <w:pPr>
        <w:spacing w:line="560" w:lineRule="exact"/>
        <w:ind w:firstLine="420"/>
        <w:rPr>
          <w:rFonts w:ascii="仿宋" w:eastAsia="仿宋" w:hAnsi="仿宋"/>
          <w:color w:val="000000" w:themeColor="text1"/>
          <w:sz w:val="28"/>
          <w:szCs w:val="28"/>
        </w:rPr>
      </w:pPr>
      <w:r>
        <w:rPr>
          <w:rFonts w:ascii="仿宋" w:eastAsia="仿宋" w:hAnsi="仿宋" w:hint="eastAsia"/>
          <w:color w:val="000000" w:themeColor="text1"/>
          <w:sz w:val="28"/>
          <w:szCs w:val="28"/>
        </w:rPr>
        <w:t>基金产品合同风险评分主要依据基金合同中的</w:t>
      </w:r>
      <w:r>
        <w:rPr>
          <w:rFonts w:ascii="仿宋" w:eastAsia="仿宋" w:hAnsi="仿宋"/>
          <w:color w:val="000000" w:themeColor="text1"/>
          <w:sz w:val="28"/>
          <w:szCs w:val="28"/>
        </w:rPr>
        <w:t>投资品种</w:t>
      </w:r>
      <w:r>
        <w:rPr>
          <w:rFonts w:ascii="仿宋" w:eastAsia="仿宋" w:hAnsi="仿宋" w:hint="eastAsia"/>
          <w:color w:val="000000" w:themeColor="text1"/>
          <w:sz w:val="28"/>
          <w:szCs w:val="28"/>
        </w:rPr>
        <w:t>、</w:t>
      </w:r>
      <w:r>
        <w:rPr>
          <w:rFonts w:ascii="仿宋" w:eastAsia="仿宋" w:hAnsi="仿宋"/>
          <w:color w:val="000000" w:themeColor="text1"/>
          <w:sz w:val="28"/>
          <w:szCs w:val="28"/>
        </w:rPr>
        <w:t>投资范围</w:t>
      </w:r>
      <w:r>
        <w:rPr>
          <w:rFonts w:ascii="仿宋" w:eastAsia="仿宋" w:hAnsi="仿宋" w:hint="eastAsia"/>
          <w:color w:val="000000" w:themeColor="text1"/>
          <w:sz w:val="28"/>
          <w:szCs w:val="28"/>
        </w:rPr>
        <w:t>及其他要素，同时结合中国银河证券基金研究中心对基金类型的划分体系进行分类评分。</w:t>
      </w:r>
    </w:p>
    <w:p w:rsidR="00192EA5" w:rsidRDefault="005C0BF8">
      <w:pPr>
        <w:spacing w:line="560" w:lineRule="exact"/>
        <w:ind w:firstLine="420"/>
        <w:rPr>
          <w:rFonts w:ascii="仿宋" w:eastAsia="仿宋" w:hAnsi="仿宋"/>
          <w:color w:val="000000" w:themeColor="text1"/>
          <w:sz w:val="28"/>
          <w:szCs w:val="28"/>
        </w:rPr>
      </w:pPr>
      <w:r>
        <w:rPr>
          <w:rFonts w:ascii="仿宋" w:eastAsia="仿宋" w:hAnsi="仿宋" w:hint="eastAsia"/>
          <w:color w:val="000000" w:themeColor="text1"/>
          <w:sz w:val="28"/>
          <w:szCs w:val="28"/>
        </w:rPr>
        <w:t>存续期风险评分参考的投资指标包括：长短期标准差、长短期贝塔值、风险资产净仓位、重仓证券集中度、杠杆比例、运作方式（产品流动性）、投资者盈亏体验（成立以来收益率、滚动收益率、滚动最大回撤）。</w:t>
      </w:r>
    </w:p>
    <w:p w:rsidR="00192EA5" w:rsidRDefault="005C0BF8">
      <w:pPr>
        <w:spacing w:line="560" w:lineRule="exact"/>
        <w:ind w:firstLine="420"/>
        <w:rPr>
          <w:rFonts w:ascii="仿宋" w:eastAsia="仿宋" w:hAnsi="仿宋"/>
          <w:color w:val="000000" w:themeColor="text1"/>
          <w:sz w:val="28"/>
          <w:szCs w:val="28"/>
        </w:rPr>
      </w:pPr>
      <w:r>
        <w:rPr>
          <w:rFonts w:ascii="仿宋" w:eastAsia="仿宋" w:hAnsi="仿宋" w:hint="eastAsia"/>
          <w:b/>
          <w:color w:val="000000" w:themeColor="text1"/>
          <w:sz w:val="28"/>
          <w:szCs w:val="28"/>
        </w:rPr>
        <w:t xml:space="preserve">第八条 </w:t>
      </w:r>
      <w:r>
        <w:rPr>
          <w:rFonts w:ascii="仿宋" w:eastAsia="仿宋" w:hAnsi="仿宋"/>
          <w:b/>
          <w:color w:val="000000" w:themeColor="text1"/>
          <w:sz w:val="28"/>
          <w:szCs w:val="28"/>
        </w:rPr>
        <w:t xml:space="preserve"> </w:t>
      </w:r>
      <w:r>
        <w:rPr>
          <w:rFonts w:ascii="仿宋" w:eastAsia="仿宋" w:hAnsi="仿宋" w:hint="eastAsia"/>
          <w:color w:val="000000" w:themeColor="text1"/>
          <w:sz w:val="28"/>
          <w:szCs w:val="28"/>
        </w:rPr>
        <w:t>对于新成立、设立不满</w:t>
      </w:r>
      <w:r>
        <w:rPr>
          <w:rFonts w:ascii="仿宋" w:eastAsia="仿宋" w:hAnsi="仿宋"/>
          <w:color w:val="000000" w:themeColor="text1"/>
          <w:sz w:val="28"/>
          <w:szCs w:val="28"/>
        </w:rPr>
        <w:t>3个月的基金</w:t>
      </w:r>
      <w:r>
        <w:rPr>
          <w:rFonts w:ascii="仿宋" w:eastAsia="仿宋" w:hAnsi="仿宋" w:hint="eastAsia"/>
          <w:color w:val="000000" w:themeColor="text1"/>
          <w:sz w:val="28"/>
          <w:szCs w:val="28"/>
        </w:rPr>
        <w:t>，主要根据基金产品合同风险评分进行风险等级划分；对设立满</w:t>
      </w:r>
      <w:r>
        <w:rPr>
          <w:rFonts w:ascii="仿宋" w:eastAsia="仿宋" w:hAnsi="仿宋"/>
          <w:color w:val="000000" w:themeColor="text1"/>
          <w:sz w:val="28"/>
          <w:szCs w:val="28"/>
        </w:rPr>
        <w:t>3个月但不满15个月的基金，根据</w:t>
      </w:r>
      <w:r>
        <w:rPr>
          <w:rFonts w:ascii="仿宋" w:eastAsia="仿宋" w:hAnsi="仿宋" w:hint="eastAsia"/>
          <w:color w:val="000000" w:themeColor="text1"/>
          <w:sz w:val="28"/>
          <w:szCs w:val="28"/>
        </w:rPr>
        <w:t>“</w:t>
      </w:r>
      <w:r>
        <w:rPr>
          <w:rFonts w:ascii="仿宋" w:eastAsia="仿宋" w:hAnsi="仿宋"/>
          <w:color w:val="000000" w:themeColor="text1"/>
          <w:sz w:val="28"/>
          <w:szCs w:val="28"/>
        </w:rPr>
        <w:t>40%×基金产品合同风险评分+60%×存续期风险评分</w:t>
      </w:r>
      <w:r>
        <w:rPr>
          <w:rFonts w:ascii="仿宋" w:eastAsia="仿宋" w:hAnsi="仿宋" w:hint="eastAsia"/>
          <w:color w:val="000000" w:themeColor="text1"/>
          <w:sz w:val="28"/>
          <w:szCs w:val="28"/>
        </w:rPr>
        <w:t>”</w:t>
      </w:r>
      <w:r>
        <w:rPr>
          <w:rFonts w:ascii="仿宋" w:eastAsia="仿宋" w:hAnsi="仿宋"/>
          <w:color w:val="000000" w:themeColor="text1"/>
          <w:sz w:val="28"/>
          <w:szCs w:val="28"/>
        </w:rPr>
        <w:t>所得总分进行风险等级划分；对设立15个月以上的基金，根据</w:t>
      </w:r>
      <w:r>
        <w:rPr>
          <w:rFonts w:ascii="仿宋" w:eastAsia="仿宋" w:hAnsi="仿宋" w:hint="eastAsia"/>
          <w:color w:val="000000" w:themeColor="text1"/>
          <w:sz w:val="28"/>
          <w:szCs w:val="28"/>
        </w:rPr>
        <w:t>“</w:t>
      </w:r>
      <w:r>
        <w:rPr>
          <w:rFonts w:ascii="仿宋" w:eastAsia="仿宋" w:hAnsi="仿宋"/>
          <w:color w:val="000000" w:themeColor="text1"/>
          <w:sz w:val="28"/>
          <w:szCs w:val="28"/>
        </w:rPr>
        <w:t>20%×基金产品合同风险评分+80%×存续期风险评分</w:t>
      </w:r>
      <w:r>
        <w:rPr>
          <w:rFonts w:ascii="仿宋" w:eastAsia="仿宋" w:hAnsi="仿宋" w:hint="eastAsia"/>
          <w:color w:val="000000" w:themeColor="text1"/>
          <w:sz w:val="28"/>
          <w:szCs w:val="28"/>
        </w:rPr>
        <w:t>”</w:t>
      </w:r>
      <w:r>
        <w:rPr>
          <w:rFonts w:ascii="仿宋" w:eastAsia="仿宋" w:hAnsi="仿宋"/>
          <w:color w:val="000000" w:themeColor="text1"/>
          <w:sz w:val="28"/>
          <w:szCs w:val="28"/>
        </w:rPr>
        <w:t>所得总分进行风险等级划分</w:t>
      </w:r>
      <w:r>
        <w:rPr>
          <w:rFonts w:ascii="仿宋" w:eastAsia="仿宋" w:hAnsi="仿宋" w:hint="eastAsia"/>
          <w:color w:val="000000" w:themeColor="text1"/>
          <w:sz w:val="28"/>
          <w:szCs w:val="28"/>
        </w:rPr>
        <w:t>，</w:t>
      </w:r>
      <w:r>
        <w:rPr>
          <w:rFonts w:ascii="仿宋" w:eastAsia="仿宋" w:hAnsi="仿宋"/>
          <w:color w:val="000000" w:themeColor="text1"/>
          <w:sz w:val="28"/>
          <w:szCs w:val="28"/>
        </w:rPr>
        <w:t>使基金的风险评级结果更贴合实际表现</w:t>
      </w:r>
      <w:r>
        <w:rPr>
          <w:rFonts w:ascii="仿宋" w:eastAsia="仿宋" w:hAnsi="仿宋" w:hint="eastAsia"/>
          <w:color w:val="000000" w:themeColor="text1"/>
          <w:sz w:val="28"/>
          <w:szCs w:val="28"/>
        </w:rPr>
        <w:t>。</w:t>
      </w:r>
    </w:p>
    <w:p w:rsidR="00192EA5" w:rsidRDefault="005C0BF8">
      <w:pPr>
        <w:spacing w:line="560" w:lineRule="exact"/>
        <w:ind w:firstLine="420"/>
        <w:rPr>
          <w:rFonts w:ascii="仿宋" w:eastAsia="仿宋" w:hAnsi="仿宋"/>
          <w:color w:val="000000" w:themeColor="text1"/>
          <w:sz w:val="28"/>
          <w:szCs w:val="28"/>
        </w:rPr>
      </w:pPr>
      <w:r>
        <w:rPr>
          <w:rFonts w:ascii="仿宋" w:eastAsia="仿宋" w:hAnsi="仿宋" w:hint="eastAsia"/>
          <w:b/>
          <w:color w:val="000000" w:themeColor="text1"/>
          <w:sz w:val="28"/>
          <w:szCs w:val="28"/>
        </w:rPr>
        <w:t xml:space="preserve">第九条 </w:t>
      </w:r>
      <w:r>
        <w:rPr>
          <w:rFonts w:ascii="仿宋" w:eastAsia="仿宋" w:hAnsi="仿宋"/>
          <w:b/>
          <w:color w:val="000000" w:themeColor="text1"/>
          <w:sz w:val="28"/>
          <w:szCs w:val="28"/>
        </w:rPr>
        <w:t xml:space="preserve"> </w:t>
      </w:r>
      <w:r>
        <w:rPr>
          <w:rFonts w:ascii="仿宋" w:eastAsia="仿宋" w:hAnsi="仿宋" w:hint="eastAsia"/>
          <w:color w:val="000000" w:themeColor="text1"/>
          <w:sz w:val="28"/>
          <w:szCs w:val="28"/>
        </w:rPr>
        <w:t>基金产品风险评分</w:t>
      </w:r>
    </w:p>
    <w:p w:rsidR="00192EA5" w:rsidRDefault="005C0BF8" w:rsidP="00A14CAE">
      <w:pPr>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按照证监会相关规定对基金分类，参考银河分类对基金产品如下分类评分，参考的指标包括但不限于产品内的投资范围、投资比例、投资策略、投资限制、结构复杂性、风险业绩特征。具体基金产品的风险等级划分则根据实际的风险情况进行确定。对于业绩比较基准指数标准差、贝塔值、最大回撤、投资者盈亏等指标超过产品所属分类初始评级水平的基金，可以适当调整其评分。对于特别基金，可以适当调整其评分。各基金产品类型的风险评价区间如下：</w:t>
      </w:r>
    </w:p>
    <w:p w:rsidR="00192EA5" w:rsidRDefault="005C0BF8">
      <w:pPr>
        <w:widowControl/>
        <w:shd w:val="clear" w:color="auto" w:fill="FFFFFF"/>
        <w:spacing w:before="225" w:after="225"/>
        <w:ind w:firstLine="315"/>
        <w:jc w:val="center"/>
        <w:textAlignment w:val="baseline"/>
        <w:rPr>
          <w:rFonts w:ascii="Arial" w:eastAsia="宋体" w:hAnsi="Arial" w:cs="Arial"/>
          <w:color w:val="333333"/>
          <w:kern w:val="0"/>
          <w:szCs w:val="21"/>
        </w:rPr>
      </w:pPr>
      <w:bookmarkStart w:id="0" w:name="_GoBack"/>
      <w:r>
        <w:rPr>
          <w:rFonts w:ascii="宋体" w:eastAsia="宋体" w:hAnsi="宋体" w:cs="Arial" w:hint="eastAsia"/>
          <w:color w:val="333333"/>
          <w:kern w:val="0"/>
          <w:szCs w:val="21"/>
        </w:rPr>
        <w:t>表1：基金产品风险评价区间</w:t>
      </w:r>
    </w:p>
    <w:tbl>
      <w:tblPr>
        <w:tblW w:w="5000" w:type="pct"/>
        <w:jc w:val="center"/>
        <w:tblLook w:val="04A0"/>
      </w:tblPr>
      <w:tblGrid>
        <w:gridCol w:w="2323"/>
        <w:gridCol w:w="3061"/>
        <w:gridCol w:w="3138"/>
      </w:tblGrid>
      <w:tr w:rsidR="00192EA5">
        <w:trPr>
          <w:trHeight w:val="765"/>
          <w:jc w:val="center"/>
        </w:trPr>
        <w:tc>
          <w:tcPr>
            <w:tcW w:w="1363" w:type="pct"/>
            <w:tcBorders>
              <w:top w:val="single" w:sz="8" w:space="0" w:color="000000"/>
              <w:left w:val="single" w:sz="8" w:space="0" w:color="000000"/>
              <w:bottom w:val="single" w:sz="8" w:space="0" w:color="000000"/>
              <w:right w:val="single" w:sz="8" w:space="0" w:color="000000"/>
            </w:tcBorders>
            <w:shd w:val="clear" w:color="auto" w:fill="auto"/>
            <w:vAlign w:val="center"/>
          </w:tcPr>
          <w:bookmarkEnd w:id="0"/>
          <w:p w:rsidR="00192EA5" w:rsidRDefault="005C0BF8">
            <w:pPr>
              <w:widowControl/>
              <w:spacing w:line="560" w:lineRule="exact"/>
              <w:jc w:val="center"/>
              <w:rPr>
                <w:rFonts w:ascii="仿宋_GB2312" w:eastAsia="仿宋_GB2312" w:hAnsi="等线" w:cs="宋体"/>
                <w:b/>
                <w:color w:val="000000" w:themeColor="text1"/>
                <w:kern w:val="0"/>
                <w:sz w:val="24"/>
                <w:szCs w:val="24"/>
              </w:rPr>
            </w:pPr>
            <w:r>
              <w:rPr>
                <w:rFonts w:ascii="仿宋_GB2312" w:eastAsia="仿宋_GB2312" w:hAnsi="等线" w:cs="宋体" w:hint="eastAsia"/>
                <w:b/>
                <w:color w:val="000000" w:themeColor="text1"/>
                <w:kern w:val="0"/>
                <w:sz w:val="24"/>
                <w:szCs w:val="24"/>
              </w:rPr>
              <w:t>一级分类</w:t>
            </w:r>
          </w:p>
        </w:tc>
        <w:tc>
          <w:tcPr>
            <w:tcW w:w="1796" w:type="pct"/>
            <w:tcBorders>
              <w:top w:val="single" w:sz="8" w:space="0" w:color="000000"/>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b/>
                <w:color w:val="000000" w:themeColor="text1"/>
                <w:kern w:val="0"/>
                <w:sz w:val="24"/>
                <w:szCs w:val="24"/>
              </w:rPr>
            </w:pPr>
            <w:r>
              <w:rPr>
                <w:rFonts w:ascii="仿宋_GB2312" w:eastAsia="仿宋_GB2312" w:hAnsi="等线" w:cs="宋体" w:hint="eastAsia"/>
                <w:b/>
                <w:color w:val="000000" w:themeColor="text1"/>
                <w:kern w:val="0"/>
                <w:sz w:val="24"/>
                <w:szCs w:val="24"/>
              </w:rPr>
              <w:t>二级分类</w:t>
            </w:r>
          </w:p>
        </w:tc>
        <w:tc>
          <w:tcPr>
            <w:tcW w:w="1841" w:type="pct"/>
            <w:tcBorders>
              <w:top w:val="single" w:sz="8" w:space="0" w:color="000000"/>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b/>
                <w:color w:val="000000" w:themeColor="text1"/>
                <w:kern w:val="0"/>
                <w:sz w:val="24"/>
                <w:szCs w:val="24"/>
              </w:rPr>
            </w:pPr>
            <w:r>
              <w:rPr>
                <w:rFonts w:ascii="仿宋_GB2312" w:eastAsia="仿宋_GB2312" w:hAnsi="等线" w:cs="宋体" w:hint="eastAsia"/>
                <w:b/>
                <w:color w:val="000000" w:themeColor="text1"/>
                <w:kern w:val="0"/>
                <w:sz w:val="24"/>
                <w:szCs w:val="24"/>
              </w:rPr>
              <w:t>等级区间</w:t>
            </w:r>
          </w:p>
        </w:tc>
      </w:tr>
      <w:tr w:rsidR="00192EA5">
        <w:trPr>
          <w:trHeight w:val="765"/>
          <w:jc w:val="center"/>
        </w:trPr>
        <w:tc>
          <w:tcPr>
            <w:tcW w:w="1363" w:type="pct"/>
            <w:vMerge w:val="restart"/>
            <w:tcBorders>
              <w:top w:val="nil"/>
              <w:left w:val="single" w:sz="8" w:space="0" w:color="000000"/>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股票基金</w:t>
            </w:r>
          </w:p>
        </w:tc>
        <w:tc>
          <w:tcPr>
            <w:tcW w:w="1796"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主动股票型</w:t>
            </w:r>
          </w:p>
        </w:tc>
        <w:tc>
          <w:tcPr>
            <w:tcW w:w="1841"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中风险 -</w:t>
            </w:r>
            <w:r>
              <w:rPr>
                <w:rFonts w:ascii="仿宋_GB2312" w:eastAsia="仿宋_GB2312" w:hAnsi="等线" w:cs="宋体"/>
                <w:kern w:val="0"/>
                <w:sz w:val="24"/>
                <w:szCs w:val="24"/>
              </w:rPr>
              <w:t xml:space="preserve"> </w:t>
            </w:r>
            <w:r>
              <w:rPr>
                <w:rFonts w:ascii="仿宋_GB2312" w:eastAsia="仿宋_GB2312" w:hAnsi="等线" w:cs="宋体" w:hint="eastAsia"/>
                <w:kern w:val="0"/>
                <w:sz w:val="24"/>
                <w:szCs w:val="24"/>
              </w:rPr>
              <w:t>中高风险</w:t>
            </w:r>
          </w:p>
        </w:tc>
      </w:tr>
      <w:tr w:rsidR="00192EA5">
        <w:trPr>
          <w:trHeight w:val="765"/>
          <w:jc w:val="center"/>
        </w:trPr>
        <w:tc>
          <w:tcPr>
            <w:tcW w:w="1363" w:type="pct"/>
            <w:vMerge/>
            <w:tcBorders>
              <w:top w:val="nil"/>
              <w:left w:val="single" w:sz="8" w:space="0" w:color="000000"/>
              <w:bottom w:val="single" w:sz="8" w:space="0" w:color="000000"/>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指数股票型</w:t>
            </w:r>
          </w:p>
        </w:tc>
        <w:tc>
          <w:tcPr>
            <w:tcW w:w="1841"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中风险 -</w:t>
            </w:r>
            <w:r>
              <w:rPr>
                <w:rFonts w:ascii="仿宋_GB2312" w:eastAsia="仿宋_GB2312" w:hAnsi="等线" w:cs="宋体"/>
                <w:kern w:val="0"/>
                <w:sz w:val="24"/>
                <w:szCs w:val="24"/>
              </w:rPr>
              <w:t xml:space="preserve"> </w:t>
            </w:r>
            <w:r>
              <w:rPr>
                <w:rFonts w:ascii="仿宋_GB2312" w:eastAsia="仿宋_GB2312" w:hAnsi="等线" w:cs="宋体" w:hint="eastAsia"/>
                <w:kern w:val="0"/>
                <w:sz w:val="24"/>
                <w:szCs w:val="24"/>
              </w:rPr>
              <w:t>中高风险</w:t>
            </w:r>
          </w:p>
        </w:tc>
      </w:tr>
      <w:tr w:rsidR="00192EA5">
        <w:trPr>
          <w:trHeight w:val="765"/>
          <w:jc w:val="center"/>
        </w:trPr>
        <w:tc>
          <w:tcPr>
            <w:tcW w:w="1363" w:type="pct"/>
            <w:vMerge w:val="restart"/>
            <w:tcBorders>
              <w:top w:val="nil"/>
              <w:left w:val="single" w:sz="8" w:space="0" w:color="000000"/>
              <w:bottom w:val="nil"/>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混合基金</w:t>
            </w:r>
          </w:p>
        </w:tc>
        <w:tc>
          <w:tcPr>
            <w:tcW w:w="1796"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偏股型基金</w:t>
            </w:r>
          </w:p>
        </w:tc>
        <w:tc>
          <w:tcPr>
            <w:tcW w:w="1841" w:type="pct"/>
            <w:vMerge w:val="restart"/>
            <w:tcBorders>
              <w:top w:val="nil"/>
              <w:left w:val="single" w:sz="8" w:space="0" w:color="000000"/>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 xml:space="preserve">中风险 </w:t>
            </w:r>
            <w:r>
              <w:rPr>
                <w:rFonts w:ascii="仿宋_GB2312" w:eastAsia="仿宋_GB2312" w:hAnsi="等线" w:cs="宋体"/>
                <w:kern w:val="0"/>
                <w:sz w:val="24"/>
                <w:szCs w:val="24"/>
              </w:rPr>
              <w:t>–</w:t>
            </w:r>
            <w:r>
              <w:rPr>
                <w:rFonts w:ascii="仿宋_GB2312" w:eastAsia="仿宋_GB2312" w:hAnsi="等线" w:cs="宋体"/>
                <w:kern w:val="0"/>
                <w:sz w:val="24"/>
                <w:szCs w:val="24"/>
              </w:rPr>
              <w:t xml:space="preserve"> </w:t>
            </w:r>
            <w:r>
              <w:rPr>
                <w:rFonts w:ascii="仿宋_GB2312" w:eastAsia="仿宋_GB2312" w:hAnsi="等线" w:cs="宋体" w:hint="eastAsia"/>
                <w:kern w:val="0"/>
                <w:sz w:val="24"/>
                <w:szCs w:val="24"/>
              </w:rPr>
              <w:t>中高风险</w:t>
            </w:r>
          </w:p>
        </w:tc>
      </w:tr>
      <w:tr w:rsidR="00192EA5">
        <w:trPr>
          <w:trHeight w:val="765"/>
          <w:jc w:val="center"/>
        </w:trPr>
        <w:tc>
          <w:tcPr>
            <w:tcW w:w="1363" w:type="pct"/>
            <w:vMerge/>
            <w:tcBorders>
              <w:top w:val="nil"/>
              <w:left w:val="single" w:sz="8" w:space="0" w:color="000000"/>
              <w:bottom w:val="nil"/>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灵活配置型基金</w:t>
            </w:r>
          </w:p>
        </w:tc>
        <w:tc>
          <w:tcPr>
            <w:tcW w:w="1841" w:type="pct"/>
            <w:vMerge/>
            <w:tcBorders>
              <w:top w:val="nil"/>
              <w:left w:val="single" w:sz="8" w:space="0" w:color="000000"/>
              <w:bottom w:val="single" w:sz="8" w:space="0" w:color="000000"/>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r>
      <w:tr w:rsidR="00192EA5">
        <w:trPr>
          <w:trHeight w:val="765"/>
          <w:jc w:val="center"/>
        </w:trPr>
        <w:tc>
          <w:tcPr>
            <w:tcW w:w="1363" w:type="pct"/>
            <w:vMerge/>
            <w:tcBorders>
              <w:top w:val="nil"/>
              <w:left w:val="single" w:sz="8" w:space="0" w:color="000000"/>
              <w:bottom w:val="nil"/>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股债平衡型基金</w:t>
            </w:r>
          </w:p>
        </w:tc>
        <w:tc>
          <w:tcPr>
            <w:tcW w:w="1841" w:type="pct"/>
            <w:vMerge/>
            <w:tcBorders>
              <w:top w:val="nil"/>
              <w:left w:val="single" w:sz="8" w:space="0" w:color="000000"/>
              <w:bottom w:val="single" w:sz="8" w:space="0" w:color="000000"/>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r>
      <w:tr w:rsidR="00192EA5">
        <w:trPr>
          <w:trHeight w:val="765"/>
          <w:jc w:val="center"/>
        </w:trPr>
        <w:tc>
          <w:tcPr>
            <w:tcW w:w="1363" w:type="pct"/>
            <w:vMerge/>
            <w:tcBorders>
              <w:top w:val="nil"/>
              <w:left w:val="single" w:sz="8" w:space="0" w:color="000000"/>
              <w:bottom w:val="nil"/>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nil"/>
              <w:left w:val="nil"/>
              <w:bottom w:val="single" w:sz="8" w:space="0" w:color="000000"/>
              <w:right w:val="nil"/>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偏债型基金</w:t>
            </w:r>
          </w:p>
        </w:tc>
        <w:tc>
          <w:tcPr>
            <w:tcW w:w="1841" w:type="pct"/>
            <w:vMerge w:val="restart"/>
            <w:tcBorders>
              <w:top w:val="nil"/>
              <w:left w:val="single" w:sz="8" w:space="0" w:color="auto"/>
              <w:bottom w:val="single" w:sz="8" w:space="0" w:color="000000"/>
              <w:right w:val="single" w:sz="8" w:space="0" w:color="auto"/>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 xml:space="preserve">中低风险 </w:t>
            </w:r>
            <w:r>
              <w:rPr>
                <w:rFonts w:ascii="仿宋_GB2312" w:eastAsia="仿宋_GB2312" w:hAnsi="等线" w:cs="宋体"/>
                <w:color w:val="000000" w:themeColor="text1"/>
                <w:kern w:val="0"/>
                <w:sz w:val="24"/>
                <w:szCs w:val="24"/>
              </w:rPr>
              <w:t>–</w:t>
            </w:r>
            <w:r>
              <w:rPr>
                <w:rFonts w:ascii="仿宋_GB2312" w:eastAsia="仿宋_GB2312" w:hAnsi="等线" w:cs="宋体"/>
                <w:color w:val="000000" w:themeColor="text1"/>
                <w:kern w:val="0"/>
                <w:sz w:val="24"/>
                <w:szCs w:val="24"/>
              </w:rPr>
              <w:t xml:space="preserve"> </w:t>
            </w:r>
            <w:r>
              <w:rPr>
                <w:rFonts w:ascii="仿宋_GB2312" w:eastAsia="仿宋_GB2312" w:hAnsi="等线" w:cs="宋体" w:hint="eastAsia"/>
                <w:color w:val="000000" w:themeColor="text1"/>
                <w:kern w:val="0"/>
                <w:sz w:val="24"/>
                <w:szCs w:val="24"/>
              </w:rPr>
              <w:t>中风险</w:t>
            </w:r>
          </w:p>
        </w:tc>
      </w:tr>
      <w:tr w:rsidR="00192EA5">
        <w:trPr>
          <w:trHeight w:val="765"/>
          <w:jc w:val="center"/>
        </w:trPr>
        <w:tc>
          <w:tcPr>
            <w:tcW w:w="1363" w:type="pct"/>
            <w:vMerge/>
            <w:tcBorders>
              <w:top w:val="nil"/>
              <w:left w:val="single" w:sz="8" w:space="0" w:color="000000"/>
              <w:bottom w:val="nil"/>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nil"/>
              <w:left w:val="nil"/>
              <w:bottom w:val="single" w:sz="8" w:space="0" w:color="000000"/>
              <w:right w:val="nil"/>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绝对收益目标基金</w:t>
            </w:r>
          </w:p>
        </w:tc>
        <w:tc>
          <w:tcPr>
            <w:tcW w:w="1841" w:type="pct"/>
            <w:vMerge/>
            <w:tcBorders>
              <w:top w:val="nil"/>
              <w:left w:val="single" w:sz="8" w:space="0" w:color="auto"/>
              <w:bottom w:val="single" w:sz="8" w:space="0" w:color="000000"/>
              <w:right w:val="single" w:sz="8" w:space="0" w:color="auto"/>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r>
      <w:tr w:rsidR="00192EA5">
        <w:trPr>
          <w:trHeight w:val="765"/>
          <w:jc w:val="center"/>
        </w:trPr>
        <w:tc>
          <w:tcPr>
            <w:tcW w:w="1363" w:type="pct"/>
            <w:vMerge w:val="restart"/>
            <w:tcBorders>
              <w:top w:val="single" w:sz="8" w:space="0" w:color="000000"/>
              <w:left w:val="single" w:sz="8" w:space="0" w:color="000000"/>
              <w:bottom w:val="nil"/>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债券基金</w:t>
            </w:r>
          </w:p>
        </w:tc>
        <w:tc>
          <w:tcPr>
            <w:tcW w:w="1796"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可转换债券型基金</w:t>
            </w:r>
          </w:p>
        </w:tc>
        <w:tc>
          <w:tcPr>
            <w:tcW w:w="1841"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中风险</w:t>
            </w:r>
          </w:p>
        </w:tc>
      </w:tr>
      <w:tr w:rsidR="00192EA5">
        <w:trPr>
          <w:trHeight w:val="765"/>
          <w:jc w:val="center"/>
        </w:trPr>
        <w:tc>
          <w:tcPr>
            <w:tcW w:w="1363" w:type="pct"/>
            <w:vMerge/>
            <w:tcBorders>
              <w:top w:val="single" w:sz="8" w:space="0" w:color="000000"/>
              <w:left w:val="single" w:sz="8" w:space="0" w:color="000000"/>
              <w:bottom w:val="nil"/>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长期纯债债券型基金</w:t>
            </w:r>
          </w:p>
        </w:tc>
        <w:tc>
          <w:tcPr>
            <w:tcW w:w="1841"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中低风险</w:t>
            </w:r>
          </w:p>
        </w:tc>
      </w:tr>
      <w:tr w:rsidR="00192EA5">
        <w:trPr>
          <w:trHeight w:val="765"/>
          <w:jc w:val="center"/>
        </w:trPr>
        <w:tc>
          <w:tcPr>
            <w:tcW w:w="1363" w:type="pct"/>
            <w:vMerge/>
            <w:tcBorders>
              <w:top w:val="single" w:sz="8" w:space="0" w:color="000000"/>
              <w:left w:val="single" w:sz="8" w:space="0" w:color="000000"/>
              <w:bottom w:val="nil"/>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中短期纯债债券型基金</w:t>
            </w:r>
          </w:p>
        </w:tc>
        <w:tc>
          <w:tcPr>
            <w:tcW w:w="1841"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中低风险</w:t>
            </w:r>
          </w:p>
        </w:tc>
      </w:tr>
      <w:tr w:rsidR="00192EA5">
        <w:trPr>
          <w:trHeight w:val="765"/>
          <w:jc w:val="center"/>
        </w:trPr>
        <w:tc>
          <w:tcPr>
            <w:tcW w:w="1363" w:type="pct"/>
            <w:vMerge/>
            <w:tcBorders>
              <w:top w:val="single" w:sz="8" w:space="0" w:color="000000"/>
              <w:left w:val="single" w:sz="8" w:space="0" w:color="000000"/>
              <w:bottom w:val="nil"/>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普通债券型基金</w:t>
            </w:r>
          </w:p>
        </w:tc>
        <w:tc>
          <w:tcPr>
            <w:tcW w:w="1841"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中低风险</w:t>
            </w:r>
          </w:p>
        </w:tc>
      </w:tr>
      <w:tr w:rsidR="00192EA5">
        <w:trPr>
          <w:trHeight w:val="765"/>
          <w:jc w:val="center"/>
        </w:trPr>
        <w:tc>
          <w:tcPr>
            <w:tcW w:w="1363" w:type="pct"/>
            <w:vMerge/>
            <w:tcBorders>
              <w:top w:val="single" w:sz="8" w:space="0" w:color="000000"/>
              <w:left w:val="single" w:sz="8" w:space="0" w:color="000000"/>
              <w:bottom w:val="nil"/>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指数债券型基金</w:t>
            </w:r>
          </w:p>
        </w:tc>
        <w:tc>
          <w:tcPr>
            <w:tcW w:w="1841"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中低风险</w:t>
            </w:r>
          </w:p>
        </w:tc>
      </w:tr>
      <w:tr w:rsidR="00192EA5">
        <w:trPr>
          <w:trHeight w:val="765"/>
          <w:jc w:val="center"/>
        </w:trPr>
        <w:tc>
          <w:tcPr>
            <w:tcW w:w="1363" w:type="pct"/>
            <w:vMerge/>
            <w:tcBorders>
              <w:top w:val="single" w:sz="8" w:space="0" w:color="000000"/>
              <w:left w:val="single" w:sz="8" w:space="0" w:color="000000"/>
              <w:bottom w:val="nil"/>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nil"/>
              <w:left w:val="nil"/>
              <w:bottom w:val="nil"/>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摊余成本法债券型基金</w:t>
            </w:r>
          </w:p>
        </w:tc>
        <w:tc>
          <w:tcPr>
            <w:tcW w:w="1841"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中低风险</w:t>
            </w:r>
          </w:p>
        </w:tc>
      </w:tr>
      <w:tr w:rsidR="00192EA5">
        <w:trPr>
          <w:trHeight w:val="765"/>
          <w:jc w:val="center"/>
        </w:trPr>
        <w:tc>
          <w:tcPr>
            <w:tcW w:w="1363" w:type="pct"/>
            <w:vMerge/>
            <w:tcBorders>
              <w:top w:val="single" w:sz="8" w:space="0" w:color="000000"/>
              <w:left w:val="single" w:sz="8" w:space="0" w:color="000000"/>
              <w:bottom w:val="nil"/>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single" w:sz="8" w:space="0" w:color="auto"/>
              <w:left w:val="nil"/>
              <w:bottom w:val="single" w:sz="8" w:space="0" w:color="auto"/>
              <w:right w:val="single" w:sz="8" w:space="0" w:color="auto"/>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长期理财债券型基金</w:t>
            </w:r>
          </w:p>
        </w:tc>
        <w:tc>
          <w:tcPr>
            <w:tcW w:w="1841"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中低风险</w:t>
            </w:r>
          </w:p>
        </w:tc>
      </w:tr>
      <w:tr w:rsidR="00192EA5">
        <w:trPr>
          <w:trHeight w:val="765"/>
          <w:jc w:val="center"/>
        </w:trPr>
        <w:tc>
          <w:tcPr>
            <w:tcW w:w="1363" w:type="pct"/>
            <w:vMerge/>
            <w:tcBorders>
              <w:top w:val="single" w:sz="8" w:space="0" w:color="000000"/>
              <w:left w:val="single" w:sz="8" w:space="0" w:color="000000"/>
              <w:bottom w:val="nil"/>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nil"/>
              <w:left w:val="nil"/>
              <w:bottom w:val="nil"/>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中短期理财债券型基金</w:t>
            </w:r>
          </w:p>
        </w:tc>
        <w:tc>
          <w:tcPr>
            <w:tcW w:w="1841"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中低风险</w:t>
            </w:r>
          </w:p>
        </w:tc>
      </w:tr>
      <w:tr w:rsidR="00192EA5">
        <w:trPr>
          <w:trHeight w:val="765"/>
          <w:jc w:val="center"/>
        </w:trPr>
        <w:tc>
          <w:tcPr>
            <w:tcW w:w="1363" w:type="pct"/>
            <w:tcBorders>
              <w:top w:val="single" w:sz="8" w:space="0" w:color="000000"/>
              <w:left w:val="single" w:sz="8" w:space="0" w:color="000000"/>
              <w:bottom w:val="nil"/>
              <w:right w:val="nil"/>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货币市场基金</w:t>
            </w:r>
          </w:p>
        </w:tc>
        <w:tc>
          <w:tcPr>
            <w:tcW w:w="1796" w:type="pct"/>
            <w:tcBorders>
              <w:top w:val="single" w:sz="8" w:space="0" w:color="auto"/>
              <w:left w:val="single" w:sz="8" w:space="0" w:color="auto"/>
              <w:bottom w:val="single" w:sz="8" w:space="0" w:color="auto"/>
              <w:right w:val="single" w:sz="8" w:space="0" w:color="auto"/>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货币市场基金</w:t>
            </w:r>
          </w:p>
        </w:tc>
        <w:tc>
          <w:tcPr>
            <w:tcW w:w="1841"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低风险</w:t>
            </w:r>
          </w:p>
        </w:tc>
      </w:tr>
      <w:tr w:rsidR="00192EA5">
        <w:trPr>
          <w:trHeight w:val="765"/>
          <w:jc w:val="center"/>
        </w:trPr>
        <w:tc>
          <w:tcPr>
            <w:tcW w:w="136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基金中基金（FOF）</w:t>
            </w:r>
          </w:p>
        </w:tc>
        <w:tc>
          <w:tcPr>
            <w:tcW w:w="1796"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股票型FOF</w:t>
            </w:r>
          </w:p>
        </w:tc>
        <w:tc>
          <w:tcPr>
            <w:tcW w:w="1841"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中高风险</w:t>
            </w:r>
          </w:p>
        </w:tc>
      </w:tr>
      <w:tr w:rsidR="00192EA5">
        <w:trPr>
          <w:trHeight w:val="765"/>
          <w:jc w:val="center"/>
        </w:trPr>
        <w:tc>
          <w:tcPr>
            <w:tcW w:w="136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债券型F</w:t>
            </w:r>
            <w:r>
              <w:rPr>
                <w:rFonts w:ascii="仿宋_GB2312" w:eastAsia="仿宋_GB2312" w:hAnsi="等线" w:cs="宋体"/>
                <w:color w:val="000000" w:themeColor="text1"/>
                <w:kern w:val="0"/>
                <w:sz w:val="24"/>
                <w:szCs w:val="24"/>
              </w:rPr>
              <w:t>OF</w:t>
            </w:r>
          </w:p>
        </w:tc>
        <w:tc>
          <w:tcPr>
            <w:tcW w:w="1841"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中低风险</w:t>
            </w:r>
          </w:p>
        </w:tc>
      </w:tr>
      <w:tr w:rsidR="00192EA5">
        <w:trPr>
          <w:trHeight w:val="765"/>
          <w:jc w:val="center"/>
        </w:trPr>
        <w:tc>
          <w:tcPr>
            <w:tcW w:w="1363" w:type="pct"/>
            <w:vMerge/>
            <w:tcBorders>
              <w:top w:val="single" w:sz="8" w:space="0" w:color="000000"/>
              <w:left w:val="single" w:sz="8" w:space="0" w:color="000000"/>
              <w:bottom w:val="single" w:sz="8" w:space="0" w:color="000000"/>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混合型FOF</w:t>
            </w:r>
          </w:p>
        </w:tc>
        <w:tc>
          <w:tcPr>
            <w:tcW w:w="1841" w:type="pct"/>
            <w:vMerge w:val="restart"/>
            <w:tcBorders>
              <w:top w:val="nil"/>
              <w:left w:val="single" w:sz="8" w:space="0" w:color="000000"/>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kern w:val="0"/>
                <w:sz w:val="24"/>
                <w:szCs w:val="24"/>
              </w:rPr>
            </w:pPr>
            <w:r>
              <w:rPr>
                <w:rFonts w:ascii="仿宋_GB2312" w:eastAsia="仿宋_GB2312" w:hAnsi="等线" w:cs="宋体" w:hint="eastAsia"/>
                <w:kern w:val="0"/>
                <w:sz w:val="24"/>
                <w:szCs w:val="24"/>
              </w:rPr>
              <w:t xml:space="preserve">中低风险 </w:t>
            </w:r>
            <w:r>
              <w:rPr>
                <w:rFonts w:ascii="仿宋_GB2312" w:eastAsia="仿宋_GB2312" w:hAnsi="等线" w:cs="宋体"/>
                <w:kern w:val="0"/>
                <w:sz w:val="24"/>
                <w:szCs w:val="24"/>
              </w:rPr>
              <w:t>–</w:t>
            </w:r>
            <w:r>
              <w:rPr>
                <w:rFonts w:ascii="仿宋_GB2312" w:eastAsia="仿宋_GB2312" w:hAnsi="等线" w:cs="宋体"/>
                <w:kern w:val="0"/>
                <w:sz w:val="24"/>
                <w:szCs w:val="24"/>
              </w:rPr>
              <w:t xml:space="preserve"> </w:t>
            </w:r>
            <w:r>
              <w:rPr>
                <w:rFonts w:ascii="仿宋_GB2312" w:eastAsia="仿宋_GB2312" w:hAnsi="等线" w:cs="宋体" w:hint="eastAsia"/>
                <w:kern w:val="0"/>
                <w:sz w:val="24"/>
                <w:szCs w:val="24"/>
              </w:rPr>
              <w:t>中高风险</w:t>
            </w:r>
          </w:p>
        </w:tc>
      </w:tr>
      <w:tr w:rsidR="00192EA5">
        <w:trPr>
          <w:trHeight w:val="765"/>
          <w:jc w:val="center"/>
        </w:trPr>
        <w:tc>
          <w:tcPr>
            <w:tcW w:w="1363" w:type="pct"/>
            <w:vMerge/>
            <w:tcBorders>
              <w:top w:val="single" w:sz="8" w:space="0" w:color="000000"/>
              <w:left w:val="single" w:sz="8" w:space="0" w:color="000000"/>
              <w:bottom w:val="single" w:sz="8" w:space="0" w:color="000000"/>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目标日期FOF</w:t>
            </w:r>
          </w:p>
        </w:tc>
        <w:tc>
          <w:tcPr>
            <w:tcW w:w="1841" w:type="pct"/>
            <w:vMerge/>
            <w:tcBorders>
              <w:top w:val="nil"/>
              <w:left w:val="single" w:sz="8" w:space="0" w:color="000000"/>
              <w:bottom w:val="single" w:sz="8" w:space="0" w:color="000000"/>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r>
      <w:tr w:rsidR="00192EA5">
        <w:trPr>
          <w:trHeight w:val="765"/>
          <w:jc w:val="center"/>
        </w:trPr>
        <w:tc>
          <w:tcPr>
            <w:tcW w:w="1363" w:type="pct"/>
            <w:vMerge/>
            <w:tcBorders>
              <w:top w:val="single" w:sz="8" w:space="0" w:color="000000"/>
              <w:left w:val="single" w:sz="8" w:space="0" w:color="000000"/>
              <w:bottom w:val="single" w:sz="8" w:space="0" w:color="000000"/>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目标风险FOF</w:t>
            </w:r>
          </w:p>
        </w:tc>
        <w:tc>
          <w:tcPr>
            <w:tcW w:w="1841" w:type="pct"/>
            <w:vMerge/>
            <w:tcBorders>
              <w:top w:val="nil"/>
              <w:left w:val="single" w:sz="8" w:space="0" w:color="000000"/>
              <w:bottom w:val="single" w:sz="8" w:space="0" w:color="000000"/>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r>
      <w:tr w:rsidR="00192EA5">
        <w:trPr>
          <w:trHeight w:val="765"/>
          <w:jc w:val="center"/>
        </w:trPr>
        <w:tc>
          <w:tcPr>
            <w:tcW w:w="1363" w:type="pct"/>
            <w:vMerge w:val="restart"/>
            <w:tcBorders>
              <w:top w:val="nil"/>
              <w:left w:val="single" w:sz="8" w:space="0" w:color="000000"/>
              <w:bottom w:val="nil"/>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QDII基金</w:t>
            </w:r>
          </w:p>
        </w:tc>
        <w:tc>
          <w:tcPr>
            <w:tcW w:w="1796"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QDII股票基金</w:t>
            </w:r>
          </w:p>
        </w:tc>
        <w:tc>
          <w:tcPr>
            <w:tcW w:w="1841"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中高风险</w:t>
            </w:r>
          </w:p>
        </w:tc>
      </w:tr>
      <w:tr w:rsidR="00192EA5">
        <w:trPr>
          <w:trHeight w:val="765"/>
          <w:jc w:val="center"/>
        </w:trPr>
        <w:tc>
          <w:tcPr>
            <w:tcW w:w="1363" w:type="pct"/>
            <w:vMerge/>
            <w:tcBorders>
              <w:top w:val="nil"/>
              <w:left w:val="single" w:sz="8" w:space="0" w:color="000000"/>
              <w:bottom w:val="nil"/>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QDII混合基金</w:t>
            </w:r>
          </w:p>
        </w:tc>
        <w:tc>
          <w:tcPr>
            <w:tcW w:w="1841"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中高风险</w:t>
            </w:r>
          </w:p>
        </w:tc>
      </w:tr>
      <w:tr w:rsidR="00192EA5">
        <w:trPr>
          <w:trHeight w:val="765"/>
          <w:jc w:val="center"/>
        </w:trPr>
        <w:tc>
          <w:tcPr>
            <w:tcW w:w="1363" w:type="pct"/>
            <w:vMerge/>
            <w:tcBorders>
              <w:top w:val="nil"/>
              <w:left w:val="single" w:sz="8" w:space="0" w:color="000000"/>
              <w:bottom w:val="nil"/>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nil"/>
              <w:left w:val="nil"/>
              <w:bottom w:val="nil"/>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QDII债券基金</w:t>
            </w:r>
          </w:p>
        </w:tc>
        <w:tc>
          <w:tcPr>
            <w:tcW w:w="1841"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中风险</w:t>
            </w:r>
          </w:p>
        </w:tc>
      </w:tr>
      <w:tr w:rsidR="00192EA5">
        <w:trPr>
          <w:trHeight w:val="765"/>
          <w:jc w:val="center"/>
        </w:trPr>
        <w:tc>
          <w:tcPr>
            <w:tcW w:w="1363" w:type="pct"/>
            <w:vMerge/>
            <w:tcBorders>
              <w:top w:val="nil"/>
              <w:left w:val="single" w:sz="8" w:space="0" w:color="000000"/>
              <w:bottom w:val="nil"/>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single" w:sz="8" w:space="0" w:color="auto"/>
              <w:left w:val="single" w:sz="8" w:space="0" w:color="auto"/>
              <w:bottom w:val="single" w:sz="8" w:space="0" w:color="auto"/>
              <w:right w:val="single" w:sz="8" w:space="0" w:color="auto"/>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QDII其他基金</w:t>
            </w:r>
          </w:p>
        </w:tc>
        <w:tc>
          <w:tcPr>
            <w:tcW w:w="1841"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根据实际情况而定</w:t>
            </w:r>
          </w:p>
        </w:tc>
      </w:tr>
      <w:tr w:rsidR="00192EA5">
        <w:trPr>
          <w:trHeight w:val="765"/>
          <w:jc w:val="center"/>
        </w:trPr>
        <w:tc>
          <w:tcPr>
            <w:tcW w:w="136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其他基金</w:t>
            </w:r>
          </w:p>
        </w:tc>
        <w:tc>
          <w:tcPr>
            <w:tcW w:w="1796"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商品型基金</w:t>
            </w:r>
          </w:p>
        </w:tc>
        <w:tc>
          <w:tcPr>
            <w:tcW w:w="1841"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 xml:space="preserve">中风险 </w:t>
            </w:r>
            <w:r>
              <w:rPr>
                <w:rFonts w:ascii="仿宋_GB2312" w:eastAsia="仿宋_GB2312" w:hAnsi="等线" w:cs="宋体"/>
                <w:color w:val="000000" w:themeColor="text1"/>
                <w:kern w:val="0"/>
                <w:sz w:val="24"/>
                <w:szCs w:val="24"/>
              </w:rPr>
              <w:t>–</w:t>
            </w:r>
            <w:r>
              <w:rPr>
                <w:rFonts w:ascii="仿宋_GB2312" w:eastAsia="仿宋_GB2312" w:hAnsi="等线" w:cs="宋体"/>
                <w:color w:val="000000" w:themeColor="text1"/>
                <w:kern w:val="0"/>
                <w:sz w:val="24"/>
                <w:szCs w:val="24"/>
              </w:rPr>
              <w:t xml:space="preserve"> </w:t>
            </w:r>
            <w:r>
              <w:rPr>
                <w:rFonts w:ascii="仿宋_GB2312" w:eastAsia="仿宋_GB2312" w:hAnsi="等线" w:cs="宋体" w:hint="eastAsia"/>
                <w:color w:val="000000" w:themeColor="text1"/>
                <w:kern w:val="0"/>
                <w:sz w:val="24"/>
                <w:szCs w:val="24"/>
              </w:rPr>
              <w:t>高风险</w:t>
            </w:r>
          </w:p>
        </w:tc>
      </w:tr>
      <w:tr w:rsidR="00192EA5">
        <w:trPr>
          <w:trHeight w:val="765"/>
          <w:jc w:val="center"/>
        </w:trPr>
        <w:tc>
          <w:tcPr>
            <w:tcW w:w="136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R</w:t>
            </w:r>
            <w:r>
              <w:rPr>
                <w:rFonts w:ascii="仿宋_GB2312" w:eastAsia="仿宋_GB2312" w:hAnsi="等线" w:cs="宋体"/>
                <w:color w:val="000000" w:themeColor="text1"/>
                <w:kern w:val="0"/>
                <w:sz w:val="24"/>
                <w:szCs w:val="24"/>
              </w:rPr>
              <w:t>EIT</w:t>
            </w:r>
            <w:r>
              <w:rPr>
                <w:rFonts w:ascii="仿宋_GB2312" w:eastAsia="仿宋_GB2312" w:hAnsi="等线" w:cs="宋体" w:hint="eastAsia"/>
                <w:color w:val="000000" w:themeColor="text1"/>
                <w:kern w:val="0"/>
                <w:sz w:val="24"/>
                <w:szCs w:val="24"/>
              </w:rPr>
              <w:t>s</w:t>
            </w:r>
          </w:p>
        </w:tc>
        <w:tc>
          <w:tcPr>
            <w:tcW w:w="1841"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 xml:space="preserve">中风险 </w:t>
            </w:r>
            <w:r>
              <w:rPr>
                <w:rFonts w:ascii="仿宋_GB2312" w:eastAsia="仿宋_GB2312" w:hAnsi="等线" w:cs="宋体"/>
                <w:color w:val="000000" w:themeColor="text1"/>
                <w:kern w:val="0"/>
                <w:sz w:val="24"/>
                <w:szCs w:val="24"/>
              </w:rPr>
              <w:t>–</w:t>
            </w:r>
            <w:r>
              <w:rPr>
                <w:rFonts w:ascii="仿宋_GB2312" w:eastAsia="仿宋_GB2312" w:hAnsi="等线" w:cs="宋体"/>
                <w:color w:val="000000" w:themeColor="text1"/>
                <w:kern w:val="0"/>
                <w:sz w:val="24"/>
                <w:szCs w:val="24"/>
              </w:rPr>
              <w:t xml:space="preserve"> </w:t>
            </w:r>
            <w:r>
              <w:rPr>
                <w:rFonts w:ascii="仿宋_GB2312" w:eastAsia="仿宋_GB2312" w:hAnsi="等线" w:cs="宋体" w:hint="eastAsia"/>
                <w:color w:val="000000" w:themeColor="text1"/>
                <w:kern w:val="0"/>
                <w:sz w:val="24"/>
                <w:szCs w:val="24"/>
              </w:rPr>
              <w:t>中高风险</w:t>
            </w:r>
          </w:p>
        </w:tc>
      </w:tr>
      <w:tr w:rsidR="00192EA5">
        <w:trPr>
          <w:trHeight w:val="765"/>
          <w:jc w:val="center"/>
        </w:trPr>
        <w:tc>
          <w:tcPr>
            <w:tcW w:w="1363" w:type="pct"/>
            <w:vMerge/>
            <w:tcBorders>
              <w:top w:val="single" w:sz="8" w:space="0" w:color="000000"/>
              <w:left w:val="single" w:sz="8" w:space="0" w:color="000000"/>
              <w:bottom w:val="single" w:sz="8" w:space="0" w:color="000000"/>
              <w:right w:val="single" w:sz="8" w:space="0" w:color="000000"/>
            </w:tcBorders>
            <w:vAlign w:val="center"/>
          </w:tcPr>
          <w:p w:rsidR="00192EA5" w:rsidRDefault="00192EA5">
            <w:pPr>
              <w:widowControl/>
              <w:spacing w:line="560" w:lineRule="exact"/>
              <w:jc w:val="center"/>
              <w:rPr>
                <w:rFonts w:ascii="仿宋_GB2312" w:eastAsia="仿宋_GB2312" w:hAnsi="等线" w:cs="宋体"/>
                <w:color w:val="000000" w:themeColor="text1"/>
                <w:kern w:val="0"/>
                <w:sz w:val="24"/>
                <w:szCs w:val="24"/>
              </w:rPr>
            </w:pPr>
          </w:p>
        </w:tc>
        <w:tc>
          <w:tcPr>
            <w:tcW w:w="1796"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其他类型</w:t>
            </w:r>
          </w:p>
        </w:tc>
        <w:tc>
          <w:tcPr>
            <w:tcW w:w="1841" w:type="pct"/>
            <w:tcBorders>
              <w:top w:val="nil"/>
              <w:left w:val="nil"/>
              <w:bottom w:val="single" w:sz="8" w:space="0" w:color="000000"/>
              <w:right w:val="single" w:sz="8" w:space="0" w:color="000000"/>
            </w:tcBorders>
            <w:shd w:val="clear" w:color="auto" w:fill="auto"/>
            <w:vAlign w:val="center"/>
          </w:tcPr>
          <w:p w:rsidR="00192EA5" w:rsidRDefault="005C0BF8">
            <w:pPr>
              <w:widowControl/>
              <w:spacing w:line="560" w:lineRule="exact"/>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根据实际情况而定</w:t>
            </w:r>
          </w:p>
        </w:tc>
      </w:tr>
    </w:tbl>
    <w:p w:rsidR="00192EA5" w:rsidRDefault="00192EA5"/>
    <w:p w:rsidR="00192EA5" w:rsidRDefault="005C0BF8" w:rsidP="002D2243">
      <w:pPr>
        <w:spacing w:line="560" w:lineRule="exact"/>
        <w:ind w:firstLineChars="150" w:firstLine="420"/>
        <w:rPr>
          <w:rFonts w:ascii="仿宋" w:eastAsia="仿宋" w:hAnsi="仿宋"/>
          <w:color w:val="000000" w:themeColor="text1"/>
          <w:sz w:val="28"/>
          <w:szCs w:val="28"/>
        </w:rPr>
      </w:pPr>
      <w:r>
        <w:rPr>
          <w:rFonts w:ascii="仿宋" w:eastAsia="仿宋" w:hAnsi="仿宋" w:hint="eastAsia"/>
          <w:b/>
          <w:color w:val="000000" w:themeColor="text1"/>
          <w:sz w:val="28"/>
          <w:szCs w:val="28"/>
        </w:rPr>
        <w:t xml:space="preserve">第十条 </w:t>
      </w:r>
      <w:r>
        <w:rPr>
          <w:rFonts w:ascii="仿宋" w:eastAsia="仿宋" w:hAnsi="仿宋"/>
          <w:b/>
          <w:color w:val="000000" w:themeColor="text1"/>
          <w:sz w:val="28"/>
          <w:szCs w:val="28"/>
        </w:rPr>
        <w:t xml:space="preserve"> </w:t>
      </w:r>
      <w:r>
        <w:rPr>
          <w:rFonts w:ascii="仿宋" w:eastAsia="仿宋" w:hAnsi="仿宋" w:hint="eastAsia"/>
          <w:color w:val="000000" w:themeColor="text1"/>
          <w:sz w:val="28"/>
          <w:szCs w:val="28"/>
        </w:rPr>
        <w:t>基金产品的风险评价规则由本公司负责根据相关法律、法规及公司运作的需要进行解释及修订。随着基金产品的不断创新和投资范围的拓展，公司将根据新设基金产品的投资管理特点和风险特征调整</w:t>
      </w:r>
      <w:r>
        <w:rPr>
          <w:rFonts w:ascii="仿宋" w:eastAsia="仿宋" w:hAnsi="仿宋"/>
          <w:color w:val="000000" w:themeColor="text1"/>
          <w:sz w:val="28"/>
          <w:szCs w:val="28"/>
        </w:rPr>
        <w:t>风险评价方法。</w:t>
      </w:r>
    </w:p>
    <w:p w:rsidR="00192EA5" w:rsidRDefault="00192EA5">
      <w:pPr>
        <w:spacing w:line="360" w:lineRule="auto"/>
        <w:rPr>
          <w:rFonts w:ascii="宋体" w:eastAsia="宋体" w:hAnsi="宋体" w:cs="Times New Roman"/>
          <w:kern w:val="0"/>
          <w:szCs w:val="21"/>
        </w:rPr>
      </w:pPr>
    </w:p>
    <w:sectPr w:rsidR="00192EA5" w:rsidSect="00871EC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F8A" w:rsidRDefault="00492F8A">
      <w:r>
        <w:separator/>
      </w:r>
    </w:p>
  </w:endnote>
  <w:endnote w:type="continuationSeparator" w:id="0">
    <w:p w:rsidR="00492F8A" w:rsidRDefault="00492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435463"/>
    </w:sdtPr>
    <w:sdtContent>
      <w:p w:rsidR="00192EA5" w:rsidRDefault="00871ECB">
        <w:pPr>
          <w:pStyle w:val="a8"/>
          <w:jc w:val="center"/>
        </w:pPr>
        <w:r>
          <w:fldChar w:fldCharType="begin"/>
        </w:r>
        <w:r w:rsidR="005C0BF8">
          <w:instrText>PAGE   \* MERGEFORMAT</w:instrText>
        </w:r>
        <w:r>
          <w:fldChar w:fldCharType="separate"/>
        </w:r>
        <w:r w:rsidR="002D2243" w:rsidRPr="002D2243">
          <w:rPr>
            <w:noProof/>
            <w:lang w:val="zh-CN"/>
          </w:rPr>
          <w:t>1</w:t>
        </w:r>
        <w:r>
          <w:fldChar w:fldCharType="end"/>
        </w:r>
      </w:p>
    </w:sdtContent>
  </w:sdt>
  <w:p w:rsidR="00192EA5" w:rsidRDefault="00192EA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F8A" w:rsidRDefault="00492F8A">
      <w:r>
        <w:separator/>
      </w:r>
    </w:p>
  </w:footnote>
  <w:footnote w:type="continuationSeparator" w:id="0">
    <w:p w:rsidR="00492F8A" w:rsidRDefault="00492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C2BD4"/>
    <w:multiLevelType w:val="multilevel"/>
    <w:tmpl w:val="3BDC2BD4"/>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53C9"/>
    <w:rsid w:val="0001034D"/>
    <w:rsid w:val="00011B2F"/>
    <w:rsid w:val="000167D1"/>
    <w:rsid w:val="000410FF"/>
    <w:rsid w:val="000500FC"/>
    <w:rsid w:val="00051B6B"/>
    <w:rsid w:val="00052CDC"/>
    <w:rsid w:val="00055A94"/>
    <w:rsid w:val="00066D9C"/>
    <w:rsid w:val="000920E4"/>
    <w:rsid w:val="000936A5"/>
    <w:rsid w:val="000C3FBF"/>
    <w:rsid w:val="000C47E7"/>
    <w:rsid w:val="000D0191"/>
    <w:rsid w:val="000D09F0"/>
    <w:rsid w:val="000D1212"/>
    <w:rsid w:val="000D51B1"/>
    <w:rsid w:val="000F30B5"/>
    <w:rsid w:val="000F59D0"/>
    <w:rsid w:val="000F7462"/>
    <w:rsid w:val="0013181F"/>
    <w:rsid w:val="0014043E"/>
    <w:rsid w:val="001426B2"/>
    <w:rsid w:val="001463BA"/>
    <w:rsid w:val="00156031"/>
    <w:rsid w:val="00177B41"/>
    <w:rsid w:val="00192EA5"/>
    <w:rsid w:val="00193F6B"/>
    <w:rsid w:val="001A79A4"/>
    <w:rsid w:val="001B3E2D"/>
    <w:rsid w:val="001F2AB9"/>
    <w:rsid w:val="00203A94"/>
    <w:rsid w:val="002041E3"/>
    <w:rsid w:val="00214FF1"/>
    <w:rsid w:val="00223450"/>
    <w:rsid w:val="002279C7"/>
    <w:rsid w:val="0023320B"/>
    <w:rsid w:val="002629BD"/>
    <w:rsid w:val="00264096"/>
    <w:rsid w:val="00264427"/>
    <w:rsid w:val="00264E00"/>
    <w:rsid w:val="00272075"/>
    <w:rsid w:val="00272AF0"/>
    <w:rsid w:val="00294AF5"/>
    <w:rsid w:val="002A197A"/>
    <w:rsid w:val="002A31F7"/>
    <w:rsid w:val="002B1519"/>
    <w:rsid w:val="002D2243"/>
    <w:rsid w:val="002E361F"/>
    <w:rsid w:val="0030418C"/>
    <w:rsid w:val="0032514D"/>
    <w:rsid w:val="00327623"/>
    <w:rsid w:val="003325DA"/>
    <w:rsid w:val="003467E9"/>
    <w:rsid w:val="00355E5C"/>
    <w:rsid w:val="003656AF"/>
    <w:rsid w:val="00374374"/>
    <w:rsid w:val="003765AA"/>
    <w:rsid w:val="00390F35"/>
    <w:rsid w:val="00392AC6"/>
    <w:rsid w:val="003A50EF"/>
    <w:rsid w:val="003A77C0"/>
    <w:rsid w:val="003B14AB"/>
    <w:rsid w:val="003B35B9"/>
    <w:rsid w:val="003E3DF1"/>
    <w:rsid w:val="003F2E78"/>
    <w:rsid w:val="00410343"/>
    <w:rsid w:val="004107E7"/>
    <w:rsid w:val="0041608F"/>
    <w:rsid w:val="00432DE5"/>
    <w:rsid w:val="00450778"/>
    <w:rsid w:val="0045133A"/>
    <w:rsid w:val="00452F80"/>
    <w:rsid w:val="004560AC"/>
    <w:rsid w:val="004744AB"/>
    <w:rsid w:val="00492F8A"/>
    <w:rsid w:val="004B02F0"/>
    <w:rsid w:val="004B7BFC"/>
    <w:rsid w:val="004C290F"/>
    <w:rsid w:val="004C2E41"/>
    <w:rsid w:val="004C47A9"/>
    <w:rsid w:val="004C722F"/>
    <w:rsid w:val="004D1510"/>
    <w:rsid w:val="004D2F53"/>
    <w:rsid w:val="004E56E3"/>
    <w:rsid w:val="004F1302"/>
    <w:rsid w:val="005014DE"/>
    <w:rsid w:val="005066D5"/>
    <w:rsid w:val="00517C34"/>
    <w:rsid w:val="005226F5"/>
    <w:rsid w:val="00541834"/>
    <w:rsid w:val="0055683C"/>
    <w:rsid w:val="0057048E"/>
    <w:rsid w:val="005708C3"/>
    <w:rsid w:val="005744B5"/>
    <w:rsid w:val="00574FA7"/>
    <w:rsid w:val="005808BB"/>
    <w:rsid w:val="00582EBF"/>
    <w:rsid w:val="005836B5"/>
    <w:rsid w:val="005A3545"/>
    <w:rsid w:val="005A4965"/>
    <w:rsid w:val="005A54E2"/>
    <w:rsid w:val="005A6061"/>
    <w:rsid w:val="005B1C03"/>
    <w:rsid w:val="005B2354"/>
    <w:rsid w:val="005B2BE7"/>
    <w:rsid w:val="005B5E55"/>
    <w:rsid w:val="005C0BF8"/>
    <w:rsid w:val="005D3E37"/>
    <w:rsid w:val="005D7B19"/>
    <w:rsid w:val="005E51B0"/>
    <w:rsid w:val="005F2EFE"/>
    <w:rsid w:val="00600786"/>
    <w:rsid w:val="0060291B"/>
    <w:rsid w:val="0060330F"/>
    <w:rsid w:val="00607C0F"/>
    <w:rsid w:val="006247F5"/>
    <w:rsid w:val="0062597F"/>
    <w:rsid w:val="00635228"/>
    <w:rsid w:val="00635ECE"/>
    <w:rsid w:val="0064121F"/>
    <w:rsid w:val="00643324"/>
    <w:rsid w:val="00643EAA"/>
    <w:rsid w:val="00650EFF"/>
    <w:rsid w:val="006548CD"/>
    <w:rsid w:val="0066567D"/>
    <w:rsid w:val="00670BC9"/>
    <w:rsid w:val="00675448"/>
    <w:rsid w:val="00680FA5"/>
    <w:rsid w:val="006916E2"/>
    <w:rsid w:val="006917D8"/>
    <w:rsid w:val="00694FD1"/>
    <w:rsid w:val="00697BAA"/>
    <w:rsid w:val="006B03A3"/>
    <w:rsid w:val="006B1DB8"/>
    <w:rsid w:val="006C0E94"/>
    <w:rsid w:val="006C1F80"/>
    <w:rsid w:val="006C501A"/>
    <w:rsid w:val="006D0DB7"/>
    <w:rsid w:val="006F0B58"/>
    <w:rsid w:val="006F1813"/>
    <w:rsid w:val="006F1D26"/>
    <w:rsid w:val="00700A45"/>
    <w:rsid w:val="00706586"/>
    <w:rsid w:val="00707732"/>
    <w:rsid w:val="00707B9A"/>
    <w:rsid w:val="0071619A"/>
    <w:rsid w:val="00722FD0"/>
    <w:rsid w:val="00731A16"/>
    <w:rsid w:val="00731DF7"/>
    <w:rsid w:val="00732D5C"/>
    <w:rsid w:val="00744A24"/>
    <w:rsid w:val="007554E8"/>
    <w:rsid w:val="00756064"/>
    <w:rsid w:val="00773952"/>
    <w:rsid w:val="00775D31"/>
    <w:rsid w:val="007A3770"/>
    <w:rsid w:val="007B6EDC"/>
    <w:rsid w:val="007C69DC"/>
    <w:rsid w:val="007D4551"/>
    <w:rsid w:val="007D6328"/>
    <w:rsid w:val="007D771B"/>
    <w:rsid w:val="007D7B22"/>
    <w:rsid w:val="007F4B66"/>
    <w:rsid w:val="0080119F"/>
    <w:rsid w:val="0080446D"/>
    <w:rsid w:val="00811179"/>
    <w:rsid w:val="0081126A"/>
    <w:rsid w:val="00811714"/>
    <w:rsid w:val="00823570"/>
    <w:rsid w:val="00832720"/>
    <w:rsid w:val="008356EE"/>
    <w:rsid w:val="00847BD0"/>
    <w:rsid w:val="0085149D"/>
    <w:rsid w:val="0085634A"/>
    <w:rsid w:val="00863428"/>
    <w:rsid w:val="00867383"/>
    <w:rsid w:val="00867FE5"/>
    <w:rsid w:val="00870DA2"/>
    <w:rsid w:val="00871ECB"/>
    <w:rsid w:val="00882197"/>
    <w:rsid w:val="0088409B"/>
    <w:rsid w:val="00884EAC"/>
    <w:rsid w:val="00887365"/>
    <w:rsid w:val="00893CF6"/>
    <w:rsid w:val="00897BF3"/>
    <w:rsid w:val="008A055D"/>
    <w:rsid w:val="008C0282"/>
    <w:rsid w:val="008C76EE"/>
    <w:rsid w:val="008D18B8"/>
    <w:rsid w:val="008E581F"/>
    <w:rsid w:val="00902A1C"/>
    <w:rsid w:val="00905F49"/>
    <w:rsid w:val="00910FC9"/>
    <w:rsid w:val="0091610F"/>
    <w:rsid w:val="009246F4"/>
    <w:rsid w:val="009340CB"/>
    <w:rsid w:val="0094270E"/>
    <w:rsid w:val="00945965"/>
    <w:rsid w:val="00977CA5"/>
    <w:rsid w:val="0099156D"/>
    <w:rsid w:val="00991629"/>
    <w:rsid w:val="009A0705"/>
    <w:rsid w:val="009B4C94"/>
    <w:rsid w:val="009B55A6"/>
    <w:rsid w:val="009C1A90"/>
    <w:rsid w:val="009C3B27"/>
    <w:rsid w:val="009C61FD"/>
    <w:rsid w:val="009D5908"/>
    <w:rsid w:val="009E33F6"/>
    <w:rsid w:val="009E644E"/>
    <w:rsid w:val="009F4625"/>
    <w:rsid w:val="009F4E2F"/>
    <w:rsid w:val="00A14CAE"/>
    <w:rsid w:val="00A40821"/>
    <w:rsid w:val="00A43176"/>
    <w:rsid w:val="00A50515"/>
    <w:rsid w:val="00A50928"/>
    <w:rsid w:val="00A74D6E"/>
    <w:rsid w:val="00A773AD"/>
    <w:rsid w:val="00A81186"/>
    <w:rsid w:val="00A945B5"/>
    <w:rsid w:val="00A97D49"/>
    <w:rsid w:val="00AA6EF0"/>
    <w:rsid w:val="00AA6F4F"/>
    <w:rsid w:val="00AB53C9"/>
    <w:rsid w:val="00AC4DD2"/>
    <w:rsid w:val="00AC620C"/>
    <w:rsid w:val="00AC7B97"/>
    <w:rsid w:val="00AD178C"/>
    <w:rsid w:val="00AD3EE1"/>
    <w:rsid w:val="00AD7419"/>
    <w:rsid w:val="00AE084B"/>
    <w:rsid w:val="00B015BE"/>
    <w:rsid w:val="00B01EDB"/>
    <w:rsid w:val="00B157CF"/>
    <w:rsid w:val="00B20CE9"/>
    <w:rsid w:val="00B2675C"/>
    <w:rsid w:val="00B5472B"/>
    <w:rsid w:val="00B56546"/>
    <w:rsid w:val="00B60C7C"/>
    <w:rsid w:val="00B634EC"/>
    <w:rsid w:val="00B778C3"/>
    <w:rsid w:val="00B94C9A"/>
    <w:rsid w:val="00BA1F23"/>
    <w:rsid w:val="00BA4141"/>
    <w:rsid w:val="00BB1D2B"/>
    <w:rsid w:val="00BB6114"/>
    <w:rsid w:val="00BB67E3"/>
    <w:rsid w:val="00BC2E18"/>
    <w:rsid w:val="00BE28CF"/>
    <w:rsid w:val="00BE63BE"/>
    <w:rsid w:val="00C059BC"/>
    <w:rsid w:val="00C10BBB"/>
    <w:rsid w:val="00C12C4C"/>
    <w:rsid w:val="00C1512D"/>
    <w:rsid w:val="00C43F0B"/>
    <w:rsid w:val="00C57364"/>
    <w:rsid w:val="00C61B8F"/>
    <w:rsid w:val="00C82ED5"/>
    <w:rsid w:val="00C92CA0"/>
    <w:rsid w:val="00C95825"/>
    <w:rsid w:val="00C97C8D"/>
    <w:rsid w:val="00CB0E10"/>
    <w:rsid w:val="00CB6C84"/>
    <w:rsid w:val="00CB7319"/>
    <w:rsid w:val="00CC0E70"/>
    <w:rsid w:val="00CE2122"/>
    <w:rsid w:val="00CF771F"/>
    <w:rsid w:val="00D30529"/>
    <w:rsid w:val="00D36E79"/>
    <w:rsid w:val="00D41E27"/>
    <w:rsid w:val="00D5424A"/>
    <w:rsid w:val="00D602AB"/>
    <w:rsid w:val="00D71FD2"/>
    <w:rsid w:val="00D75F90"/>
    <w:rsid w:val="00D80309"/>
    <w:rsid w:val="00D87B7C"/>
    <w:rsid w:val="00D93C95"/>
    <w:rsid w:val="00DF2C11"/>
    <w:rsid w:val="00DF3503"/>
    <w:rsid w:val="00DF3CE6"/>
    <w:rsid w:val="00E01949"/>
    <w:rsid w:val="00E10048"/>
    <w:rsid w:val="00E218EF"/>
    <w:rsid w:val="00E3509F"/>
    <w:rsid w:val="00E36326"/>
    <w:rsid w:val="00E3779A"/>
    <w:rsid w:val="00E40B1B"/>
    <w:rsid w:val="00E41F27"/>
    <w:rsid w:val="00E51FF5"/>
    <w:rsid w:val="00E56FD1"/>
    <w:rsid w:val="00E57F6A"/>
    <w:rsid w:val="00E82F6B"/>
    <w:rsid w:val="00E952CF"/>
    <w:rsid w:val="00EB0487"/>
    <w:rsid w:val="00EB6805"/>
    <w:rsid w:val="00EE4F52"/>
    <w:rsid w:val="00EF7F46"/>
    <w:rsid w:val="00F07273"/>
    <w:rsid w:val="00F20434"/>
    <w:rsid w:val="00F21722"/>
    <w:rsid w:val="00F23474"/>
    <w:rsid w:val="00F34044"/>
    <w:rsid w:val="00F41A32"/>
    <w:rsid w:val="00F42D14"/>
    <w:rsid w:val="00F732E2"/>
    <w:rsid w:val="00F93BB6"/>
    <w:rsid w:val="00F973EE"/>
    <w:rsid w:val="00FA5F9A"/>
    <w:rsid w:val="00FB1A27"/>
    <w:rsid w:val="00FD5CBE"/>
    <w:rsid w:val="00FD784E"/>
    <w:rsid w:val="00FE243C"/>
    <w:rsid w:val="00FF23C8"/>
    <w:rsid w:val="00FF506D"/>
    <w:rsid w:val="2FC36263"/>
    <w:rsid w:val="4D1120FE"/>
    <w:rsid w:val="521922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E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871ECB"/>
    <w:rPr>
      <w:rFonts w:ascii="宋体" w:eastAsia="宋体"/>
      <w:sz w:val="18"/>
      <w:szCs w:val="18"/>
    </w:rPr>
  </w:style>
  <w:style w:type="paragraph" w:styleId="a4">
    <w:name w:val="annotation text"/>
    <w:basedOn w:val="a"/>
    <w:link w:val="Char0"/>
    <w:uiPriority w:val="99"/>
    <w:semiHidden/>
    <w:unhideWhenUsed/>
    <w:rsid w:val="00871ECB"/>
    <w:pPr>
      <w:jc w:val="left"/>
    </w:pPr>
  </w:style>
  <w:style w:type="paragraph" w:styleId="a5">
    <w:name w:val="Plain Text"/>
    <w:basedOn w:val="a"/>
    <w:link w:val="Char1"/>
    <w:rsid w:val="00871ECB"/>
    <w:rPr>
      <w:rFonts w:ascii="宋体" w:eastAsia="宋体" w:hAnsi="Courier New" w:cs="Times New Roman" w:hint="eastAsia"/>
      <w:szCs w:val="20"/>
    </w:rPr>
  </w:style>
  <w:style w:type="paragraph" w:styleId="a6">
    <w:name w:val="Date"/>
    <w:basedOn w:val="a"/>
    <w:next w:val="a"/>
    <w:link w:val="Char2"/>
    <w:uiPriority w:val="99"/>
    <w:semiHidden/>
    <w:unhideWhenUsed/>
    <w:qFormat/>
    <w:rsid w:val="00871ECB"/>
    <w:pPr>
      <w:ind w:leftChars="2500" w:left="100"/>
    </w:pPr>
  </w:style>
  <w:style w:type="paragraph" w:styleId="a7">
    <w:name w:val="Balloon Text"/>
    <w:basedOn w:val="a"/>
    <w:link w:val="Char3"/>
    <w:uiPriority w:val="99"/>
    <w:semiHidden/>
    <w:unhideWhenUsed/>
    <w:qFormat/>
    <w:rsid w:val="00871ECB"/>
    <w:rPr>
      <w:sz w:val="18"/>
      <w:szCs w:val="18"/>
    </w:rPr>
  </w:style>
  <w:style w:type="paragraph" w:styleId="a8">
    <w:name w:val="footer"/>
    <w:basedOn w:val="a"/>
    <w:link w:val="Char4"/>
    <w:uiPriority w:val="99"/>
    <w:unhideWhenUsed/>
    <w:qFormat/>
    <w:rsid w:val="00871ECB"/>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871EC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871ECB"/>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6"/>
    <w:uiPriority w:val="99"/>
    <w:semiHidden/>
    <w:unhideWhenUsed/>
    <w:qFormat/>
    <w:rsid w:val="00871ECB"/>
    <w:rPr>
      <w:b/>
      <w:bCs/>
    </w:rPr>
  </w:style>
  <w:style w:type="table" w:styleId="ac">
    <w:name w:val="Table Grid"/>
    <w:basedOn w:val="a1"/>
    <w:uiPriority w:val="59"/>
    <w:qFormat/>
    <w:rsid w:val="00871ECB"/>
    <w:pPr>
      <w:ind w:firstLineChars="200" w:firstLine="20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unhideWhenUsed/>
    <w:qFormat/>
    <w:rsid w:val="00871ECB"/>
    <w:rPr>
      <w:color w:val="0000FF" w:themeColor="hyperlink"/>
      <w:u w:val="single"/>
    </w:rPr>
  </w:style>
  <w:style w:type="character" w:styleId="ae">
    <w:name w:val="annotation reference"/>
    <w:basedOn w:val="a0"/>
    <w:uiPriority w:val="99"/>
    <w:semiHidden/>
    <w:unhideWhenUsed/>
    <w:qFormat/>
    <w:rsid w:val="00871ECB"/>
    <w:rPr>
      <w:sz w:val="21"/>
      <w:szCs w:val="21"/>
    </w:rPr>
  </w:style>
  <w:style w:type="character" w:customStyle="1" w:styleId="Char1">
    <w:name w:val="纯文本 Char"/>
    <w:basedOn w:val="a0"/>
    <w:link w:val="a5"/>
    <w:qFormat/>
    <w:rsid w:val="00871ECB"/>
    <w:rPr>
      <w:rFonts w:ascii="宋体" w:eastAsia="宋体" w:hAnsi="Courier New" w:cs="Times New Roman"/>
      <w:szCs w:val="20"/>
    </w:rPr>
  </w:style>
  <w:style w:type="character" w:customStyle="1" w:styleId="Char0">
    <w:name w:val="批注文字 Char"/>
    <w:basedOn w:val="a0"/>
    <w:link w:val="a4"/>
    <w:uiPriority w:val="99"/>
    <w:semiHidden/>
    <w:qFormat/>
    <w:rsid w:val="00871ECB"/>
  </w:style>
  <w:style w:type="character" w:customStyle="1" w:styleId="Char6">
    <w:name w:val="批注主题 Char"/>
    <w:basedOn w:val="Char0"/>
    <w:link w:val="ab"/>
    <w:uiPriority w:val="99"/>
    <w:semiHidden/>
    <w:qFormat/>
    <w:rsid w:val="00871ECB"/>
    <w:rPr>
      <w:b/>
      <w:bCs/>
    </w:rPr>
  </w:style>
  <w:style w:type="character" w:customStyle="1" w:styleId="Char3">
    <w:name w:val="批注框文本 Char"/>
    <w:basedOn w:val="a0"/>
    <w:link w:val="a7"/>
    <w:uiPriority w:val="99"/>
    <w:semiHidden/>
    <w:qFormat/>
    <w:rsid w:val="00871ECB"/>
    <w:rPr>
      <w:sz w:val="18"/>
      <w:szCs w:val="18"/>
    </w:rPr>
  </w:style>
  <w:style w:type="character" w:customStyle="1" w:styleId="Char">
    <w:name w:val="文档结构图 Char"/>
    <w:basedOn w:val="a0"/>
    <w:link w:val="a3"/>
    <w:uiPriority w:val="99"/>
    <w:semiHidden/>
    <w:qFormat/>
    <w:rsid w:val="00871ECB"/>
    <w:rPr>
      <w:rFonts w:ascii="宋体" w:eastAsia="宋体"/>
      <w:sz w:val="18"/>
      <w:szCs w:val="18"/>
    </w:rPr>
  </w:style>
  <w:style w:type="character" w:customStyle="1" w:styleId="Char5">
    <w:name w:val="页眉 Char"/>
    <w:basedOn w:val="a0"/>
    <w:link w:val="a9"/>
    <w:uiPriority w:val="99"/>
    <w:qFormat/>
    <w:rsid w:val="00871ECB"/>
    <w:rPr>
      <w:sz w:val="18"/>
      <w:szCs w:val="18"/>
    </w:rPr>
  </w:style>
  <w:style w:type="character" w:customStyle="1" w:styleId="Char4">
    <w:name w:val="页脚 Char"/>
    <w:basedOn w:val="a0"/>
    <w:link w:val="a8"/>
    <w:uiPriority w:val="99"/>
    <w:qFormat/>
    <w:rsid w:val="00871ECB"/>
    <w:rPr>
      <w:sz w:val="18"/>
      <w:szCs w:val="18"/>
    </w:rPr>
  </w:style>
  <w:style w:type="paragraph" w:customStyle="1" w:styleId="1">
    <w:name w:val="修订1"/>
    <w:hidden/>
    <w:uiPriority w:val="99"/>
    <w:semiHidden/>
    <w:qFormat/>
    <w:rsid w:val="00871ECB"/>
    <w:rPr>
      <w:kern w:val="2"/>
      <w:sz w:val="21"/>
      <w:szCs w:val="22"/>
    </w:rPr>
  </w:style>
  <w:style w:type="character" w:customStyle="1" w:styleId="Char2">
    <w:name w:val="日期 Char"/>
    <w:basedOn w:val="a0"/>
    <w:link w:val="a6"/>
    <w:uiPriority w:val="99"/>
    <w:semiHidden/>
    <w:qFormat/>
    <w:rsid w:val="00871ECB"/>
  </w:style>
  <w:style w:type="paragraph" w:styleId="af">
    <w:name w:val="List Paragraph"/>
    <w:basedOn w:val="a"/>
    <w:uiPriority w:val="99"/>
    <w:qFormat/>
    <w:rsid w:val="00871EC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E383-0DD8-45FD-8D9F-640F4ABF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3899</Characters>
  <Application>Microsoft Office Word</Application>
  <DocSecurity>4</DocSecurity>
  <Lines>32</Lines>
  <Paragraphs>9</Paragraphs>
  <ScaleCrop>false</ScaleCrop>
  <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2025-01-19T16:02:00Z</dcterms:created>
  <dcterms:modified xsi:type="dcterms:W3CDTF">2025-01-19T16:02:00Z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28AA488FF70B40EABB9C64B2EC8CE114</vt:lpwstr>
  </property>
</Properties>
</file>