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922" w:rsidRPr="00A103D3" w:rsidRDefault="004B5922" w:rsidP="00A5019E">
      <w:pPr>
        <w:tabs>
          <w:tab w:val="left" w:pos="2268"/>
        </w:tabs>
        <w:overflowPunct w:val="0"/>
        <w:autoSpaceDE w:val="0"/>
        <w:autoSpaceDN w:val="0"/>
        <w:snapToGrid w:val="0"/>
        <w:spacing w:line="360" w:lineRule="auto"/>
        <w:jc w:val="center"/>
        <w:rPr>
          <w:rFonts w:eastAsiaTheme="majorEastAsia"/>
          <w:sz w:val="28"/>
          <w:szCs w:val="28"/>
        </w:rPr>
      </w:pPr>
    </w:p>
    <w:p w:rsidR="004B5922" w:rsidRPr="00A103D3" w:rsidRDefault="004B5922" w:rsidP="00A5019E">
      <w:pPr>
        <w:tabs>
          <w:tab w:val="left" w:pos="2268"/>
        </w:tabs>
        <w:overflowPunct w:val="0"/>
        <w:autoSpaceDE w:val="0"/>
        <w:autoSpaceDN w:val="0"/>
        <w:snapToGrid w:val="0"/>
        <w:spacing w:line="360" w:lineRule="auto"/>
        <w:jc w:val="center"/>
        <w:rPr>
          <w:rFonts w:eastAsiaTheme="majorEastAsia"/>
          <w:sz w:val="28"/>
          <w:szCs w:val="28"/>
        </w:rPr>
      </w:pPr>
    </w:p>
    <w:p w:rsidR="003E6510" w:rsidRPr="00A103D3" w:rsidRDefault="003E6510" w:rsidP="00A5019E">
      <w:pPr>
        <w:tabs>
          <w:tab w:val="left" w:pos="2268"/>
        </w:tabs>
        <w:overflowPunct w:val="0"/>
        <w:autoSpaceDE w:val="0"/>
        <w:autoSpaceDN w:val="0"/>
        <w:snapToGrid w:val="0"/>
        <w:spacing w:line="360" w:lineRule="auto"/>
        <w:jc w:val="center"/>
        <w:rPr>
          <w:rFonts w:eastAsiaTheme="majorEastAsia"/>
          <w:sz w:val="28"/>
          <w:szCs w:val="28"/>
        </w:rPr>
      </w:pPr>
    </w:p>
    <w:p w:rsidR="003E6510" w:rsidRPr="00A103D3" w:rsidRDefault="003E6510" w:rsidP="00A5019E">
      <w:pPr>
        <w:tabs>
          <w:tab w:val="left" w:pos="2268"/>
        </w:tabs>
        <w:overflowPunct w:val="0"/>
        <w:autoSpaceDE w:val="0"/>
        <w:autoSpaceDN w:val="0"/>
        <w:snapToGrid w:val="0"/>
        <w:spacing w:line="360" w:lineRule="auto"/>
        <w:jc w:val="center"/>
        <w:rPr>
          <w:rFonts w:eastAsiaTheme="majorEastAsia"/>
          <w:sz w:val="28"/>
          <w:szCs w:val="28"/>
        </w:rPr>
      </w:pPr>
    </w:p>
    <w:p w:rsidR="003E6510" w:rsidRPr="00A103D3" w:rsidRDefault="003E6510" w:rsidP="00A5019E">
      <w:pPr>
        <w:tabs>
          <w:tab w:val="left" w:pos="2268"/>
        </w:tabs>
        <w:overflowPunct w:val="0"/>
        <w:autoSpaceDE w:val="0"/>
        <w:autoSpaceDN w:val="0"/>
        <w:snapToGrid w:val="0"/>
        <w:spacing w:line="360" w:lineRule="auto"/>
        <w:jc w:val="center"/>
        <w:rPr>
          <w:rFonts w:eastAsiaTheme="majorEastAsia"/>
          <w:sz w:val="28"/>
          <w:szCs w:val="28"/>
        </w:rPr>
      </w:pPr>
    </w:p>
    <w:p w:rsidR="002E2E3D" w:rsidRPr="00A103D3" w:rsidRDefault="00A95AAB" w:rsidP="008270C0">
      <w:pPr>
        <w:overflowPunct w:val="0"/>
        <w:spacing w:line="360" w:lineRule="auto"/>
        <w:jc w:val="center"/>
        <w:rPr>
          <w:rFonts w:eastAsiaTheme="majorEastAsia"/>
          <w:b/>
          <w:sz w:val="32"/>
          <w:szCs w:val="32"/>
        </w:rPr>
      </w:pPr>
      <w:r w:rsidRPr="00A103D3">
        <w:rPr>
          <w:rFonts w:eastAsiaTheme="majorEastAsia"/>
          <w:b/>
          <w:sz w:val="32"/>
          <w:szCs w:val="32"/>
        </w:rPr>
        <w:t>华夏新趋势灵活配置混合型证券投资基金</w:t>
      </w:r>
      <w:r w:rsidR="002E2E3D" w:rsidRPr="00A103D3">
        <w:rPr>
          <w:rFonts w:eastAsiaTheme="majorEastAsia"/>
          <w:b/>
          <w:sz w:val="32"/>
          <w:szCs w:val="32"/>
        </w:rPr>
        <w:t>清算报告</w:t>
      </w:r>
    </w:p>
    <w:p w:rsidR="002E2E3D" w:rsidRPr="00A103D3" w:rsidRDefault="002E2E3D" w:rsidP="00A5019E">
      <w:pPr>
        <w:overflowPunct w:val="0"/>
        <w:rPr>
          <w:rFonts w:eastAsiaTheme="majorEastAsia"/>
          <w:sz w:val="28"/>
          <w:szCs w:val="28"/>
        </w:rPr>
      </w:pPr>
    </w:p>
    <w:p w:rsidR="002E2E3D" w:rsidRPr="00A103D3" w:rsidRDefault="002E2E3D" w:rsidP="00A5019E">
      <w:pPr>
        <w:overflowPunct w:val="0"/>
        <w:rPr>
          <w:rFonts w:eastAsiaTheme="majorEastAsia"/>
          <w:sz w:val="28"/>
          <w:szCs w:val="28"/>
        </w:rPr>
      </w:pPr>
    </w:p>
    <w:p w:rsidR="002E2E3D" w:rsidRPr="00A103D3" w:rsidRDefault="002E2E3D" w:rsidP="00A5019E">
      <w:pPr>
        <w:overflowPunct w:val="0"/>
        <w:rPr>
          <w:rFonts w:eastAsiaTheme="majorEastAsia"/>
          <w:sz w:val="28"/>
          <w:szCs w:val="28"/>
        </w:rPr>
      </w:pPr>
    </w:p>
    <w:p w:rsidR="00D21EC6" w:rsidRPr="00A103D3" w:rsidRDefault="00D21EC6" w:rsidP="00A5019E">
      <w:pPr>
        <w:pStyle w:val="Default"/>
        <w:overflowPunct w:val="0"/>
        <w:rPr>
          <w:rFonts w:ascii="Times New Roman" w:eastAsiaTheme="majorEastAsia" w:cs="Times New Roman"/>
          <w:color w:val="auto"/>
        </w:rPr>
      </w:pPr>
    </w:p>
    <w:p w:rsidR="004B5922" w:rsidRPr="00A103D3" w:rsidRDefault="004B5922" w:rsidP="00A5019E">
      <w:pPr>
        <w:pStyle w:val="Default"/>
        <w:overflowPunct w:val="0"/>
        <w:rPr>
          <w:rFonts w:ascii="Times New Roman" w:eastAsiaTheme="majorEastAsia" w:cs="Times New Roman"/>
          <w:color w:val="auto"/>
        </w:rPr>
      </w:pPr>
    </w:p>
    <w:p w:rsidR="004B5922" w:rsidRPr="00A103D3" w:rsidRDefault="004B5922" w:rsidP="00A5019E">
      <w:pPr>
        <w:pStyle w:val="Default"/>
        <w:overflowPunct w:val="0"/>
        <w:rPr>
          <w:rFonts w:ascii="Times New Roman" w:eastAsiaTheme="majorEastAsia" w:cs="Times New Roman"/>
          <w:color w:val="auto"/>
        </w:rPr>
      </w:pPr>
    </w:p>
    <w:p w:rsidR="004B5922" w:rsidRPr="00A103D3" w:rsidRDefault="004B5922" w:rsidP="00A5019E">
      <w:pPr>
        <w:pStyle w:val="Default"/>
        <w:overflowPunct w:val="0"/>
        <w:rPr>
          <w:rFonts w:ascii="Times New Roman" w:eastAsiaTheme="majorEastAsia" w:cs="Times New Roman"/>
          <w:color w:val="auto"/>
        </w:rPr>
      </w:pPr>
    </w:p>
    <w:p w:rsidR="004B5922" w:rsidRPr="00A103D3" w:rsidRDefault="004B5922" w:rsidP="00A5019E">
      <w:pPr>
        <w:pStyle w:val="Default"/>
        <w:overflowPunct w:val="0"/>
        <w:rPr>
          <w:rFonts w:ascii="Times New Roman" w:eastAsiaTheme="majorEastAsia" w:cs="Times New Roman"/>
          <w:color w:val="auto"/>
        </w:rPr>
      </w:pPr>
    </w:p>
    <w:p w:rsidR="004B5922" w:rsidRPr="00A103D3" w:rsidRDefault="004B5922" w:rsidP="00A5019E">
      <w:pPr>
        <w:pStyle w:val="Default"/>
        <w:overflowPunct w:val="0"/>
        <w:rPr>
          <w:rFonts w:ascii="Times New Roman" w:eastAsiaTheme="majorEastAsia" w:cs="Times New Roman"/>
          <w:color w:val="auto"/>
        </w:rPr>
      </w:pPr>
    </w:p>
    <w:p w:rsidR="004B5922" w:rsidRPr="00A103D3" w:rsidRDefault="004B5922" w:rsidP="00A5019E">
      <w:pPr>
        <w:pStyle w:val="Default"/>
        <w:overflowPunct w:val="0"/>
        <w:rPr>
          <w:rFonts w:ascii="Times New Roman" w:eastAsiaTheme="majorEastAsia" w:cs="Times New Roman"/>
          <w:color w:val="auto"/>
        </w:rPr>
      </w:pPr>
    </w:p>
    <w:p w:rsidR="00D21EC6" w:rsidRPr="00A103D3" w:rsidRDefault="00D21EC6" w:rsidP="00A5019E">
      <w:pPr>
        <w:pStyle w:val="Default"/>
        <w:overflowPunct w:val="0"/>
        <w:rPr>
          <w:rFonts w:ascii="Times New Roman" w:eastAsiaTheme="majorEastAsia" w:cs="Times New Roman"/>
          <w:color w:val="auto"/>
        </w:rPr>
      </w:pPr>
    </w:p>
    <w:p w:rsidR="00D21EC6" w:rsidRPr="00A103D3" w:rsidRDefault="00D21EC6" w:rsidP="00A5019E">
      <w:pPr>
        <w:pStyle w:val="Default"/>
        <w:overflowPunct w:val="0"/>
        <w:spacing w:line="360" w:lineRule="auto"/>
        <w:ind w:leftChars="946" w:left="1987"/>
        <w:rPr>
          <w:rFonts w:ascii="Times New Roman" w:eastAsiaTheme="majorEastAsia" w:cs="Times New Roman"/>
          <w:color w:val="auto"/>
          <w:sz w:val="28"/>
          <w:szCs w:val="28"/>
        </w:rPr>
      </w:pPr>
      <w:r w:rsidRPr="00A103D3">
        <w:rPr>
          <w:rFonts w:ascii="Times New Roman" w:eastAsiaTheme="majorEastAsia" w:cs="Times New Roman"/>
          <w:color w:val="auto"/>
          <w:sz w:val="28"/>
          <w:szCs w:val="28"/>
        </w:rPr>
        <w:t>基金管理人：华夏基金管理有限公司</w:t>
      </w:r>
    </w:p>
    <w:p w:rsidR="00D21EC6" w:rsidRPr="00A103D3" w:rsidRDefault="00D21EC6" w:rsidP="00A5019E">
      <w:pPr>
        <w:pStyle w:val="Default"/>
        <w:overflowPunct w:val="0"/>
        <w:spacing w:line="360" w:lineRule="auto"/>
        <w:ind w:leftChars="946" w:left="1987"/>
        <w:rPr>
          <w:rFonts w:ascii="Times New Roman" w:eastAsiaTheme="majorEastAsia" w:cs="Times New Roman"/>
          <w:color w:val="auto"/>
          <w:sz w:val="28"/>
          <w:szCs w:val="28"/>
        </w:rPr>
      </w:pPr>
      <w:r w:rsidRPr="00A103D3">
        <w:rPr>
          <w:rFonts w:ascii="Times New Roman" w:eastAsiaTheme="majorEastAsia" w:cs="Times New Roman"/>
          <w:color w:val="auto"/>
          <w:sz w:val="28"/>
          <w:szCs w:val="28"/>
        </w:rPr>
        <w:t>基金托管人：</w:t>
      </w:r>
      <w:r w:rsidR="00A95AAB" w:rsidRPr="00A103D3">
        <w:rPr>
          <w:rFonts w:ascii="Times New Roman" w:eastAsiaTheme="majorEastAsia" w:cs="Times New Roman"/>
          <w:color w:val="auto"/>
          <w:sz w:val="28"/>
          <w:szCs w:val="28"/>
        </w:rPr>
        <w:t>中国建设银行股份有限公司</w:t>
      </w:r>
    </w:p>
    <w:p w:rsidR="00B66163" w:rsidRPr="00A103D3" w:rsidRDefault="00B66163" w:rsidP="00A5019E">
      <w:pPr>
        <w:pStyle w:val="Default"/>
        <w:overflowPunct w:val="0"/>
        <w:spacing w:line="360" w:lineRule="auto"/>
        <w:ind w:leftChars="946" w:left="1987"/>
        <w:rPr>
          <w:rFonts w:ascii="Times New Roman" w:eastAsiaTheme="majorEastAsia" w:cs="Times New Roman"/>
          <w:color w:val="auto"/>
          <w:sz w:val="28"/>
          <w:szCs w:val="28"/>
        </w:rPr>
      </w:pPr>
      <w:r w:rsidRPr="00A103D3">
        <w:rPr>
          <w:rFonts w:ascii="Times New Roman" w:eastAsiaTheme="majorEastAsia" w:cs="Times New Roman"/>
          <w:color w:val="auto"/>
          <w:sz w:val="28"/>
          <w:szCs w:val="28"/>
        </w:rPr>
        <w:t>清算报告出具日：</w:t>
      </w:r>
      <w:r w:rsidR="00A95AAB" w:rsidRPr="00A103D3">
        <w:rPr>
          <w:rFonts w:ascii="Times New Roman" w:eastAsiaTheme="majorEastAsia" w:cs="Times New Roman"/>
          <w:color w:val="auto"/>
          <w:sz w:val="28"/>
          <w:szCs w:val="28"/>
        </w:rPr>
        <w:t>二〇二五年一月七日</w:t>
      </w:r>
    </w:p>
    <w:p w:rsidR="00F47028" w:rsidRPr="00A103D3" w:rsidRDefault="00F47028" w:rsidP="00A5019E">
      <w:pPr>
        <w:pStyle w:val="Default"/>
        <w:overflowPunct w:val="0"/>
        <w:spacing w:line="360" w:lineRule="auto"/>
        <w:ind w:leftChars="946" w:left="1987"/>
        <w:rPr>
          <w:rFonts w:ascii="Times New Roman" w:eastAsiaTheme="majorEastAsia" w:cs="Times New Roman"/>
          <w:color w:val="auto"/>
          <w:sz w:val="28"/>
          <w:szCs w:val="28"/>
        </w:rPr>
      </w:pPr>
      <w:r w:rsidRPr="00A103D3">
        <w:rPr>
          <w:rFonts w:ascii="Times New Roman" w:eastAsiaTheme="majorEastAsia" w:cs="Times New Roman"/>
          <w:color w:val="auto"/>
          <w:sz w:val="28"/>
          <w:szCs w:val="28"/>
        </w:rPr>
        <w:t>清算报告公告日：</w:t>
      </w:r>
      <w:r w:rsidR="004F6138" w:rsidRPr="00A103D3">
        <w:rPr>
          <w:rFonts w:ascii="Times New Roman" w:eastAsiaTheme="majorEastAsia" w:cs="Times New Roman"/>
          <w:color w:val="auto"/>
          <w:sz w:val="28"/>
          <w:szCs w:val="28"/>
        </w:rPr>
        <w:t>二</w:t>
      </w:r>
      <w:r w:rsidR="00AC0B99" w:rsidRPr="00A103D3">
        <w:rPr>
          <w:rFonts w:ascii="Times New Roman" w:eastAsiaTheme="majorEastAsia" w:cs="Times New Roman"/>
          <w:color w:val="auto"/>
          <w:sz w:val="28"/>
          <w:szCs w:val="28"/>
        </w:rPr>
        <w:t>〇</w:t>
      </w:r>
      <w:r w:rsidR="004F6138" w:rsidRPr="00A103D3">
        <w:rPr>
          <w:rFonts w:ascii="Times New Roman" w:eastAsiaTheme="majorEastAsia" w:cs="Times New Roman"/>
          <w:color w:val="auto"/>
          <w:sz w:val="28"/>
          <w:szCs w:val="28"/>
        </w:rPr>
        <w:t>二</w:t>
      </w:r>
      <w:r w:rsidR="00204805" w:rsidRPr="00A103D3">
        <w:rPr>
          <w:rFonts w:ascii="Times New Roman" w:eastAsiaTheme="majorEastAsia" w:cs="Times New Roman"/>
          <w:color w:val="auto"/>
          <w:sz w:val="28"/>
          <w:szCs w:val="28"/>
        </w:rPr>
        <w:t>五</w:t>
      </w:r>
      <w:r w:rsidRPr="00A103D3">
        <w:rPr>
          <w:rFonts w:ascii="Times New Roman" w:eastAsiaTheme="majorEastAsia" w:cs="Times New Roman"/>
          <w:color w:val="auto"/>
          <w:sz w:val="28"/>
          <w:szCs w:val="28"/>
        </w:rPr>
        <w:t>年</w:t>
      </w:r>
      <w:r w:rsidR="00C64A9F" w:rsidRPr="00A103D3">
        <w:rPr>
          <w:rFonts w:ascii="Times New Roman" w:eastAsiaTheme="majorEastAsia" w:cs="Times New Roman"/>
          <w:color w:val="auto"/>
          <w:sz w:val="28"/>
          <w:szCs w:val="28"/>
        </w:rPr>
        <w:t>一</w:t>
      </w:r>
      <w:r w:rsidR="00E94EE5" w:rsidRPr="00A103D3">
        <w:rPr>
          <w:rFonts w:ascii="Times New Roman" w:eastAsiaTheme="majorEastAsia" w:cs="Times New Roman"/>
          <w:color w:val="auto"/>
          <w:sz w:val="28"/>
          <w:szCs w:val="28"/>
        </w:rPr>
        <w:t>月</w:t>
      </w:r>
      <w:r w:rsidR="00A95AAB" w:rsidRPr="00A103D3">
        <w:rPr>
          <w:rFonts w:ascii="Times New Roman" w:eastAsiaTheme="majorEastAsia" w:cs="Times New Roman"/>
          <w:color w:val="auto"/>
          <w:sz w:val="28"/>
          <w:szCs w:val="28"/>
        </w:rPr>
        <w:t>十六</w:t>
      </w:r>
      <w:r w:rsidRPr="00A103D3">
        <w:rPr>
          <w:rFonts w:ascii="Times New Roman" w:eastAsiaTheme="majorEastAsia" w:cs="Times New Roman"/>
          <w:color w:val="auto"/>
          <w:sz w:val="28"/>
          <w:szCs w:val="28"/>
        </w:rPr>
        <w:t>日</w:t>
      </w:r>
    </w:p>
    <w:p w:rsidR="00F406F3" w:rsidRPr="00A103D3" w:rsidRDefault="00F406F3" w:rsidP="00A5019E">
      <w:pPr>
        <w:pStyle w:val="Default"/>
        <w:overflowPunct w:val="0"/>
        <w:spacing w:line="360" w:lineRule="auto"/>
        <w:ind w:leftChars="946" w:left="1987"/>
        <w:rPr>
          <w:rFonts w:ascii="Times New Roman" w:eastAsiaTheme="majorEastAsia" w:cs="Times New Roman"/>
          <w:color w:val="auto"/>
          <w:sz w:val="28"/>
          <w:szCs w:val="28"/>
        </w:rPr>
      </w:pPr>
    </w:p>
    <w:p w:rsidR="002E2E3D" w:rsidRPr="00A103D3" w:rsidRDefault="000F6087" w:rsidP="00A5019E">
      <w:pPr>
        <w:tabs>
          <w:tab w:val="center" w:pos="4526"/>
          <w:tab w:val="left" w:pos="6610"/>
        </w:tabs>
        <w:overflowPunct w:val="0"/>
        <w:spacing w:before="100" w:after="100" w:line="360" w:lineRule="auto"/>
        <w:jc w:val="left"/>
        <w:rPr>
          <w:rFonts w:eastAsiaTheme="majorEastAsia"/>
          <w:b/>
          <w:bCs/>
          <w:sz w:val="28"/>
          <w:szCs w:val="28"/>
        </w:rPr>
      </w:pPr>
      <w:r w:rsidRPr="00A103D3">
        <w:rPr>
          <w:rFonts w:eastAsiaTheme="majorEastAsia"/>
          <w:sz w:val="28"/>
          <w:szCs w:val="28"/>
        </w:rPr>
        <w:br w:type="page"/>
      </w:r>
      <w:r w:rsidR="004F6138" w:rsidRPr="00A103D3">
        <w:rPr>
          <w:rFonts w:eastAsiaTheme="majorEastAsia"/>
          <w:sz w:val="28"/>
          <w:szCs w:val="28"/>
        </w:rPr>
        <w:lastRenderedPageBreak/>
        <w:tab/>
      </w:r>
      <w:r w:rsidR="0089481E" w:rsidRPr="00A103D3">
        <w:rPr>
          <w:rFonts w:eastAsiaTheme="majorEastAsia"/>
          <w:b/>
          <w:bCs/>
          <w:sz w:val="28"/>
          <w:szCs w:val="28"/>
        </w:rPr>
        <w:t>目录</w:t>
      </w:r>
      <w:r w:rsidR="004F6138" w:rsidRPr="00A103D3">
        <w:rPr>
          <w:rFonts w:eastAsiaTheme="majorEastAsia"/>
          <w:b/>
          <w:bCs/>
          <w:sz w:val="28"/>
          <w:szCs w:val="28"/>
        </w:rPr>
        <w:tab/>
      </w:r>
    </w:p>
    <w:p w:rsidR="00415716" w:rsidRPr="00A103D3" w:rsidRDefault="004A27AB" w:rsidP="00A5019E">
      <w:pPr>
        <w:pStyle w:val="10"/>
        <w:overflowPunct w:val="0"/>
        <w:rPr>
          <w:rFonts w:eastAsiaTheme="majorEastAsia"/>
          <w:noProof/>
          <w:lang w:bidi="th-TH"/>
        </w:rPr>
      </w:pPr>
      <w:r w:rsidRPr="00A103D3">
        <w:rPr>
          <w:rFonts w:eastAsiaTheme="majorEastAsia"/>
          <w:sz w:val="28"/>
          <w:szCs w:val="28"/>
        </w:rPr>
        <w:fldChar w:fldCharType="begin"/>
      </w:r>
      <w:r w:rsidR="000F6087" w:rsidRPr="00A103D3">
        <w:rPr>
          <w:rFonts w:eastAsiaTheme="majorEastAsia"/>
          <w:sz w:val="28"/>
          <w:szCs w:val="28"/>
        </w:rPr>
        <w:instrText xml:space="preserve"> TOC \o "1-1" \h \z \u </w:instrText>
      </w:r>
      <w:r w:rsidRPr="00A103D3">
        <w:rPr>
          <w:rFonts w:eastAsiaTheme="majorEastAsia"/>
          <w:sz w:val="28"/>
          <w:szCs w:val="28"/>
        </w:rPr>
        <w:fldChar w:fldCharType="separate"/>
      </w:r>
      <w:hyperlink w:anchor="_Toc447194467" w:history="1">
        <w:r w:rsidR="00415716" w:rsidRPr="00A103D3">
          <w:rPr>
            <w:rStyle w:val="af"/>
            <w:rFonts w:eastAsiaTheme="majorEastAsia"/>
            <w:noProof/>
            <w:color w:val="auto"/>
            <w:sz w:val="24"/>
          </w:rPr>
          <w:t>重要提示</w:t>
        </w:r>
        <w:r w:rsidR="00415716" w:rsidRPr="00A103D3">
          <w:rPr>
            <w:rFonts w:eastAsiaTheme="majorEastAsia"/>
            <w:noProof/>
            <w:webHidden/>
          </w:rPr>
          <w:tab/>
        </w:r>
        <w:r w:rsidRPr="00A103D3">
          <w:rPr>
            <w:rFonts w:eastAsiaTheme="majorEastAsia"/>
            <w:noProof/>
            <w:webHidden/>
          </w:rPr>
          <w:fldChar w:fldCharType="begin"/>
        </w:r>
        <w:r w:rsidR="00415716" w:rsidRPr="00A103D3">
          <w:rPr>
            <w:rFonts w:eastAsiaTheme="majorEastAsia"/>
            <w:noProof/>
            <w:webHidden/>
          </w:rPr>
          <w:instrText xml:space="preserve"> PAGEREF _Toc447194467 \h </w:instrText>
        </w:r>
        <w:r w:rsidRPr="00A103D3">
          <w:rPr>
            <w:rFonts w:eastAsiaTheme="majorEastAsia"/>
            <w:noProof/>
            <w:webHidden/>
          </w:rPr>
        </w:r>
        <w:r w:rsidRPr="00A103D3">
          <w:rPr>
            <w:rFonts w:eastAsiaTheme="majorEastAsia"/>
            <w:noProof/>
            <w:webHidden/>
          </w:rPr>
          <w:fldChar w:fldCharType="separate"/>
        </w:r>
        <w:bookmarkStart w:id="0" w:name="_GoBack"/>
        <w:r w:rsidR="001D7BE8">
          <w:rPr>
            <w:rFonts w:eastAsiaTheme="majorEastAsia"/>
            <w:noProof/>
            <w:webHidden/>
          </w:rPr>
          <w:t>3</w:t>
        </w:r>
        <w:bookmarkEnd w:id="0"/>
        <w:r w:rsidRPr="00A103D3">
          <w:rPr>
            <w:rFonts w:eastAsiaTheme="majorEastAsia"/>
            <w:noProof/>
            <w:webHidden/>
          </w:rPr>
          <w:fldChar w:fldCharType="end"/>
        </w:r>
      </w:hyperlink>
    </w:p>
    <w:p w:rsidR="00415716" w:rsidRPr="00A103D3" w:rsidRDefault="004A27AB" w:rsidP="00A5019E">
      <w:pPr>
        <w:pStyle w:val="10"/>
        <w:overflowPunct w:val="0"/>
        <w:rPr>
          <w:rFonts w:eastAsiaTheme="majorEastAsia"/>
          <w:noProof/>
          <w:lang w:bidi="th-TH"/>
        </w:rPr>
      </w:pPr>
      <w:hyperlink w:anchor="_Toc447194468" w:history="1">
        <w:r w:rsidR="00415716" w:rsidRPr="00A103D3">
          <w:rPr>
            <w:rStyle w:val="af"/>
            <w:rFonts w:eastAsiaTheme="majorEastAsia"/>
            <w:noProof/>
            <w:color w:val="auto"/>
            <w:sz w:val="24"/>
          </w:rPr>
          <w:t>一、基金概况</w:t>
        </w:r>
        <w:r w:rsidR="00415716" w:rsidRPr="00A103D3">
          <w:rPr>
            <w:rFonts w:eastAsiaTheme="majorEastAsia"/>
            <w:noProof/>
            <w:webHidden/>
          </w:rPr>
          <w:tab/>
        </w:r>
        <w:r w:rsidRPr="00A103D3">
          <w:rPr>
            <w:rFonts w:eastAsiaTheme="majorEastAsia"/>
            <w:noProof/>
            <w:webHidden/>
          </w:rPr>
          <w:fldChar w:fldCharType="begin"/>
        </w:r>
        <w:r w:rsidR="00415716" w:rsidRPr="00A103D3">
          <w:rPr>
            <w:rFonts w:eastAsiaTheme="majorEastAsia"/>
            <w:noProof/>
            <w:webHidden/>
          </w:rPr>
          <w:instrText xml:space="preserve"> PAGEREF _Toc447194468 \h </w:instrText>
        </w:r>
        <w:r w:rsidRPr="00A103D3">
          <w:rPr>
            <w:rFonts w:eastAsiaTheme="majorEastAsia"/>
            <w:noProof/>
            <w:webHidden/>
          </w:rPr>
        </w:r>
        <w:r w:rsidRPr="00A103D3">
          <w:rPr>
            <w:rFonts w:eastAsiaTheme="majorEastAsia"/>
            <w:noProof/>
            <w:webHidden/>
          </w:rPr>
          <w:fldChar w:fldCharType="separate"/>
        </w:r>
        <w:r w:rsidR="001D7BE8">
          <w:rPr>
            <w:rFonts w:eastAsiaTheme="majorEastAsia"/>
            <w:noProof/>
            <w:webHidden/>
          </w:rPr>
          <w:t>3</w:t>
        </w:r>
        <w:r w:rsidRPr="00A103D3">
          <w:rPr>
            <w:rFonts w:eastAsiaTheme="majorEastAsia"/>
            <w:noProof/>
            <w:webHidden/>
          </w:rPr>
          <w:fldChar w:fldCharType="end"/>
        </w:r>
      </w:hyperlink>
    </w:p>
    <w:p w:rsidR="00415716" w:rsidRPr="00A103D3" w:rsidRDefault="004A27AB" w:rsidP="00A5019E">
      <w:pPr>
        <w:pStyle w:val="10"/>
        <w:overflowPunct w:val="0"/>
        <w:rPr>
          <w:rFonts w:eastAsiaTheme="majorEastAsia"/>
          <w:noProof/>
          <w:lang w:bidi="th-TH"/>
        </w:rPr>
      </w:pPr>
      <w:hyperlink w:anchor="_Toc447194469" w:history="1">
        <w:r w:rsidR="00415716" w:rsidRPr="00A103D3">
          <w:rPr>
            <w:rStyle w:val="af"/>
            <w:rFonts w:eastAsiaTheme="majorEastAsia"/>
            <w:noProof/>
            <w:color w:val="auto"/>
            <w:sz w:val="24"/>
          </w:rPr>
          <w:t>二、基金运作情况</w:t>
        </w:r>
        <w:r w:rsidR="00415716" w:rsidRPr="00A103D3">
          <w:rPr>
            <w:rFonts w:eastAsiaTheme="majorEastAsia"/>
            <w:noProof/>
            <w:webHidden/>
          </w:rPr>
          <w:tab/>
        </w:r>
        <w:r w:rsidRPr="00A103D3">
          <w:rPr>
            <w:rFonts w:eastAsiaTheme="majorEastAsia"/>
            <w:noProof/>
            <w:webHidden/>
          </w:rPr>
          <w:fldChar w:fldCharType="begin"/>
        </w:r>
        <w:r w:rsidR="00415716" w:rsidRPr="00A103D3">
          <w:rPr>
            <w:rFonts w:eastAsiaTheme="majorEastAsia"/>
            <w:noProof/>
            <w:webHidden/>
          </w:rPr>
          <w:instrText xml:space="preserve"> PAGEREF _Toc447194469 \h </w:instrText>
        </w:r>
        <w:r w:rsidRPr="00A103D3">
          <w:rPr>
            <w:rFonts w:eastAsiaTheme="majorEastAsia"/>
            <w:noProof/>
            <w:webHidden/>
          </w:rPr>
        </w:r>
        <w:r w:rsidRPr="00A103D3">
          <w:rPr>
            <w:rFonts w:eastAsiaTheme="majorEastAsia"/>
            <w:noProof/>
            <w:webHidden/>
          </w:rPr>
          <w:fldChar w:fldCharType="separate"/>
        </w:r>
        <w:r w:rsidR="001D7BE8">
          <w:rPr>
            <w:rFonts w:eastAsiaTheme="majorEastAsia"/>
            <w:noProof/>
            <w:webHidden/>
          </w:rPr>
          <w:t>3</w:t>
        </w:r>
        <w:r w:rsidRPr="00A103D3">
          <w:rPr>
            <w:rFonts w:eastAsiaTheme="majorEastAsia"/>
            <w:noProof/>
            <w:webHidden/>
          </w:rPr>
          <w:fldChar w:fldCharType="end"/>
        </w:r>
      </w:hyperlink>
    </w:p>
    <w:p w:rsidR="00415716" w:rsidRPr="00A103D3" w:rsidRDefault="004A27AB" w:rsidP="00A5019E">
      <w:pPr>
        <w:pStyle w:val="10"/>
        <w:overflowPunct w:val="0"/>
        <w:rPr>
          <w:rFonts w:eastAsiaTheme="majorEastAsia"/>
          <w:noProof/>
          <w:lang w:bidi="th-TH"/>
        </w:rPr>
      </w:pPr>
      <w:hyperlink w:anchor="_Toc447194470" w:history="1">
        <w:r w:rsidR="00415716" w:rsidRPr="00A103D3">
          <w:rPr>
            <w:rStyle w:val="af"/>
            <w:rFonts w:eastAsiaTheme="majorEastAsia"/>
            <w:noProof/>
            <w:color w:val="auto"/>
            <w:sz w:val="24"/>
          </w:rPr>
          <w:t>三、财务会计报告</w:t>
        </w:r>
        <w:r w:rsidR="00415716" w:rsidRPr="00A103D3">
          <w:rPr>
            <w:rFonts w:eastAsiaTheme="majorEastAsia"/>
            <w:noProof/>
            <w:webHidden/>
          </w:rPr>
          <w:tab/>
        </w:r>
        <w:r w:rsidRPr="00A103D3">
          <w:rPr>
            <w:rFonts w:eastAsiaTheme="majorEastAsia"/>
            <w:noProof/>
            <w:webHidden/>
          </w:rPr>
          <w:fldChar w:fldCharType="begin"/>
        </w:r>
        <w:r w:rsidR="00415716" w:rsidRPr="00A103D3">
          <w:rPr>
            <w:rFonts w:eastAsiaTheme="majorEastAsia"/>
            <w:noProof/>
            <w:webHidden/>
          </w:rPr>
          <w:instrText xml:space="preserve"> PAGEREF _Toc447194470 \h </w:instrText>
        </w:r>
        <w:r w:rsidRPr="00A103D3">
          <w:rPr>
            <w:rFonts w:eastAsiaTheme="majorEastAsia"/>
            <w:noProof/>
            <w:webHidden/>
          </w:rPr>
        </w:r>
        <w:r w:rsidRPr="00A103D3">
          <w:rPr>
            <w:rFonts w:eastAsiaTheme="majorEastAsia"/>
            <w:noProof/>
            <w:webHidden/>
          </w:rPr>
          <w:fldChar w:fldCharType="separate"/>
        </w:r>
        <w:r w:rsidR="001D7BE8">
          <w:rPr>
            <w:rFonts w:eastAsiaTheme="majorEastAsia"/>
            <w:noProof/>
            <w:webHidden/>
          </w:rPr>
          <w:t>4</w:t>
        </w:r>
        <w:r w:rsidRPr="00A103D3">
          <w:rPr>
            <w:rFonts w:eastAsiaTheme="majorEastAsia"/>
            <w:noProof/>
            <w:webHidden/>
          </w:rPr>
          <w:fldChar w:fldCharType="end"/>
        </w:r>
      </w:hyperlink>
    </w:p>
    <w:p w:rsidR="00415716" w:rsidRPr="00A103D3" w:rsidRDefault="004A27AB" w:rsidP="00A5019E">
      <w:pPr>
        <w:pStyle w:val="10"/>
        <w:overflowPunct w:val="0"/>
        <w:rPr>
          <w:rFonts w:eastAsiaTheme="majorEastAsia"/>
          <w:noProof/>
          <w:lang w:bidi="th-TH"/>
        </w:rPr>
      </w:pPr>
      <w:hyperlink w:anchor="_Toc447194471" w:history="1">
        <w:r w:rsidR="00415716" w:rsidRPr="00A103D3">
          <w:rPr>
            <w:rStyle w:val="af"/>
            <w:rFonts w:eastAsiaTheme="majorEastAsia"/>
            <w:noProof/>
            <w:color w:val="auto"/>
            <w:sz w:val="24"/>
          </w:rPr>
          <w:t>四、清算情况</w:t>
        </w:r>
        <w:r w:rsidR="00415716" w:rsidRPr="00A103D3">
          <w:rPr>
            <w:rFonts w:eastAsiaTheme="majorEastAsia"/>
            <w:noProof/>
            <w:webHidden/>
          </w:rPr>
          <w:tab/>
        </w:r>
        <w:r w:rsidRPr="00A103D3">
          <w:rPr>
            <w:rFonts w:eastAsiaTheme="majorEastAsia"/>
            <w:noProof/>
            <w:webHidden/>
          </w:rPr>
          <w:fldChar w:fldCharType="begin"/>
        </w:r>
        <w:r w:rsidR="00415716" w:rsidRPr="00A103D3">
          <w:rPr>
            <w:rFonts w:eastAsiaTheme="majorEastAsia"/>
            <w:noProof/>
            <w:webHidden/>
          </w:rPr>
          <w:instrText xml:space="preserve"> PAGEREF _Toc447194471 \h </w:instrText>
        </w:r>
        <w:r w:rsidRPr="00A103D3">
          <w:rPr>
            <w:rFonts w:eastAsiaTheme="majorEastAsia"/>
            <w:noProof/>
            <w:webHidden/>
          </w:rPr>
        </w:r>
        <w:r w:rsidRPr="00A103D3">
          <w:rPr>
            <w:rFonts w:eastAsiaTheme="majorEastAsia"/>
            <w:noProof/>
            <w:webHidden/>
          </w:rPr>
          <w:fldChar w:fldCharType="separate"/>
        </w:r>
        <w:r w:rsidR="001D7BE8">
          <w:rPr>
            <w:rFonts w:eastAsiaTheme="majorEastAsia"/>
            <w:noProof/>
            <w:webHidden/>
          </w:rPr>
          <w:t>5</w:t>
        </w:r>
        <w:r w:rsidRPr="00A103D3">
          <w:rPr>
            <w:rFonts w:eastAsiaTheme="majorEastAsia"/>
            <w:noProof/>
            <w:webHidden/>
          </w:rPr>
          <w:fldChar w:fldCharType="end"/>
        </w:r>
      </w:hyperlink>
    </w:p>
    <w:p w:rsidR="00415716" w:rsidRPr="00A103D3" w:rsidRDefault="004A27AB" w:rsidP="00A5019E">
      <w:pPr>
        <w:pStyle w:val="10"/>
        <w:overflowPunct w:val="0"/>
        <w:rPr>
          <w:rFonts w:eastAsiaTheme="majorEastAsia"/>
          <w:noProof/>
          <w:szCs w:val="28"/>
          <w:lang w:bidi="th-TH"/>
        </w:rPr>
      </w:pPr>
      <w:hyperlink w:anchor="_Toc447194472" w:history="1">
        <w:r w:rsidR="00415716" w:rsidRPr="00A103D3">
          <w:rPr>
            <w:rStyle w:val="af"/>
            <w:rFonts w:eastAsiaTheme="majorEastAsia"/>
            <w:noProof/>
            <w:color w:val="auto"/>
            <w:sz w:val="24"/>
          </w:rPr>
          <w:t>五、备查文件</w:t>
        </w:r>
        <w:r w:rsidR="00415716" w:rsidRPr="00A103D3">
          <w:rPr>
            <w:rFonts w:eastAsiaTheme="majorEastAsia"/>
            <w:noProof/>
            <w:webHidden/>
          </w:rPr>
          <w:tab/>
        </w:r>
        <w:r w:rsidRPr="00A103D3">
          <w:rPr>
            <w:rFonts w:eastAsiaTheme="majorEastAsia"/>
            <w:noProof/>
            <w:webHidden/>
          </w:rPr>
          <w:fldChar w:fldCharType="begin"/>
        </w:r>
        <w:r w:rsidR="00415716" w:rsidRPr="00A103D3">
          <w:rPr>
            <w:rFonts w:eastAsiaTheme="majorEastAsia"/>
            <w:noProof/>
            <w:webHidden/>
          </w:rPr>
          <w:instrText xml:space="preserve"> PAGEREF _Toc447194472 \h </w:instrText>
        </w:r>
        <w:r w:rsidRPr="00A103D3">
          <w:rPr>
            <w:rFonts w:eastAsiaTheme="majorEastAsia"/>
            <w:noProof/>
            <w:webHidden/>
          </w:rPr>
        </w:r>
        <w:r w:rsidRPr="00A103D3">
          <w:rPr>
            <w:rFonts w:eastAsiaTheme="majorEastAsia"/>
            <w:noProof/>
            <w:webHidden/>
          </w:rPr>
          <w:fldChar w:fldCharType="separate"/>
        </w:r>
        <w:r w:rsidR="001D7BE8">
          <w:rPr>
            <w:rFonts w:eastAsiaTheme="majorEastAsia"/>
            <w:noProof/>
            <w:webHidden/>
          </w:rPr>
          <w:t>8</w:t>
        </w:r>
        <w:r w:rsidRPr="00A103D3">
          <w:rPr>
            <w:rFonts w:eastAsiaTheme="majorEastAsia"/>
            <w:noProof/>
            <w:webHidden/>
          </w:rPr>
          <w:fldChar w:fldCharType="end"/>
        </w:r>
      </w:hyperlink>
    </w:p>
    <w:p w:rsidR="002E2E3D" w:rsidRPr="00A103D3" w:rsidRDefault="004A27AB" w:rsidP="00A5019E">
      <w:pPr>
        <w:overflowPunct w:val="0"/>
        <w:rPr>
          <w:rFonts w:eastAsiaTheme="majorEastAsia"/>
          <w:sz w:val="28"/>
          <w:szCs w:val="28"/>
        </w:rPr>
      </w:pPr>
      <w:r w:rsidRPr="00A103D3">
        <w:rPr>
          <w:rFonts w:eastAsiaTheme="majorEastAsia"/>
          <w:sz w:val="28"/>
          <w:szCs w:val="28"/>
        </w:rPr>
        <w:fldChar w:fldCharType="end"/>
      </w:r>
    </w:p>
    <w:p w:rsidR="002E2E3D" w:rsidRPr="00A103D3" w:rsidRDefault="002E2E3D" w:rsidP="00A5019E">
      <w:pPr>
        <w:overflowPunct w:val="0"/>
        <w:rPr>
          <w:rFonts w:eastAsiaTheme="majorEastAsia"/>
          <w:sz w:val="28"/>
          <w:szCs w:val="28"/>
        </w:rPr>
      </w:pPr>
    </w:p>
    <w:p w:rsidR="002E2E3D" w:rsidRPr="00A103D3" w:rsidRDefault="002E2E3D" w:rsidP="00A5019E">
      <w:pPr>
        <w:overflowPunct w:val="0"/>
        <w:rPr>
          <w:rFonts w:eastAsiaTheme="majorEastAsia"/>
          <w:sz w:val="28"/>
          <w:szCs w:val="28"/>
        </w:rPr>
      </w:pPr>
    </w:p>
    <w:p w:rsidR="002E2E3D" w:rsidRPr="00A103D3" w:rsidRDefault="002E2E3D" w:rsidP="00A5019E">
      <w:pPr>
        <w:overflowPunct w:val="0"/>
        <w:rPr>
          <w:rFonts w:eastAsiaTheme="majorEastAsia"/>
          <w:sz w:val="28"/>
          <w:szCs w:val="28"/>
        </w:rPr>
      </w:pPr>
    </w:p>
    <w:p w:rsidR="002E2E3D" w:rsidRPr="00A103D3" w:rsidRDefault="002E2E3D" w:rsidP="00A5019E">
      <w:pPr>
        <w:overflowPunct w:val="0"/>
        <w:rPr>
          <w:rFonts w:eastAsiaTheme="majorEastAsia"/>
          <w:sz w:val="28"/>
          <w:szCs w:val="28"/>
        </w:rPr>
      </w:pPr>
    </w:p>
    <w:p w:rsidR="0089481E" w:rsidRPr="00A103D3" w:rsidRDefault="0089481E" w:rsidP="00A5019E">
      <w:pPr>
        <w:overflowPunct w:val="0"/>
        <w:rPr>
          <w:rFonts w:eastAsiaTheme="majorEastAsia"/>
          <w:sz w:val="28"/>
          <w:szCs w:val="28"/>
        </w:rPr>
      </w:pPr>
    </w:p>
    <w:p w:rsidR="00D21EC6" w:rsidRPr="00A103D3" w:rsidRDefault="003E6510" w:rsidP="00A5019E">
      <w:pPr>
        <w:pStyle w:val="1"/>
        <w:overflowPunct w:val="0"/>
        <w:spacing w:before="100" w:after="100" w:line="360" w:lineRule="auto"/>
        <w:jc w:val="center"/>
        <w:rPr>
          <w:rStyle w:val="2CharCharChar"/>
          <w:rFonts w:ascii="Times New Roman" w:eastAsiaTheme="majorEastAsia" w:hAnsi="Times New Roman"/>
          <w:b/>
          <w:bCs w:val="0"/>
          <w:szCs w:val="24"/>
        </w:rPr>
      </w:pPr>
      <w:r w:rsidRPr="00A103D3">
        <w:rPr>
          <w:rFonts w:eastAsiaTheme="majorEastAsia"/>
          <w:sz w:val="28"/>
          <w:szCs w:val="28"/>
        </w:rPr>
        <w:br w:type="page"/>
      </w:r>
      <w:bookmarkStart w:id="1" w:name="_Toc446416130"/>
      <w:bookmarkStart w:id="2" w:name="_Toc447180231"/>
      <w:bookmarkStart w:id="3" w:name="_Toc447194467"/>
      <w:r w:rsidR="00D21EC6" w:rsidRPr="00A103D3">
        <w:rPr>
          <w:rStyle w:val="2CharCharChar"/>
          <w:rFonts w:ascii="Times New Roman" w:eastAsiaTheme="majorEastAsia" w:hAnsi="Times New Roman"/>
          <w:b/>
          <w:bCs w:val="0"/>
          <w:szCs w:val="24"/>
        </w:rPr>
        <w:lastRenderedPageBreak/>
        <w:t>重要提示</w:t>
      </w:r>
      <w:bookmarkEnd w:id="1"/>
      <w:bookmarkEnd w:id="2"/>
      <w:bookmarkEnd w:id="3"/>
    </w:p>
    <w:p w:rsidR="00E95515" w:rsidRPr="00A103D3" w:rsidRDefault="00A95AAB" w:rsidP="00A5019E">
      <w:pPr>
        <w:overflowPunct w:val="0"/>
        <w:autoSpaceDE w:val="0"/>
        <w:autoSpaceDN w:val="0"/>
        <w:snapToGrid w:val="0"/>
        <w:spacing w:line="360" w:lineRule="auto"/>
        <w:ind w:firstLineChars="200" w:firstLine="480"/>
        <w:rPr>
          <w:rFonts w:eastAsiaTheme="majorEastAsia"/>
          <w:sz w:val="24"/>
        </w:rPr>
      </w:pPr>
      <w:r w:rsidRPr="00A103D3">
        <w:rPr>
          <w:rFonts w:eastAsiaTheme="majorEastAsia"/>
          <w:sz w:val="24"/>
        </w:rPr>
        <w:t>华夏新趋势灵活配置混合型证券投资基金</w:t>
      </w:r>
      <w:r w:rsidR="009854AD" w:rsidRPr="00A103D3">
        <w:rPr>
          <w:rFonts w:eastAsiaTheme="majorEastAsia"/>
          <w:sz w:val="24"/>
        </w:rPr>
        <w:t>（以下简称</w:t>
      </w:r>
      <w:r w:rsidR="009854AD" w:rsidRPr="00A103D3">
        <w:rPr>
          <w:rFonts w:eastAsiaTheme="majorEastAsia"/>
          <w:sz w:val="24"/>
        </w:rPr>
        <w:t>“</w:t>
      </w:r>
      <w:r w:rsidR="009854AD" w:rsidRPr="00A103D3">
        <w:rPr>
          <w:rFonts w:eastAsiaTheme="majorEastAsia"/>
          <w:sz w:val="24"/>
        </w:rPr>
        <w:t>本基金</w:t>
      </w:r>
      <w:r w:rsidR="009854AD" w:rsidRPr="00A103D3">
        <w:rPr>
          <w:rFonts w:eastAsiaTheme="majorEastAsia"/>
          <w:sz w:val="24"/>
        </w:rPr>
        <w:t>”</w:t>
      </w:r>
      <w:r w:rsidR="009854AD" w:rsidRPr="00A103D3">
        <w:rPr>
          <w:rFonts w:eastAsiaTheme="majorEastAsia"/>
          <w:sz w:val="24"/>
        </w:rPr>
        <w:t>）</w:t>
      </w:r>
      <w:r w:rsidR="00960A26" w:rsidRPr="00A103D3">
        <w:t xml:space="preserve"> </w:t>
      </w:r>
      <w:r w:rsidR="00960A26" w:rsidRPr="00A103D3">
        <w:rPr>
          <w:rFonts w:eastAsiaTheme="majorEastAsia"/>
          <w:sz w:val="24"/>
        </w:rPr>
        <w:t>已经中国证监会</w:t>
      </w:r>
      <w:r w:rsidRPr="00A103D3">
        <w:rPr>
          <w:rFonts w:eastAsiaTheme="majorEastAsia"/>
          <w:sz w:val="24"/>
        </w:rPr>
        <w:t>2015</w:t>
      </w:r>
      <w:r w:rsidRPr="00A103D3">
        <w:rPr>
          <w:rFonts w:eastAsiaTheme="majorEastAsia"/>
          <w:sz w:val="24"/>
        </w:rPr>
        <w:t>年</w:t>
      </w:r>
      <w:r w:rsidRPr="00A103D3">
        <w:rPr>
          <w:rFonts w:eastAsiaTheme="majorEastAsia"/>
          <w:sz w:val="24"/>
        </w:rPr>
        <w:t>11</w:t>
      </w:r>
      <w:r w:rsidRPr="00A103D3">
        <w:rPr>
          <w:rFonts w:eastAsiaTheme="majorEastAsia"/>
          <w:sz w:val="24"/>
        </w:rPr>
        <w:t>月</w:t>
      </w:r>
      <w:r w:rsidRPr="00A103D3">
        <w:rPr>
          <w:rFonts w:eastAsiaTheme="majorEastAsia"/>
          <w:sz w:val="24"/>
        </w:rPr>
        <w:t>25</w:t>
      </w:r>
      <w:r w:rsidRPr="00A103D3">
        <w:rPr>
          <w:rFonts w:eastAsiaTheme="majorEastAsia"/>
          <w:sz w:val="24"/>
        </w:rPr>
        <w:t>日证监许可</w:t>
      </w:r>
      <w:r w:rsidRPr="00A103D3">
        <w:rPr>
          <w:rFonts w:eastAsiaTheme="majorEastAsia"/>
          <w:sz w:val="24"/>
        </w:rPr>
        <w:t>[2015]2742</w:t>
      </w:r>
      <w:r w:rsidRPr="00A103D3">
        <w:rPr>
          <w:rFonts w:eastAsiaTheme="majorEastAsia"/>
          <w:sz w:val="24"/>
        </w:rPr>
        <w:t>号文</w:t>
      </w:r>
      <w:r w:rsidR="00960A26" w:rsidRPr="00A103D3">
        <w:rPr>
          <w:rFonts w:eastAsiaTheme="majorEastAsia"/>
          <w:sz w:val="24"/>
        </w:rPr>
        <w:t>准予注册</w:t>
      </w:r>
      <w:r w:rsidR="009854AD" w:rsidRPr="00A103D3">
        <w:rPr>
          <w:rFonts w:eastAsiaTheme="majorEastAsia"/>
          <w:sz w:val="24"/>
        </w:rPr>
        <w:t>。</w:t>
      </w:r>
      <w:r w:rsidR="00015966" w:rsidRPr="00A103D3">
        <w:rPr>
          <w:rFonts w:eastAsiaTheme="majorEastAsia"/>
          <w:sz w:val="24"/>
        </w:rPr>
        <w:t>本基金</w:t>
      </w:r>
      <w:r w:rsidR="00F3765E" w:rsidRPr="00A103D3">
        <w:rPr>
          <w:rFonts w:eastAsiaTheme="majorEastAsia"/>
          <w:sz w:val="24"/>
        </w:rPr>
        <w:t>基金合同</w:t>
      </w:r>
      <w:r w:rsidR="00015966" w:rsidRPr="00A103D3">
        <w:rPr>
          <w:rFonts w:eastAsiaTheme="majorEastAsia"/>
          <w:sz w:val="24"/>
        </w:rPr>
        <w:t>自</w:t>
      </w:r>
      <w:r w:rsidRPr="00A103D3">
        <w:rPr>
          <w:rFonts w:eastAsiaTheme="majorEastAsia"/>
          <w:sz w:val="24"/>
        </w:rPr>
        <w:t>2015</w:t>
      </w:r>
      <w:r w:rsidRPr="00A103D3">
        <w:rPr>
          <w:rFonts w:eastAsiaTheme="majorEastAsia"/>
          <w:sz w:val="24"/>
        </w:rPr>
        <w:t>年</w:t>
      </w:r>
      <w:r w:rsidRPr="00A103D3">
        <w:rPr>
          <w:rFonts w:eastAsiaTheme="majorEastAsia"/>
          <w:sz w:val="24"/>
        </w:rPr>
        <w:t>12</w:t>
      </w:r>
      <w:r w:rsidRPr="00A103D3">
        <w:rPr>
          <w:rFonts w:eastAsiaTheme="majorEastAsia"/>
          <w:sz w:val="24"/>
        </w:rPr>
        <w:t>月</w:t>
      </w:r>
      <w:r w:rsidRPr="00A103D3">
        <w:rPr>
          <w:rFonts w:eastAsiaTheme="majorEastAsia"/>
          <w:sz w:val="24"/>
        </w:rPr>
        <w:t>10</w:t>
      </w:r>
      <w:r w:rsidRPr="00A103D3">
        <w:rPr>
          <w:rFonts w:eastAsiaTheme="majorEastAsia"/>
          <w:sz w:val="24"/>
        </w:rPr>
        <w:t>日</w:t>
      </w:r>
      <w:r w:rsidR="00015966" w:rsidRPr="00A103D3">
        <w:rPr>
          <w:rFonts w:eastAsiaTheme="majorEastAsia"/>
          <w:sz w:val="24"/>
        </w:rPr>
        <w:t>起</w:t>
      </w:r>
      <w:r w:rsidR="00E95515" w:rsidRPr="00A103D3">
        <w:rPr>
          <w:rFonts w:eastAsiaTheme="majorEastAsia"/>
          <w:sz w:val="24"/>
        </w:rPr>
        <w:t>生效</w:t>
      </w:r>
      <w:r w:rsidR="007B03FD" w:rsidRPr="00A103D3">
        <w:rPr>
          <w:rFonts w:eastAsiaTheme="majorEastAsia"/>
          <w:sz w:val="24"/>
        </w:rPr>
        <w:t>，</w:t>
      </w:r>
      <w:r w:rsidR="00D605B8" w:rsidRPr="00A103D3">
        <w:rPr>
          <w:rFonts w:eastAsiaTheme="majorEastAsia"/>
          <w:sz w:val="24"/>
        </w:rPr>
        <w:t>本基金</w:t>
      </w:r>
      <w:r w:rsidR="00691D6E" w:rsidRPr="00A103D3">
        <w:rPr>
          <w:rFonts w:eastAsiaTheme="majorEastAsia"/>
          <w:sz w:val="24"/>
        </w:rPr>
        <w:t>基金管理人为华夏基金管理有限公司，基金托管人为</w:t>
      </w:r>
      <w:r w:rsidRPr="00A103D3">
        <w:rPr>
          <w:rFonts w:eastAsiaTheme="majorEastAsia"/>
          <w:sz w:val="24"/>
        </w:rPr>
        <w:t>中国建设银行股份有限公司</w:t>
      </w:r>
      <w:r w:rsidR="00691D6E" w:rsidRPr="00A103D3">
        <w:rPr>
          <w:rFonts w:eastAsiaTheme="majorEastAsia"/>
          <w:sz w:val="24"/>
        </w:rPr>
        <w:t>。</w:t>
      </w:r>
    </w:p>
    <w:p w:rsidR="00F211D0" w:rsidRPr="00A103D3" w:rsidRDefault="00CD472C" w:rsidP="00A5019E">
      <w:pPr>
        <w:overflowPunct w:val="0"/>
        <w:autoSpaceDE w:val="0"/>
        <w:autoSpaceDN w:val="0"/>
        <w:snapToGrid w:val="0"/>
        <w:spacing w:line="360" w:lineRule="auto"/>
        <w:ind w:firstLineChars="200" w:firstLine="480"/>
        <w:rPr>
          <w:rFonts w:eastAsiaTheme="majorEastAsia"/>
          <w:sz w:val="24"/>
        </w:rPr>
      </w:pPr>
      <w:r w:rsidRPr="00A103D3">
        <w:rPr>
          <w:rFonts w:eastAsiaTheme="majorEastAsia"/>
          <w:sz w:val="24"/>
        </w:rPr>
        <w:t>根据《中华人民共和国证券投资基金法》《公开募集证券投资基金运作管理办法》</w:t>
      </w:r>
      <w:r w:rsidR="00B750BD" w:rsidRPr="00A103D3">
        <w:rPr>
          <w:rFonts w:eastAsiaTheme="majorEastAsia"/>
          <w:sz w:val="24"/>
        </w:rPr>
        <w:t>及</w:t>
      </w:r>
      <w:r w:rsidR="006626F1" w:rsidRPr="00A103D3">
        <w:rPr>
          <w:rFonts w:eastAsiaTheme="majorEastAsia"/>
          <w:sz w:val="24"/>
        </w:rPr>
        <w:t>基金管理人于</w:t>
      </w:r>
      <w:r w:rsidR="00960A26" w:rsidRPr="00A103D3">
        <w:rPr>
          <w:rFonts w:eastAsiaTheme="majorEastAsia"/>
          <w:sz w:val="24"/>
        </w:rPr>
        <w:t>2024</w:t>
      </w:r>
      <w:r w:rsidR="00B750BD" w:rsidRPr="00A103D3">
        <w:rPr>
          <w:rFonts w:eastAsiaTheme="majorEastAsia"/>
          <w:sz w:val="24"/>
        </w:rPr>
        <w:t>年</w:t>
      </w:r>
      <w:r w:rsidR="00A95AAB" w:rsidRPr="00A103D3">
        <w:rPr>
          <w:rFonts w:eastAsiaTheme="majorEastAsia"/>
          <w:sz w:val="24"/>
        </w:rPr>
        <w:t>11</w:t>
      </w:r>
      <w:r w:rsidR="00B750BD" w:rsidRPr="00A103D3">
        <w:rPr>
          <w:rFonts w:eastAsiaTheme="majorEastAsia"/>
          <w:sz w:val="24"/>
        </w:rPr>
        <w:t>月</w:t>
      </w:r>
      <w:r w:rsidR="00A95AAB" w:rsidRPr="00A103D3">
        <w:rPr>
          <w:rFonts w:eastAsiaTheme="majorEastAsia"/>
          <w:sz w:val="24"/>
        </w:rPr>
        <w:t>1</w:t>
      </w:r>
      <w:r w:rsidR="00B750BD" w:rsidRPr="00A103D3">
        <w:rPr>
          <w:rFonts w:eastAsiaTheme="majorEastAsia"/>
          <w:sz w:val="24"/>
        </w:rPr>
        <w:t>日发布的</w:t>
      </w:r>
      <w:r w:rsidR="00416CD8" w:rsidRPr="00A103D3">
        <w:rPr>
          <w:rFonts w:eastAsiaTheme="majorEastAsia"/>
          <w:sz w:val="24"/>
        </w:rPr>
        <w:t>《</w:t>
      </w:r>
      <w:r w:rsidR="009854AD" w:rsidRPr="00A103D3">
        <w:rPr>
          <w:rFonts w:eastAsiaTheme="majorEastAsia"/>
          <w:sz w:val="24"/>
        </w:rPr>
        <w:t>华夏基金管理有限公司关于以通讯方式召开</w:t>
      </w:r>
      <w:r w:rsidR="00A95AAB" w:rsidRPr="00A103D3">
        <w:rPr>
          <w:rFonts w:eastAsiaTheme="majorEastAsia"/>
          <w:sz w:val="24"/>
        </w:rPr>
        <w:t>华夏新趋势灵活配置混合型证券投资基金</w:t>
      </w:r>
      <w:r w:rsidR="009854AD" w:rsidRPr="00A103D3">
        <w:rPr>
          <w:rFonts w:eastAsiaTheme="majorEastAsia"/>
          <w:sz w:val="24"/>
        </w:rPr>
        <w:t>基金份额持有人大会的公告</w:t>
      </w:r>
      <w:r w:rsidR="00416CD8" w:rsidRPr="00A103D3">
        <w:rPr>
          <w:rFonts w:eastAsiaTheme="majorEastAsia"/>
          <w:sz w:val="24"/>
        </w:rPr>
        <w:t>》，本基金</w:t>
      </w:r>
      <w:r w:rsidR="00FF4B23" w:rsidRPr="00A103D3">
        <w:rPr>
          <w:rFonts w:eastAsiaTheme="majorEastAsia"/>
          <w:sz w:val="24"/>
        </w:rPr>
        <w:t>以</w:t>
      </w:r>
      <w:r w:rsidR="00416CD8" w:rsidRPr="00A103D3">
        <w:rPr>
          <w:rFonts w:eastAsiaTheme="majorEastAsia"/>
          <w:sz w:val="24"/>
        </w:rPr>
        <w:t>通讯方式召开基金份额持有人大会</w:t>
      </w:r>
      <w:r w:rsidR="00ED2599" w:rsidRPr="00A103D3">
        <w:rPr>
          <w:rFonts w:eastAsiaTheme="majorEastAsia"/>
          <w:sz w:val="24"/>
        </w:rPr>
        <w:t>，</w:t>
      </w:r>
      <w:r w:rsidR="00320E8E" w:rsidRPr="00A103D3">
        <w:rPr>
          <w:rFonts w:eastAsiaTheme="majorEastAsia"/>
          <w:sz w:val="24"/>
        </w:rPr>
        <w:t>审议</w:t>
      </w:r>
      <w:r w:rsidR="00320E8E" w:rsidRPr="00A103D3">
        <w:rPr>
          <w:rFonts w:eastAsiaTheme="majorEastAsia"/>
          <w:kern w:val="0"/>
          <w:sz w:val="24"/>
        </w:rPr>
        <w:t>《</w:t>
      </w:r>
      <w:r w:rsidR="009D1B85" w:rsidRPr="00A103D3">
        <w:rPr>
          <w:rFonts w:eastAsiaTheme="majorEastAsia"/>
          <w:sz w:val="24"/>
        </w:rPr>
        <w:t>关于</w:t>
      </w:r>
      <w:r w:rsidR="00A95AAB" w:rsidRPr="00A103D3">
        <w:rPr>
          <w:rFonts w:eastAsiaTheme="majorEastAsia"/>
          <w:sz w:val="24"/>
        </w:rPr>
        <w:t>华夏新趋势灵活配置混合型证券投资基金</w:t>
      </w:r>
      <w:r w:rsidR="009D1B85" w:rsidRPr="00A103D3">
        <w:rPr>
          <w:rFonts w:eastAsiaTheme="majorEastAsia"/>
          <w:sz w:val="24"/>
        </w:rPr>
        <w:t>终止基金合同相关事项的议案</w:t>
      </w:r>
      <w:r w:rsidR="00320E8E" w:rsidRPr="00A103D3">
        <w:rPr>
          <w:rFonts w:eastAsiaTheme="majorEastAsia"/>
          <w:kern w:val="0"/>
          <w:sz w:val="24"/>
        </w:rPr>
        <w:t>》，上述议案</w:t>
      </w:r>
      <w:r w:rsidR="00416CD8" w:rsidRPr="00A103D3">
        <w:rPr>
          <w:rFonts w:eastAsiaTheme="majorEastAsia"/>
          <w:sz w:val="24"/>
        </w:rPr>
        <w:t>于</w:t>
      </w:r>
      <w:r w:rsidR="00960A26" w:rsidRPr="00A103D3">
        <w:rPr>
          <w:rFonts w:eastAsiaTheme="majorEastAsia"/>
          <w:kern w:val="0"/>
          <w:sz w:val="24"/>
        </w:rPr>
        <w:t>2024</w:t>
      </w:r>
      <w:r w:rsidR="00C841EB" w:rsidRPr="00A103D3">
        <w:rPr>
          <w:rFonts w:eastAsiaTheme="majorEastAsia"/>
          <w:kern w:val="0"/>
          <w:sz w:val="24"/>
        </w:rPr>
        <w:t>年</w:t>
      </w:r>
      <w:r w:rsidR="00960A26" w:rsidRPr="00A103D3">
        <w:rPr>
          <w:rFonts w:eastAsiaTheme="majorEastAsia"/>
          <w:kern w:val="0"/>
          <w:sz w:val="24"/>
        </w:rPr>
        <w:t>12</w:t>
      </w:r>
      <w:r w:rsidR="00C841EB" w:rsidRPr="00A103D3">
        <w:rPr>
          <w:rFonts w:eastAsiaTheme="majorEastAsia"/>
          <w:kern w:val="0"/>
          <w:sz w:val="24"/>
        </w:rPr>
        <w:t>月</w:t>
      </w:r>
      <w:r w:rsidR="00960A26" w:rsidRPr="00A103D3">
        <w:rPr>
          <w:rFonts w:eastAsiaTheme="majorEastAsia"/>
          <w:kern w:val="0"/>
          <w:sz w:val="24"/>
        </w:rPr>
        <w:t>3</w:t>
      </w:r>
      <w:r w:rsidR="00C841EB" w:rsidRPr="00A103D3">
        <w:rPr>
          <w:rFonts w:eastAsiaTheme="majorEastAsia"/>
          <w:kern w:val="0"/>
          <w:sz w:val="24"/>
        </w:rPr>
        <w:t>日</w:t>
      </w:r>
      <w:r w:rsidR="00204641" w:rsidRPr="00A103D3">
        <w:rPr>
          <w:rFonts w:eastAsiaTheme="majorEastAsia"/>
          <w:sz w:val="24"/>
        </w:rPr>
        <w:t>获得</w:t>
      </w:r>
      <w:r w:rsidR="00416CD8" w:rsidRPr="00A103D3">
        <w:rPr>
          <w:rFonts w:eastAsiaTheme="majorEastAsia"/>
          <w:sz w:val="24"/>
        </w:rPr>
        <w:t>通过</w:t>
      </w:r>
      <w:r w:rsidR="00204641" w:rsidRPr="00A103D3">
        <w:rPr>
          <w:rFonts w:eastAsiaTheme="majorEastAsia"/>
          <w:sz w:val="24"/>
        </w:rPr>
        <w:t>，</w:t>
      </w:r>
      <w:r w:rsidR="00204641" w:rsidRPr="00A103D3">
        <w:rPr>
          <w:rFonts w:eastAsiaTheme="majorEastAsia"/>
          <w:kern w:val="0"/>
          <w:sz w:val="24"/>
        </w:rPr>
        <w:t>持有人大会决议自</w:t>
      </w:r>
      <w:r w:rsidR="000140D6" w:rsidRPr="00A103D3">
        <w:rPr>
          <w:rFonts w:eastAsiaTheme="majorEastAsia"/>
          <w:kern w:val="0"/>
          <w:sz w:val="24"/>
        </w:rPr>
        <w:t>同</w:t>
      </w:r>
      <w:r w:rsidR="00204641" w:rsidRPr="00A103D3">
        <w:rPr>
          <w:rFonts w:eastAsiaTheme="majorEastAsia"/>
          <w:kern w:val="0"/>
          <w:sz w:val="24"/>
        </w:rPr>
        <w:t>日起生效</w:t>
      </w:r>
      <w:r w:rsidR="00416CD8" w:rsidRPr="00A103D3">
        <w:rPr>
          <w:rFonts w:eastAsiaTheme="majorEastAsia"/>
          <w:sz w:val="24"/>
        </w:rPr>
        <w:t>。</w:t>
      </w:r>
      <w:r w:rsidR="006F5208" w:rsidRPr="00A103D3">
        <w:rPr>
          <w:rFonts w:eastAsiaTheme="majorEastAsia"/>
          <w:sz w:val="24"/>
        </w:rPr>
        <w:t>根据</w:t>
      </w:r>
      <w:r w:rsidR="00634B2F" w:rsidRPr="00A103D3">
        <w:rPr>
          <w:rFonts w:eastAsiaTheme="majorEastAsia"/>
          <w:sz w:val="24"/>
        </w:rPr>
        <w:t>基金管理人于</w:t>
      </w:r>
      <w:r w:rsidR="00960A26" w:rsidRPr="00A103D3">
        <w:rPr>
          <w:rFonts w:eastAsiaTheme="majorEastAsia"/>
          <w:sz w:val="24"/>
        </w:rPr>
        <w:t>2024</w:t>
      </w:r>
      <w:r w:rsidR="00634B2F" w:rsidRPr="00A103D3">
        <w:rPr>
          <w:rFonts w:eastAsiaTheme="majorEastAsia"/>
          <w:sz w:val="24"/>
        </w:rPr>
        <w:t>年</w:t>
      </w:r>
      <w:r w:rsidR="00960A26" w:rsidRPr="00A103D3">
        <w:rPr>
          <w:rFonts w:eastAsiaTheme="majorEastAsia"/>
          <w:sz w:val="24"/>
        </w:rPr>
        <w:t>12</w:t>
      </w:r>
      <w:r w:rsidR="00634B2F" w:rsidRPr="00A103D3">
        <w:rPr>
          <w:rFonts w:eastAsiaTheme="majorEastAsia"/>
          <w:sz w:val="24"/>
        </w:rPr>
        <w:t>月</w:t>
      </w:r>
      <w:r w:rsidR="00960A26" w:rsidRPr="00A103D3">
        <w:rPr>
          <w:rFonts w:eastAsiaTheme="majorEastAsia"/>
          <w:sz w:val="24"/>
        </w:rPr>
        <w:t>4</w:t>
      </w:r>
      <w:r w:rsidR="00634B2F" w:rsidRPr="00A103D3">
        <w:rPr>
          <w:rFonts w:eastAsiaTheme="majorEastAsia"/>
          <w:sz w:val="24"/>
        </w:rPr>
        <w:t>日发布的</w:t>
      </w:r>
      <w:r w:rsidR="006F5208" w:rsidRPr="00A103D3">
        <w:rPr>
          <w:rFonts w:eastAsiaTheme="majorEastAsia"/>
          <w:sz w:val="24"/>
        </w:rPr>
        <w:t>《</w:t>
      </w:r>
      <w:r w:rsidR="00A95AAB" w:rsidRPr="00A103D3">
        <w:rPr>
          <w:rFonts w:eastAsiaTheme="majorEastAsia"/>
          <w:sz w:val="24"/>
        </w:rPr>
        <w:t>华夏新趋势灵活配置混合型证券投资基金</w:t>
      </w:r>
      <w:r w:rsidR="006F5208" w:rsidRPr="00A103D3">
        <w:rPr>
          <w:rFonts w:eastAsiaTheme="majorEastAsia"/>
          <w:sz w:val="24"/>
        </w:rPr>
        <w:t>基金份额持有人大会表决结果暨决议生效公告》</w:t>
      </w:r>
      <w:r w:rsidR="002D3798" w:rsidRPr="00A103D3">
        <w:rPr>
          <w:rFonts w:eastAsiaTheme="majorEastAsia"/>
          <w:sz w:val="24"/>
        </w:rPr>
        <w:t>，</w:t>
      </w:r>
      <w:r w:rsidR="00416CD8" w:rsidRPr="00A103D3">
        <w:rPr>
          <w:rFonts w:eastAsiaTheme="majorEastAsia"/>
          <w:kern w:val="0"/>
          <w:sz w:val="24"/>
        </w:rPr>
        <w:t>本基金以</w:t>
      </w:r>
      <w:r w:rsidR="00A95AAB" w:rsidRPr="00A103D3">
        <w:rPr>
          <w:rFonts w:eastAsiaTheme="majorEastAsia"/>
          <w:sz w:val="24"/>
        </w:rPr>
        <w:t>2024</w:t>
      </w:r>
      <w:r w:rsidR="00A95AAB" w:rsidRPr="00A103D3">
        <w:rPr>
          <w:rFonts w:eastAsiaTheme="majorEastAsia"/>
          <w:sz w:val="24"/>
        </w:rPr>
        <w:t>年</w:t>
      </w:r>
      <w:r w:rsidR="00A95AAB" w:rsidRPr="00A103D3">
        <w:rPr>
          <w:rFonts w:eastAsiaTheme="majorEastAsia"/>
          <w:sz w:val="24"/>
        </w:rPr>
        <w:t>12</w:t>
      </w:r>
      <w:r w:rsidR="00A95AAB" w:rsidRPr="00A103D3">
        <w:rPr>
          <w:rFonts w:eastAsiaTheme="majorEastAsia"/>
          <w:sz w:val="24"/>
        </w:rPr>
        <w:t>月</w:t>
      </w:r>
      <w:r w:rsidR="00A95AAB" w:rsidRPr="00A103D3">
        <w:rPr>
          <w:rFonts w:eastAsiaTheme="majorEastAsia"/>
          <w:sz w:val="24"/>
        </w:rPr>
        <w:t>5</w:t>
      </w:r>
      <w:r w:rsidR="00416CD8" w:rsidRPr="00A103D3">
        <w:rPr>
          <w:rFonts w:eastAsiaTheme="majorEastAsia"/>
          <w:sz w:val="24"/>
        </w:rPr>
        <w:t>日为最后运作日，</w:t>
      </w:r>
      <w:r w:rsidR="00416CD8" w:rsidRPr="00A103D3">
        <w:rPr>
          <w:rFonts w:eastAsiaTheme="majorEastAsia"/>
          <w:kern w:val="0"/>
          <w:sz w:val="24"/>
          <w:szCs w:val="21"/>
        </w:rPr>
        <w:t>自</w:t>
      </w:r>
      <w:r w:rsidR="00A95AAB" w:rsidRPr="00A103D3">
        <w:rPr>
          <w:rFonts w:eastAsiaTheme="majorEastAsia"/>
          <w:kern w:val="0"/>
          <w:sz w:val="24"/>
          <w:szCs w:val="21"/>
        </w:rPr>
        <w:t>2024</w:t>
      </w:r>
      <w:r w:rsidR="00A95AAB" w:rsidRPr="00A103D3">
        <w:rPr>
          <w:rFonts w:eastAsiaTheme="majorEastAsia"/>
          <w:kern w:val="0"/>
          <w:sz w:val="24"/>
          <w:szCs w:val="21"/>
        </w:rPr>
        <w:t>年</w:t>
      </w:r>
      <w:r w:rsidR="00A95AAB" w:rsidRPr="00A103D3">
        <w:rPr>
          <w:rFonts w:eastAsiaTheme="majorEastAsia"/>
          <w:kern w:val="0"/>
          <w:sz w:val="24"/>
          <w:szCs w:val="21"/>
        </w:rPr>
        <w:t>12</w:t>
      </w:r>
      <w:r w:rsidR="00A95AAB" w:rsidRPr="00A103D3">
        <w:rPr>
          <w:rFonts w:eastAsiaTheme="majorEastAsia"/>
          <w:kern w:val="0"/>
          <w:sz w:val="24"/>
          <w:szCs w:val="21"/>
        </w:rPr>
        <w:t>月</w:t>
      </w:r>
      <w:r w:rsidR="00A95AAB" w:rsidRPr="00A103D3">
        <w:rPr>
          <w:rFonts w:eastAsiaTheme="majorEastAsia"/>
          <w:kern w:val="0"/>
          <w:sz w:val="24"/>
          <w:szCs w:val="21"/>
        </w:rPr>
        <w:t>6</w:t>
      </w:r>
      <w:r w:rsidR="00416CD8" w:rsidRPr="00A103D3">
        <w:rPr>
          <w:rFonts w:eastAsiaTheme="majorEastAsia"/>
          <w:kern w:val="0"/>
          <w:sz w:val="24"/>
          <w:szCs w:val="21"/>
        </w:rPr>
        <w:t>日起，本基金进入基金财产清算程序。</w:t>
      </w:r>
    </w:p>
    <w:p w:rsidR="00E95515" w:rsidRPr="00A103D3" w:rsidRDefault="000846F6" w:rsidP="00A5019E">
      <w:pPr>
        <w:overflowPunct w:val="0"/>
        <w:autoSpaceDE w:val="0"/>
        <w:autoSpaceDN w:val="0"/>
        <w:snapToGrid w:val="0"/>
        <w:spacing w:line="360" w:lineRule="auto"/>
        <w:ind w:firstLineChars="200" w:firstLine="480"/>
        <w:rPr>
          <w:rFonts w:eastAsiaTheme="majorEastAsia"/>
          <w:sz w:val="24"/>
        </w:rPr>
      </w:pPr>
      <w:r w:rsidRPr="00A103D3">
        <w:rPr>
          <w:rFonts w:eastAsiaTheme="majorEastAsia"/>
          <w:sz w:val="24"/>
        </w:rPr>
        <w:t>基金管理人、基金托管人、</w:t>
      </w:r>
      <w:r w:rsidR="00960A26" w:rsidRPr="00A103D3">
        <w:rPr>
          <w:rFonts w:eastAsiaTheme="majorEastAsia"/>
          <w:sz w:val="24"/>
        </w:rPr>
        <w:t>安永华明会计师事务所（特殊普通合伙）</w:t>
      </w:r>
      <w:r w:rsidRPr="00A103D3">
        <w:rPr>
          <w:rFonts w:eastAsiaTheme="majorEastAsia"/>
          <w:sz w:val="24"/>
        </w:rPr>
        <w:t>和北京市天元律师事务所成立基金财产清算组履行基金财产清算程序，由</w:t>
      </w:r>
      <w:r w:rsidR="00960A26" w:rsidRPr="00A103D3">
        <w:rPr>
          <w:rFonts w:eastAsiaTheme="majorEastAsia"/>
          <w:sz w:val="24"/>
        </w:rPr>
        <w:t>安永华明会计师事务所（特殊普通合伙）</w:t>
      </w:r>
      <w:r w:rsidRPr="00A103D3">
        <w:rPr>
          <w:rFonts w:eastAsiaTheme="majorEastAsia"/>
          <w:sz w:val="24"/>
        </w:rPr>
        <w:t>对本基金进行清算审计，</w:t>
      </w:r>
      <w:r w:rsidR="00A2317C" w:rsidRPr="00A103D3">
        <w:rPr>
          <w:rFonts w:eastAsiaTheme="majorEastAsia"/>
          <w:sz w:val="24"/>
        </w:rPr>
        <w:t>由</w:t>
      </w:r>
      <w:r w:rsidRPr="00A103D3">
        <w:rPr>
          <w:rFonts w:eastAsiaTheme="majorEastAsia"/>
          <w:sz w:val="24"/>
        </w:rPr>
        <w:t>北京市天元律师事务所对清算事宜出具法律意见。</w:t>
      </w:r>
    </w:p>
    <w:p w:rsidR="00F60BB1" w:rsidRPr="00A103D3" w:rsidRDefault="00415716" w:rsidP="00A5019E">
      <w:pPr>
        <w:pStyle w:val="1"/>
        <w:overflowPunct w:val="0"/>
        <w:spacing w:before="100" w:after="100" w:line="360" w:lineRule="auto"/>
        <w:jc w:val="center"/>
        <w:rPr>
          <w:rStyle w:val="2CharCharChar"/>
          <w:rFonts w:ascii="Times New Roman" w:eastAsiaTheme="majorEastAsia" w:hAnsi="Times New Roman"/>
          <w:b/>
          <w:bCs w:val="0"/>
          <w:szCs w:val="24"/>
        </w:rPr>
      </w:pPr>
      <w:bookmarkStart w:id="4" w:name="_Toc447194468"/>
      <w:r w:rsidRPr="00A103D3">
        <w:rPr>
          <w:rStyle w:val="2CharCharChar"/>
          <w:rFonts w:ascii="Times New Roman" w:eastAsiaTheme="majorEastAsia" w:hAnsi="Times New Roman"/>
          <w:b/>
          <w:szCs w:val="24"/>
        </w:rPr>
        <w:t>一、</w:t>
      </w:r>
      <w:r w:rsidRPr="00A103D3">
        <w:rPr>
          <w:rStyle w:val="2CharCharChar"/>
          <w:rFonts w:ascii="Times New Roman" w:eastAsiaTheme="majorEastAsia" w:hAnsi="Times New Roman"/>
          <w:b/>
          <w:bCs w:val="0"/>
          <w:szCs w:val="24"/>
        </w:rPr>
        <w:t>基金概况</w:t>
      </w:r>
      <w:bookmarkEnd w:id="4"/>
    </w:p>
    <w:tbl>
      <w:tblPr>
        <w:tblW w:w="8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2684"/>
        <w:gridCol w:w="2684"/>
      </w:tblGrid>
      <w:tr w:rsidR="00681391" w:rsidRPr="00A103D3" w:rsidTr="00440C16">
        <w:trPr>
          <w:trHeight w:val="379"/>
        </w:trPr>
        <w:tc>
          <w:tcPr>
            <w:tcW w:w="2835" w:type="dxa"/>
            <w:vAlign w:val="center"/>
          </w:tcPr>
          <w:p w:rsidR="00F211D0" w:rsidRPr="00A103D3" w:rsidRDefault="00F211D0" w:rsidP="00A5019E">
            <w:pPr>
              <w:pStyle w:val="14"/>
              <w:overflowPunct w:val="0"/>
              <w:rPr>
                <w:rFonts w:eastAsiaTheme="majorEastAsia"/>
                <w:szCs w:val="21"/>
              </w:rPr>
            </w:pPr>
            <w:r w:rsidRPr="00A103D3">
              <w:rPr>
                <w:rFonts w:eastAsiaTheme="majorEastAsia"/>
                <w:szCs w:val="21"/>
              </w:rPr>
              <w:t>基金名称</w:t>
            </w:r>
          </w:p>
        </w:tc>
        <w:tc>
          <w:tcPr>
            <w:tcW w:w="5368" w:type="dxa"/>
            <w:gridSpan w:val="2"/>
            <w:noWrap/>
            <w:vAlign w:val="center"/>
          </w:tcPr>
          <w:p w:rsidR="00F211D0" w:rsidRPr="00A103D3" w:rsidRDefault="00A95AAB" w:rsidP="00A5019E">
            <w:pPr>
              <w:overflowPunct w:val="0"/>
              <w:adjustRightInd w:val="0"/>
              <w:spacing w:before="29"/>
              <w:ind w:left="17"/>
              <w:rPr>
                <w:rFonts w:eastAsiaTheme="majorEastAsia"/>
                <w:kern w:val="0"/>
                <w:szCs w:val="21"/>
              </w:rPr>
            </w:pPr>
            <w:r w:rsidRPr="00A103D3">
              <w:rPr>
                <w:rFonts w:eastAsiaTheme="majorEastAsia"/>
              </w:rPr>
              <w:t>华夏新趋势灵活配置混合型证券投资基金</w:t>
            </w:r>
          </w:p>
        </w:tc>
      </w:tr>
      <w:tr w:rsidR="00960A26" w:rsidRPr="00A103D3" w:rsidTr="00440C16">
        <w:trPr>
          <w:trHeight w:val="379"/>
        </w:trPr>
        <w:tc>
          <w:tcPr>
            <w:tcW w:w="2835" w:type="dxa"/>
            <w:vAlign w:val="center"/>
          </w:tcPr>
          <w:p w:rsidR="00960A26" w:rsidRPr="00A103D3" w:rsidRDefault="00960A26" w:rsidP="00960A26">
            <w:pPr>
              <w:pStyle w:val="14"/>
              <w:overflowPunct w:val="0"/>
              <w:rPr>
                <w:rFonts w:eastAsiaTheme="majorEastAsia"/>
                <w:szCs w:val="21"/>
              </w:rPr>
            </w:pPr>
            <w:r w:rsidRPr="00A103D3">
              <w:rPr>
                <w:rFonts w:eastAsiaTheme="majorEastAsia"/>
                <w:szCs w:val="21"/>
              </w:rPr>
              <w:t>基金简称</w:t>
            </w:r>
          </w:p>
        </w:tc>
        <w:tc>
          <w:tcPr>
            <w:tcW w:w="5368" w:type="dxa"/>
            <w:gridSpan w:val="2"/>
            <w:noWrap/>
            <w:vAlign w:val="center"/>
          </w:tcPr>
          <w:p w:rsidR="00960A26" w:rsidRPr="00A103D3" w:rsidRDefault="00A95AAB" w:rsidP="00960A26">
            <w:pPr>
              <w:overflowPunct w:val="0"/>
              <w:adjustRightInd w:val="0"/>
              <w:spacing w:before="29"/>
              <w:ind w:left="17"/>
              <w:rPr>
                <w:rFonts w:eastAsiaTheme="majorEastAsia"/>
                <w:kern w:val="0"/>
                <w:szCs w:val="21"/>
              </w:rPr>
            </w:pPr>
            <w:r w:rsidRPr="00A103D3">
              <w:rPr>
                <w:color w:val="000000"/>
                <w:szCs w:val="21"/>
              </w:rPr>
              <w:t>华夏新趋势混合</w:t>
            </w:r>
          </w:p>
        </w:tc>
      </w:tr>
      <w:tr w:rsidR="00960A26" w:rsidRPr="00A103D3" w:rsidTr="00440C16">
        <w:trPr>
          <w:trHeight w:val="379"/>
        </w:trPr>
        <w:tc>
          <w:tcPr>
            <w:tcW w:w="2835" w:type="dxa"/>
            <w:vAlign w:val="center"/>
          </w:tcPr>
          <w:p w:rsidR="00960A26" w:rsidRPr="00A103D3" w:rsidRDefault="00960A26" w:rsidP="00960A26">
            <w:pPr>
              <w:pStyle w:val="14"/>
              <w:overflowPunct w:val="0"/>
              <w:rPr>
                <w:rFonts w:eastAsiaTheme="majorEastAsia"/>
                <w:szCs w:val="21"/>
              </w:rPr>
            </w:pPr>
            <w:r w:rsidRPr="00A103D3">
              <w:rPr>
                <w:rFonts w:eastAsiaTheme="majorEastAsia"/>
                <w:szCs w:val="21"/>
              </w:rPr>
              <w:t>基金主代码</w:t>
            </w:r>
          </w:p>
        </w:tc>
        <w:tc>
          <w:tcPr>
            <w:tcW w:w="5368" w:type="dxa"/>
            <w:gridSpan w:val="2"/>
            <w:noWrap/>
            <w:vAlign w:val="center"/>
          </w:tcPr>
          <w:p w:rsidR="00960A26" w:rsidRPr="00A103D3" w:rsidRDefault="00A95AAB" w:rsidP="00960A26">
            <w:pPr>
              <w:overflowPunct w:val="0"/>
              <w:jc w:val="left"/>
              <w:rPr>
                <w:rFonts w:eastAsiaTheme="majorEastAsia"/>
                <w:szCs w:val="21"/>
              </w:rPr>
            </w:pPr>
            <w:r w:rsidRPr="00A103D3">
              <w:rPr>
                <w:color w:val="000000"/>
                <w:szCs w:val="21"/>
              </w:rPr>
              <w:t>002231</w:t>
            </w:r>
          </w:p>
        </w:tc>
      </w:tr>
      <w:tr w:rsidR="00960A26" w:rsidRPr="00A103D3" w:rsidTr="00204805">
        <w:trPr>
          <w:trHeight w:val="379"/>
        </w:trPr>
        <w:tc>
          <w:tcPr>
            <w:tcW w:w="2835" w:type="dxa"/>
            <w:vMerge w:val="restart"/>
            <w:vAlign w:val="center"/>
          </w:tcPr>
          <w:p w:rsidR="00960A26" w:rsidRPr="00A103D3" w:rsidRDefault="00960A26" w:rsidP="00960A26">
            <w:pPr>
              <w:pStyle w:val="14"/>
              <w:overflowPunct w:val="0"/>
              <w:rPr>
                <w:rFonts w:eastAsiaTheme="majorEastAsia"/>
                <w:szCs w:val="21"/>
              </w:rPr>
            </w:pPr>
            <w:r w:rsidRPr="00A103D3">
              <w:rPr>
                <w:rFonts w:eastAsiaTheme="majorEastAsia"/>
                <w:szCs w:val="21"/>
              </w:rPr>
              <w:t>各份额类别简称及基金交易代码</w:t>
            </w:r>
          </w:p>
        </w:tc>
        <w:tc>
          <w:tcPr>
            <w:tcW w:w="2684" w:type="dxa"/>
            <w:noWrap/>
          </w:tcPr>
          <w:p w:rsidR="00960A26" w:rsidRPr="00A103D3" w:rsidRDefault="00A95AAB" w:rsidP="00960A26">
            <w:pPr>
              <w:overflowPunct w:val="0"/>
              <w:jc w:val="left"/>
              <w:rPr>
                <w:rFonts w:eastAsiaTheme="majorEastAsia"/>
                <w:szCs w:val="21"/>
              </w:rPr>
            </w:pPr>
            <w:r w:rsidRPr="00A103D3">
              <w:rPr>
                <w:color w:val="000000"/>
              </w:rPr>
              <w:t>华夏新趋势混合</w:t>
            </w:r>
            <w:r w:rsidR="00960A26" w:rsidRPr="00A103D3">
              <w:rPr>
                <w:color w:val="000000"/>
              </w:rPr>
              <w:t>A</w:t>
            </w:r>
          </w:p>
        </w:tc>
        <w:tc>
          <w:tcPr>
            <w:tcW w:w="2684" w:type="dxa"/>
          </w:tcPr>
          <w:p w:rsidR="00960A26" w:rsidRPr="00A103D3" w:rsidRDefault="00A95AAB" w:rsidP="00960A26">
            <w:pPr>
              <w:overflowPunct w:val="0"/>
              <w:jc w:val="left"/>
              <w:rPr>
                <w:rFonts w:eastAsiaTheme="majorEastAsia"/>
                <w:szCs w:val="21"/>
              </w:rPr>
            </w:pPr>
            <w:r w:rsidRPr="00A103D3">
              <w:rPr>
                <w:szCs w:val="21"/>
              </w:rPr>
              <w:t>华夏新趋势混合</w:t>
            </w:r>
            <w:r w:rsidR="00960A26" w:rsidRPr="00A103D3">
              <w:rPr>
                <w:szCs w:val="21"/>
              </w:rPr>
              <w:t>C</w:t>
            </w:r>
          </w:p>
        </w:tc>
      </w:tr>
      <w:tr w:rsidR="00960A26" w:rsidRPr="00A103D3" w:rsidTr="00440C16">
        <w:trPr>
          <w:trHeight w:val="379"/>
        </w:trPr>
        <w:tc>
          <w:tcPr>
            <w:tcW w:w="2835" w:type="dxa"/>
            <w:vMerge/>
            <w:vAlign w:val="center"/>
          </w:tcPr>
          <w:p w:rsidR="00960A26" w:rsidRPr="00A103D3" w:rsidRDefault="00960A26" w:rsidP="00960A26">
            <w:pPr>
              <w:pStyle w:val="14"/>
              <w:overflowPunct w:val="0"/>
              <w:rPr>
                <w:rFonts w:eastAsiaTheme="majorEastAsia"/>
                <w:szCs w:val="21"/>
              </w:rPr>
            </w:pPr>
          </w:p>
        </w:tc>
        <w:tc>
          <w:tcPr>
            <w:tcW w:w="2684" w:type="dxa"/>
            <w:noWrap/>
            <w:vAlign w:val="center"/>
          </w:tcPr>
          <w:p w:rsidR="00960A26" w:rsidRPr="00A103D3" w:rsidRDefault="00A95AAB" w:rsidP="00960A26">
            <w:pPr>
              <w:overflowPunct w:val="0"/>
              <w:rPr>
                <w:rFonts w:eastAsiaTheme="majorEastAsia"/>
                <w:szCs w:val="21"/>
              </w:rPr>
            </w:pPr>
            <w:r w:rsidRPr="00A103D3">
              <w:rPr>
                <w:color w:val="000000"/>
                <w:szCs w:val="21"/>
              </w:rPr>
              <w:t>002231</w:t>
            </w:r>
          </w:p>
        </w:tc>
        <w:tc>
          <w:tcPr>
            <w:tcW w:w="2684" w:type="dxa"/>
            <w:vAlign w:val="center"/>
          </w:tcPr>
          <w:p w:rsidR="00960A26" w:rsidRPr="00A103D3" w:rsidRDefault="00A95AAB" w:rsidP="00A95AAB">
            <w:pPr>
              <w:overflowPunct w:val="0"/>
              <w:rPr>
                <w:rFonts w:eastAsiaTheme="majorEastAsia"/>
                <w:szCs w:val="21"/>
              </w:rPr>
            </w:pPr>
            <w:r w:rsidRPr="00A103D3">
              <w:rPr>
                <w:rFonts w:eastAsia="等线"/>
                <w:szCs w:val="21"/>
              </w:rPr>
              <w:t>002232</w:t>
            </w:r>
          </w:p>
        </w:tc>
      </w:tr>
      <w:tr w:rsidR="00681391" w:rsidRPr="00A103D3" w:rsidTr="00FA18FB">
        <w:trPr>
          <w:trHeight w:val="379"/>
        </w:trPr>
        <w:tc>
          <w:tcPr>
            <w:tcW w:w="2835" w:type="dxa"/>
            <w:vAlign w:val="center"/>
          </w:tcPr>
          <w:p w:rsidR="00F211D0" w:rsidRPr="00A103D3" w:rsidRDefault="00F211D0" w:rsidP="00A5019E">
            <w:pPr>
              <w:pStyle w:val="14"/>
              <w:overflowPunct w:val="0"/>
              <w:rPr>
                <w:rFonts w:eastAsiaTheme="majorEastAsia"/>
                <w:szCs w:val="21"/>
              </w:rPr>
            </w:pPr>
            <w:r w:rsidRPr="00A103D3">
              <w:rPr>
                <w:rFonts w:eastAsiaTheme="majorEastAsia"/>
                <w:szCs w:val="21"/>
              </w:rPr>
              <w:t>基金运作方式</w:t>
            </w:r>
          </w:p>
        </w:tc>
        <w:tc>
          <w:tcPr>
            <w:tcW w:w="5368" w:type="dxa"/>
            <w:gridSpan w:val="2"/>
            <w:noWrap/>
            <w:vAlign w:val="center"/>
          </w:tcPr>
          <w:p w:rsidR="00F211D0" w:rsidRPr="00A103D3" w:rsidRDefault="00CD472C" w:rsidP="00A5019E">
            <w:pPr>
              <w:pStyle w:val="14"/>
              <w:overflowPunct w:val="0"/>
              <w:rPr>
                <w:rFonts w:eastAsiaTheme="majorEastAsia"/>
                <w:szCs w:val="21"/>
              </w:rPr>
            </w:pPr>
            <w:r w:rsidRPr="00A103D3">
              <w:rPr>
                <w:rFonts w:eastAsiaTheme="majorEastAsia"/>
                <w:szCs w:val="21"/>
              </w:rPr>
              <w:t>契约型开放式</w:t>
            </w:r>
          </w:p>
        </w:tc>
      </w:tr>
      <w:tr w:rsidR="00681391" w:rsidRPr="00A103D3" w:rsidTr="00FA18FB">
        <w:trPr>
          <w:trHeight w:val="379"/>
        </w:trPr>
        <w:tc>
          <w:tcPr>
            <w:tcW w:w="2835" w:type="dxa"/>
            <w:vAlign w:val="center"/>
          </w:tcPr>
          <w:p w:rsidR="00F211D0" w:rsidRPr="00A103D3" w:rsidRDefault="00F211D0" w:rsidP="00A5019E">
            <w:pPr>
              <w:pStyle w:val="14"/>
              <w:overflowPunct w:val="0"/>
              <w:rPr>
                <w:rFonts w:eastAsiaTheme="majorEastAsia"/>
                <w:szCs w:val="21"/>
              </w:rPr>
            </w:pPr>
            <w:r w:rsidRPr="00A103D3">
              <w:rPr>
                <w:rFonts w:eastAsiaTheme="majorEastAsia"/>
                <w:szCs w:val="21"/>
              </w:rPr>
              <w:t>基金合同生效日</w:t>
            </w:r>
          </w:p>
        </w:tc>
        <w:tc>
          <w:tcPr>
            <w:tcW w:w="5368" w:type="dxa"/>
            <w:gridSpan w:val="2"/>
            <w:noWrap/>
            <w:vAlign w:val="center"/>
          </w:tcPr>
          <w:p w:rsidR="00F211D0" w:rsidRPr="00A103D3" w:rsidRDefault="00A95AAB" w:rsidP="00A95AAB">
            <w:pPr>
              <w:pStyle w:val="14"/>
              <w:overflowPunct w:val="0"/>
              <w:rPr>
                <w:rFonts w:eastAsiaTheme="majorEastAsia"/>
                <w:szCs w:val="21"/>
              </w:rPr>
            </w:pPr>
            <w:r w:rsidRPr="00A103D3">
              <w:rPr>
                <w:rFonts w:eastAsiaTheme="majorEastAsia"/>
              </w:rPr>
              <w:t>2015</w:t>
            </w:r>
            <w:r w:rsidR="00960A26" w:rsidRPr="00A103D3">
              <w:rPr>
                <w:rFonts w:eastAsiaTheme="majorEastAsia"/>
              </w:rPr>
              <w:t>年</w:t>
            </w:r>
            <w:r w:rsidR="00960A26" w:rsidRPr="00A103D3">
              <w:rPr>
                <w:rFonts w:eastAsiaTheme="majorEastAsia"/>
              </w:rPr>
              <w:t>12</w:t>
            </w:r>
            <w:r w:rsidR="00960A26" w:rsidRPr="00A103D3">
              <w:rPr>
                <w:rFonts w:eastAsiaTheme="majorEastAsia"/>
              </w:rPr>
              <w:t>月</w:t>
            </w:r>
            <w:r w:rsidRPr="00A103D3">
              <w:rPr>
                <w:rFonts w:eastAsiaTheme="majorEastAsia"/>
              </w:rPr>
              <w:t>10</w:t>
            </w:r>
            <w:r w:rsidR="00960A26" w:rsidRPr="00A103D3">
              <w:rPr>
                <w:rFonts w:eastAsiaTheme="majorEastAsia"/>
              </w:rPr>
              <w:t>日</w:t>
            </w:r>
          </w:p>
        </w:tc>
      </w:tr>
      <w:tr w:rsidR="00681391" w:rsidRPr="00A103D3" w:rsidTr="00FA18FB">
        <w:trPr>
          <w:trHeight w:val="379"/>
        </w:trPr>
        <w:tc>
          <w:tcPr>
            <w:tcW w:w="2835" w:type="dxa"/>
            <w:vAlign w:val="center"/>
          </w:tcPr>
          <w:p w:rsidR="00F211D0" w:rsidRPr="00A103D3" w:rsidRDefault="00F211D0" w:rsidP="00A5019E">
            <w:pPr>
              <w:pStyle w:val="14"/>
              <w:overflowPunct w:val="0"/>
              <w:rPr>
                <w:rFonts w:eastAsiaTheme="majorEastAsia"/>
                <w:szCs w:val="21"/>
              </w:rPr>
            </w:pPr>
            <w:r w:rsidRPr="00A103D3">
              <w:rPr>
                <w:rFonts w:eastAsiaTheme="majorEastAsia"/>
                <w:szCs w:val="21"/>
              </w:rPr>
              <w:t>基金管理人</w:t>
            </w:r>
          </w:p>
        </w:tc>
        <w:tc>
          <w:tcPr>
            <w:tcW w:w="5368" w:type="dxa"/>
            <w:gridSpan w:val="2"/>
            <w:noWrap/>
            <w:vAlign w:val="center"/>
          </w:tcPr>
          <w:p w:rsidR="00F211D0" w:rsidRPr="00A103D3" w:rsidRDefault="00F211D0" w:rsidP="00A5019E">
            <w:pPr>
              <w:pStyle w:val="14"/>
              <w:overflowPunct w:val="0"/>
              <w:rPr>
                <w:rFonts w:eastAsiaTheme="majorEastAsia"/>
                <w:szCs w:val="21"/>
              </w:rPr>
            </w:pPr>
            <w:r w:rsidRPr="00A103D3">
              <w:rPr>
                <w:rFonts w:eastAsiaTheme="majorEastAsia"/>
                <w:szCs w:val="21"/>
              </w:rPr>
              <w:t>华夏基金管理有限公司</w:t>
            </w:r>
          </w:p>
        </w:tc>
      </w:tr>
      <w:tr w:rsidR="00681391" w:rsidRPr="00A103D3" w:rsidTr="00FA18FB">
        <w:trPr>
          <w:trHeight w:val="379"/>
        </w:trPr>
        <w:tc>
          <w:tcPr>
            <w:tcW w:w="2835" w:type="dxa"/>
            <w:vAlign w:val="center"/>
          </w:tcPr>
          <w:p w:rsidR="00F211D0" w:rsidRPr="00A103D3" w:rsidRDefault="00F211D0" w:rsidP="00A5019E">
            <w:pPr>
              <w:pStyle w:val="14"/>
              <w:overflowPunct w:val="0"/>
              <w:rPr>
                <w:rFonts w:eastAsiaTheme="majorEastAsia"/>
                <w:szCs w:val="21"/>
              </w:rPr>
            </w:pPr>
            <w:r w:rsidRPr="00A103D3">
              <w:rPr>
                <w:rFonts w:eastAsiaTheme="majorEastAsia"/>
                <w:szCs w:val="21"/>
              </w:rPr>
              <w:t>基金托管人</w:t>
            </w:r>
          </w:p>
        </w:tc>
        <w:tc>
          <w:tcPr>
            <w:tcW w:w="5368" w:type="dxa"/>
            <w:gridSpan w:val="2"/>
            <w:noWrap/>
            <w:vAlign w:val="center"/>
          </w:tcPr>
          <w:p w:rsidR="00F211D0" w:rsidRPr="00A103D3" w:rsidRDefault="00A95AAB" w:rsidP="00A5019E">
            <w:pPr>
              <w:overflowPunct w:val="0"/>
              <w:adjustRightInd w:val="0"/>
              <w:spacing w:before="29"/>
              <w:ind w:left="17"/>
              <w:rPr>
                <w:rFonts w:eastAsiaTheme="majorEastAsia"/>
                <w:szCs w:val="21"/>
              </w:rPr>
            </w:pPr>
            <w:r w:rsidRPr="00A103D3">
              <w:rPr>
                <w:rFonts w:eastAsiaTheme="majorEastAsia"/>
              </w:rPr>
              <w:t>中国建设银行股份有限公司</w:t>
            </w:r>
          </w:p>
        </w:tc>
      </w:tr>
      <w:tr w:rsidR="00681391" w:rsidRPr="00A103D3" w:rsidTr="00FA18FB">
        <w:trPr>
          <w:trHeight w:val="379"/>
        </w:trPr>
        <w:tc>
          <w:tcPr>
            <w:tcW w:w="2835" w:type="dxa"/>
            <w:vAlign w:val="center"/>
          </w:tcPr>
          <w:p w:rsidR="00F211D0" w:rsidRPr="00A103D3" w:rsidRDefault="00F211D0" w:rsidP="00A5019E">
            <w:pPr>
              <w:pStyle w:val="14"/>
              <w:overflowPunct w:val="0"/>
              <w:rPr>
                <w:rFonts w:eastAsiaTheme="majorEastAsia"/>
                <w:szCs w:val="21"/>
              </w:rPr>
            </w:pPr>
            <w:r w:rsidRPr="00A103D3">
              <w:rPr>
                <w:rFonts w:eastAsiaTheme="majorEastAsia"/>
                <w:szCs w:val="21"/>
              </w:rPr>
              <w:t>注册登记机构</w:t>
            </w:r>
          </w:p>
        </w:tc>
        <w:tc>
          <w:tcPr>
            <w:tcW w:w="5368" w:type="dxa"/>
            <w:gridSpan w:val="2"/>
            <w:noWrap/>
            <w:vAlign w:val="center"/>
          </w:tcPr>
          <w:p w:rsidR="00F211D0" w:rsidRPr="00A103D3" w:rsidRDefault="00F211D0" w:rsidP="00A5019E">
            <w:pPr>
              <w:pStyle w:val="14"/>
              <w:overflowPunct w:val="0"/>
              <w:rPr>
                <w:rFonts w:eastAsiaTheme="majorEastAsia"/>
                <w:szCs w:val="21"/>
              </w:rPr>
            </w:pPr>
            <w:r w:rsidRPr="00A103D3">
              <w:rPr>
                <w:rFonts w:eastAsiaTheme="majorEastAsia"/>
                <w:szCs w:val="21"/>
              </w:rPr>
              <w:t>华夏基金管理有限公司</w:t>
            </w:r>
          </w:p>
        </w:tc>
      </w:tr>
    </w:tbl>
    <w:p w:rsidR="003240A9" w:rsidRPr="00A103D3" w:rsidRDefault="008079B9" w:rsidP="00A5019E">
      <w:pPr>
        <w:pStyle w:val="1"/>
        <w:overflowPunct w:val="0"/>
        <w:spacing w:before="100" w:after="100" w:line="360" w:lineRule="auto"/>
        <w:jc w:val="center"/>
        <w:rPr>
          <w:rStyle w:val="2CharCharChar"/>
          <w:rFonts w:ascii="Times New Roman" w:eastAsiaTheme="majorEastAsia" w:hAnsi="Times New Roman"/>
          <w:b/>
          <w:bCs w:val="0"/>
          <w:szCs w:val="24"/>
        </w:rPr>
      </w:pPr>
      <w:bookmarkStart w:id="5" w:name="_Toc447194469"/>
      <w:r w:rsidRPr="00A103D3">
        <w:rPr>
          <w:rStyle w:val="2CharCharChar"/>
          <w:rFonts w:ascii="Times New Roman" w:eastAsiaTheme="majorEastAsia" w:hAnsi="Times New Roman"/>
          <w:b/>
          <w:bCs w:val="0"/>
          <w:szCs w:val="24"/>
        </w:rPr>
        <w:t>二</w:t>
      </w:r>
      <w:r w:rsidR="00593F87" w:rsidRPr="00A103D3">
        <w:rPr>
          <w:rStyle w:val="2CharCharChar"/>
          <w:rFonts w:ascii="Times New Roman" w:eastAsiaTheme="majorEastAsia" w:hAnsi="Times New Roman"/>
          <w:b/>
          <w:bCs w:val="0"/>
          <w:szCs w:val="24"/>
        </w:rPr>
        <w:t>、基金运作情况</w:t>
      </w:r>
      <w:bookmarkEnd w:id="5"/>
    </w:p>
    <w:p w:rsidR="009D1B85" w:rsidRPr="00A103D3" w:rsidRDefault="00A95AAB" w:rsidP="009D1B85">
      <w:pPr>
        <w:pStyle w:val="Default"/>
        <w:overflowPunct w:val="0"/>
        <w:spacing w:line="360" w:lineRule="auto"/>
        <w:ind w:firstLineChars="200" w:firstLine="480"/>
        <w:rPr>
          <w:rFonts w:ascii="Times New Roman" w:eastAsiaTheme="majorEastAsia" w:cs="Times New Roman"/>
          <w:color w:val="auto"/>
        </w:rPr>
      </w:pPr>
      <w:r w:rsidRPr="00A103D3">
        <w:rPr>
          <w:rFonts w:ascii="Times New Roman" w:eastAsiaTheme="majorEastAsia" w:cs="Times New Roman"/>
          <w:color w:val="auto"/>
        </w:rPr>
        <w:t>华夏新趋势灵活配置混合型证券投资基金</w:t>
      </w:r>
      <w:r w:rsidR="00A5062F" w:rsidRPr="00A103D3">
        <w:rPr>
          <w:rFonts w:ascii="Times New Roman" w:eastAsiaTheme="majorEastAsia" w:cs="Times New Roman"/>
          <w:color w:val="auto"/>
        </w:rPr>
        <w:t>（以下简称</w:t>
      </w:r>
      <w:r w:rsidR="00A5062F" w:rsidRPr="00A103D3">
        <w:rPr>
          <w:rFonts w:ascii="Times New Roman" w:eastAsiaTheme="majorEastAsia" w:cs="Times New Roman"/>
          <w:color w:val="auto"/>
        </w:rPr>
        <w:t>“</w:t>
      </w:r>
      <w:r w:rsidR="00A5062F" w:rsidRPr="00A103D3">
        <w:rPr>
          <w:rFonts w:ascii="Times New Roman" w:eastAsiaTheme="majorEastAsia" w:cs="Times New Roman"/>
          <w:color w:val="auto"/>
        </w:rPr>
        <w:t>本基金</w:t>
      </w:r>
      <w:r w:rsidR="00A5062F" w:rsidRPr="00A103D3">
        <w:rPr>
          <w:rFonts w:ascii="Times New Roman" w:eastAsiaTheme="majorEastAsia" w:cs="Times New Roman"/>
          <w:color w:val="auto"/>
        </w:rPr>
        <w:t>”</w:t>
      </w:r>
      <w:r w:rsidR="00A5062F" w:rsidRPr="00A103D3">
        <w:rPr>
          <w:rFonts w:ascii="Times New Roman" w:eastAsiaTheme="majorEastAsia" w:cs="Times New Roman"/>
          <w:color w:val="auto"/>
        </w:rPr>
        <w:t>）</w:t>
      </w:r>
      <w:r w:rsidR="00960A26" w:rsidRPr="00A103D3">
        <w:rPr>
          <w:rFonts w:ascii="Times New Roman" w:eastAsiaTheme="majorEastAsia" w:cs="Times New Roman"/>
        </w:rPr>
        <w:t xml:space="preserve"> </w:t>
      </w:r>
      <w:r w:rsidR="00960A26" w:rsidRPr="00A103D3">
        <w:rPr>
          <w:rFonts w:ascii="Times New Roman" w:eastAsiaTheme="majorEastAsia" w:cs="Times New Roman"/>
        </w:rPr>
        <w:t>已经中国证监会</w:t>
      </w:r>
      <w:r w:rsidRPr="00A103D3">
        <w:rPr>
          <w:rFonts w:ascii="Times New Roman" w:eastAsiaTheme="majorEastAsia" w:cs="Times New Roman"/>
        </w:rPr>
        <w:t>2015</w:t>
      </w:r>
      <w:r w:rsidRPr="00A103D3">
        <w:rPr>
          <w:rFonts w:ascii="Times New Roman" w:eastAsiaTheme="majorEastAsia" w:cs="Times New Roman"/>
        </w:rPr>
        <w:t>年</w:t>
      </w:r>
      <w:r w:rsidRPr="00A103D3">
        <w:rPr>
          <w:rFonts w:ascii="Times New Roman" w:eastAsiaTheme="majorEastAsia" w:cs="Times New Roman"/>
        </w:rPr>
        <w:t>11</w:t>
      </w:r>
      <w:r w:rsidRPr="00A103D3">
        <w:rPr>
          <w:rFonts w:ascii="Times New Roman" w:eastAsiaTheme="majorEastAsia" w:cs="Times New Roman"/>
        </w:rPr>
        <w:t>月</w:t>
      </w:r>
      <w:r w:rsidRPr="00A103D3">
        <w:rPr>
          <w:rFonts w:ascii="Times New Roman" w:eastAsiaTheme="majorEastAsia" w:cs="Times New Roman"/>
        </w:rPr>
        <w:t>25</w:t>
      </w:r>
      <w:r w:rsidRPr="00A103D3">
        <w:rPr>
          <w:rFonts w:ascii="Times New Roman" w:eastAsiaTheme="majorEastAsia" w:cs="Times New Roman"/>
        </w:rPr>
        <w:t>日证监许可</w:t>
      </w:r>
      <w:r w:rsidRPr="00A103D3">
        <w:rPr>
          <w:rFonts w:ascii="Times New Roman" w:eastAsiaTheme="majorEastAsia" w:cs="Times New Roman"/>
        </w:rPr>
        <w:t>[2015]2742</w:t>
      </w:r>
      <w:r w:rsidRPr="00A103D3">
        <w:rPr>
          <w:rFonts w:ascii="Times New Roman" w:eastAsiaTheme="majorEastAsia" w:cs="Times New Roman"/>
        </w:rPr>
        <w:t>号</w:t>
      </w:r>
      <w:r w:rsidR="00960A26" w:rsidRPr="00A103D3">
        <w:rPr>
          <w:rFonts w:ascii="Times New Roman" w:eastAsiaTheme="majorEastAsia" w:cs="Times New Roman"/>
        </w:rPr>
        <w:t>文准予注册</w:t>
      </w:r>
      <w:r w:rsidR="00A5062F" w:rsidRPr="00A103D3">
        <w:rPr>
          <w:rFonts w:ascii="Times New Roman" w:eastAsiaTheme="majorEastAsia" w:cs="Times New Roman"/>
          <w:color w:val="auto"/>
        </w:rPr>
        <w:t>。本基金基金合同自</w:t>
      </w:r>
      <w:r w:rsidRPr="00A103D3">
        <w:rPr>
          <w:rFonts w:ascii="Times New Roman" w:eastAsiaTheme="majorEastAsia" w:cs="Times New Roman"/>
        </w:rPr>
        <w:t>2015</w:t>
      </w:r>
      <w:r w:rsidRPr="00A103D3">
        <w:rPr>
          <w:rFonts w:ascii="Times New Roman" w:eastAsiaTheme="majorEastAsia" w:cs="Times New Roman"/>
        </w:rPr>
        <w:t>年</w:t>
      </w:r>
      <w:r w:rsidRPr="00A103D3">
        <w:rPr>
          <w:rFonts w:ascii="Times New Roman" w:eastAsiaTheme="majorEastAsia" w:cs="Times New Roman"/>
        </w:rPr>
        <w:t>12</w:t>
      </w:r>
      <w:r w:rsidRPr="00A103D3">
        <w:rPr>
          <w:rFonts w:ascii="Times New Roman" w:eastAsiaTheme="majorEastAsia" w:cs="Times New Roman"/>
        </w:rPr>
        <w:t>月</w:t>
      </w:r>
      <w:r w:rsidRPr="00A103D3">
        <w:rPr>
          <w:rFonts w:ascii="Times New Roman" w:eastAsiaTheme="majorEastAsia" w:cs="Times New Roman"/>
        </w:rPr>
        <w:t>10</w:t>
      </w:r>
      <w:r w:rsidRPr="00A103D3">
        <w:rPr>
          <w:rFonts w:ascii="Times New Roman" w:eastAsiaTheme="majorEastAsia" w:cs="Times New Roman"/>
        </w:rPr>
        <w:t>日</w:t>
      </w:r>
      <w:r w:rsidR="00A5062F" w:rsidRPr="00A103D3">
        <w:rPr>
          <w:rFonts w:ascii="Times New Roman" w:eastAsiaTheme="majorEastAsia" w:cs="Times New Roman"/>
          <w:color w:val="auto"/>
        </w:rPr>
        <w:t>起生效</w:t>
      </w:r>
      <w:r w:rsidR="003D6052" w:rsidRPr="00A103D3">
        <w:rPr>
          <w:rFonts w:ascii="Times New Roman" w:eastAsiaTheme="majorEastAsia" w:cs="Times New Roman"/>
          <w:color w:val="auto"/>
        </w:rPr>
        <w:t>。</w:t>
      </w:r>
    </w:p>
    <w:p w:rsidR="00414EA8" w:rsidRPr="00A103D3" w:rsidRDefault="005C4B7E" w:rsidP="00A5019E">
      <w:pPr>
        <w:pStyle w:val="Default"/>
        <w:overflowPunct w:val="0"/>
        <w:spacing w:line="360" w:lineRule="auto"/>
        <w:ind w:firstLineChars="200" w:firstLine="480"/>
        <w:rPr>
          <w:rFonts w:ascii="Times New Roman" w:eastAsiaTheme="majorEastAsia" w:cs="Times New Roman"/>
          <w:color w:val="auto"/>
        </w:rPr>
      </w:pPr>
      <w:r w:rsidRPr="00A103D3">
        <w:rPr>
          <w:rFonts w:ascii="Times New Roman" w:eastAsiaTheme="majorEastAsia" w:cs="Times New Roman"/>
          <w:color w:val="auto"/>
        </w:rPr>
        <w:t>根据《中华人民共和国证券投资基金法》《公开募集证券投资基金运作管理办法》及基金管理人于</w:t>
      </w:r>
      <w:r w:rsidR="00A95AAB" w:rsidRPr="00A103D3">
        <w:rPr>
          <w:rFonts w:ascii="Times New Roman" w:eastAsiaTheme="majorEastAsia" w:cs="Times New Roman"/>
        </w:rPr>
        <w:t>2024</w:t>
      </w:r>
      <w:r w:rsidR="00A95AAB" w:rsidRPr="00A103D3">
        <w:rPr>
          <w:rFonts w:ascii="Times New Roman" w:eastAsiaTheme="majorEastAsia" w:cs="Times New Roman"/>
        </w:rPr>
        <w:t>年</w:t>
      </w:r>
      <w:r w:rsidR="00A95AAB" w:rsidRPr="00A103D3">
        <w:rPr>
          <w:rFonts w:ascii="Times New Roman" w:eastAsiaTheme="majorEastAsia" w:cs="Times New Roman"/>
        </w:rPr>
        <w:t>11</w:t>
      </w:r>
      <w:r w:rsidR="00960A26" w:rsidRPr="00A103D3">
        <w:rPr>
          <w:rFonts w:ascii="Times New Roman" w:eastAsiaTheme="majorEastAsia" w:cs="Times New Roman"/>
        </w:rPr>
        <w:t>月</w:t>
      </w:r>
      <w:r w:rsidR="00A95AAB" w:rsidRPr="00A103D3">
        <w:rPr>
          <w:rFonts w:ascii="Times New Roman" w:eastAsiaTheme="majorEastAsia" w:cs="Times New Roman"/>
        </w:rPr>
        <w:t>1</w:t>
      </w:r>
      <w:r w:rsidR="00960A26" w:rsidRPr="00A103D3">
        <w:rPr>
          <w:rFonts w:ascii="Times New Roman" w:eastAsiaTheme="majorEastAsia" w:cs="Times New Roman"/>
        </w:rPr>
        <w:t>日</w:t>
      </w:r>
      <w:r w:rsidRPr="00A103D3">
        <w:rPr>
          <w:rFonts w:ascii="Times New Roman" w:eastAsiaTheme="majorEastAsia" w:cs="Times New Roman"/>
          <w:color w:val="auto"/>
        </w:rPr>
        <w:t>发布的《华夏基金管理有限公司关于以通讯方式召开</w:t>
      </w:r>
      <w:r w:rsidR="00A95AAB" w:rsidRPr="00A103D3">
        <w:rPr>
          <w:rFonts w:ascii="Times New Roman" w:eastAsiaTheme="majorEastAsia" w:cs="Times New Roman"/>
          <w:color w:val="auto"/>
        </w:rPr>
        <w:t>华夏新趋势灵活配置混合型证券投资基金</w:t>
      </w:r>
      <w:r w:rsidRPr="00A103D3">
        <w:rPr>
          <w:rFonts w:ascii="Times New Roman" w:eastAsiaTheme="majorEastAsia" w:cs="Times New Roman"/>
          <w:color w:val="auto"/>
        </w:rPr>
        <w:t>基金份额持有人大会的公告》，本基金以通讯方式召开基金份额持有人大会，审议《关于</w:t>
      </w:r>
      <w:r w:rsidR="00A95AAB" w:rsidRPr="00A103D3">
        <w:rPr>
          <w:rFonts w:ascii="Times New Roman" w:eastAsiaTheme="majorEastAsia" w:cs="Times New Roman"/>
          <w:color w:val="auto"/>
        </w:rPr>
        <w:t>华夏新趋势灵活配置混合型证券投资基金</w:t>
      </w:r>
      <w:r w:rsidRPr="00A103D3">
        <w:rPr>
          <w:rFonts w:ascii="Times New Roman" w:eastAsiaTheme="majorEastAsia" w:cs="Times New Roman"/>
          <w:color w:val="auto"/>
        </w:rPr>
        <w:t>终止基金合同相关事项的议案》，上述议案于</w:t>
      </w:r>
      <w:r w:rsidR="00960A26" w:rsidRPr="00A103D3">
        <w:rPr>
          <w:rFonts w:ascii="Times New Roman" w:eastAsiaTheme="majorEastAsia" w:cs="Times New Roman"/>
        </w:rPr>
        <w:t>2024</w:t>
      </w:r>
      <w:r w:rsidR="00960A26" w:rsidRPr="00A103D3">
        <w:rPr>
          <w:rFonts w:ascii="Times New Roman" w:eastAsiaTheme="majorEastAsia" w:cs="Times New Roman"/>
        </w:rPr>
        <w:t>年</w:t>
      </w:r>
      <w:r w:rsidR="00960A26" w:rsidRPr="00A103D3">
        <w:rPr>
          <w:rFonts w:ascii="Times New Roman" w:eastAsiaTheme="majorEastAsia" w:cs="Times New Roman"/>
        </w:rPr>
        <w:t>12</w:t>
      </w:r>
      <w:r w:rsidR="00960A26" w:rsidRPr="00A103D3">
        <w:rPr>
          <w:rFonts w:ascii="Times New Roman" w:eastAsiaTheme="majorEastAsia" w:cs="Times New Roman"/>
        </w:rPr>
        <w:t>月</w:t>
      </w:r>
      <w:r w:rsidR="00960A26" w:rsidRPr="00A103D3">
        <w:rPr>
          <w:rFonts w:ascii="Times New Roman" w:eastAsiaTheme="majorEastAsia" w:cs="Times New Roman"/>
        </w:rPr>
        <w:t>3</w:t>
      </w:r>
      <w:r w:rsidR="00960A26" w:rsidRPr="00A103D3">
        <w:rPr>
          <w:rFonts w:ascii="Times New Roman" w:eastAsiaTheme="majorEastAsia" w:cs="Times New Roman"/>
        </w:rPr>
        <w:t>日</w:t>
      </w:r>
      <w:r w:rsidRPr="00A103D3">
        <w:rPr>
          <w:rFonts w:ascii="Times New Roman" w:eastAsiaTheme="majorEastAsia" w:cs="Times New Roman"/>
          <w:color w:val="auto"/>
        </w:rPr>
        <w:t>获得通过，持有人大会决议自同日起生效。根据基金管理人于</w:t>
      </w:r>
      <w:r w:rsidR="00960A26" w:rsidRPr="00A103D3">
        <w:rPr>
          <w:rFonts w:ascii="Times New Roman" w:eastAsiaTheme="majorEastAsia" w:cs="Times New Roman"/>
        </w:rPr>
        <w:t>2024</w:t>
      </w:r>
      <w:r w:rsidR="00960A26" w:rsidRPr="00A103D3">
        <w:rPr>
          <w:rFonts w:ascii="Times New Roman" w:eastAsiaTheme="majorEastAsia" w:cs="Times New Roman"/>
        </w:rPr>
        <w:t>年</w:t>
      </w:r>
      <w:r w:rsidR="00960A26" w:rsidRPr="00A103D3">
        <w:rPr>
          <w:rFonts w:ascii="Times New Roman" w:eastAsiaTheme="majorEastAsia" w:cs="Times New Roman"/>
        </w:rPr>
        <w:t>12</w:t>
      </w:r>
      <w:r w:rsidR="00960A26" w:rsidRPr="00A103D3">
        <w:rPr>
          <w:rFonts w:ascii="Times New Roman" w:eastAsiaTheme="majorEastAsia" w:cs="Times New Roman"/>
        </w:rPr>
        <w:t>月</w:t>
      </w:r>
      <w:r w:rsidR="00960A26" w:rsidRPr="00A103D3">
        <w:rPr>
          <w:rFonts w:ascii="Times New Roman" w:eastAsiaTheme="majorEastAsia" w:cs="Times New Roman"/>
        </w:rPr>
        <w:t>4</w:t>
      </w:r>
      <w:r w:rsidR="00960A26" w:rsidRPr="00A103D3">
        <w:rPr>
          <w:rFonts w:ascii="Times New Roman" w:eastAsiaTheme="majorEastAsia" w:cs="Times New Roman"/>
        </w:rPr>
        <w:t>日</w:t>
      </w:r>
      <w:r w:rsidRPr="00A103D3">
        <w:rPr>
          <w:rFonts w:ascii="Times New Roman" w:eastAsiaTheme="majorEastAsia" w:cs="Times New Roman"/>
          <w:color w:val="auto"/>
        </w:rPr>
        <w:t>发布的《</w:t>
      </w:r>
      <w:r w:rsidR="00A95AAB" w:rsidRPr="00A103D3">
        <w:rPr>
          <w:rFonts w:ascii="Times New Roman" w:eastAsiaTheme="majorEastAsia" w:cs="Times New Roman"/>
          <w:color w:val="auto"/>
        </w:rPr>
        <w:t>华夏新趋势灵活配置混合型证券投资基金</w:t>
      </w:r>
      <w:r w:rsidRPr="00A103D3">
        <w:rPr>
          <w:rFonts w:ascii="Times New Roman" w:eastAsiaTheme="majorEastAsia" w:cs="Times New Roman"/>
          <w:color w:val="auto"/>
        </w:rPr>
        <w:t>基金份额持有人大会表决结果暨决议生效公告》，</w:t>
      </w:r>
      <w:r w:rsidR="00960A26" w:rsidRPr="00A103D3">
        <w:rPr>
          <w:rFonts w:ascii="Times New Roman" w:eastAsiaTheme="majorEastAsia" w:cs="Times New Roman"/>
        </w:rPr>
        <w:t>本基金以</w:t>
      </w:r>
      <w:r w:rsidR="00A95AAB" w:rsidRPr="00A103D3">
        <w:rPr>
          <w:rFonts w:ascii="Times New Roman" w:eastAsiaTheme="majorEastAsia" w:cs="Times New Roman"/>
        </w:rPr>
        <w:t>2024</w:t>
      </w:r>
      <w:r w:rsidR="00A95AAB" w:rsidRPr="00A103D3">
        <w:rPr>
          <w:rFonts w:ascii="Times New Roman" w:eastAsiaTheme="majorEastAsia" w:cs="Times New Roman"/>
        </w:rPr>
        <w:t>年</w:t>
      </w:r>
      <w:r w:rsidR="00A95AAB" w:rsidRPr="00A103D3">
        <w:rPr>
          <w:rFonts w:ascii="Times New Roman" w:eastAsiaTheme="majorEastAsia" w:cs="Times New Roman"/>
        </w:rPr>
        <w:t>12</w:t>
      </w:r>
      <w:r w:rsidR="00A95AAB" w:rsidRPr="00A103D3">
        <w:rPr>
          <w:rFonts w:ascii="Times New Roman" w:eastAsiaTheme="majorEastAsia" w:cs="Times New Roman"/>
        </w:rPr>
        <w:t>月</w:t>
      </w:r>
      <w:r w:rsidR="00A95AAB" w:rsidRPr="00A103D3">
        <w:rPr>
          <w:rFonts w:ascii="Times New Roman" w:eastAsiaTheme="majorEastAsia" w:cs="Times New Roman"/>
        </w:rPr>
        <w:t>5</w:t>
      </w:r>
      <w:r w:rsidR="00960A26" w:rsidRPr="00A103D3">
        <w:rPr>
          <w:rFonts w:ascii="Times New Roman" w:eastAsiaTheme="majorEastAsia" w:cs="Times New Roman"/>
        </w:rPr>
        <w:t>日为最后运作日，</w:t>
      </w:r>
      <w:r w:rsidR="00960A26" w:rsidRPr="00A103D3">
        <w:rPr>
          <w:rFonts w:ascii="Times New Roman" w:eastAsiaTheme="majorEastAsia" w:cs="Times New Roman"/>
          <w:szCs w:val="21"/>
        </w:rPr>
        <w:t>自</w:t>
      </w:r>
      <w:r w:rsidR="00A95AAB" w:rsidRPr="00A103D3">
        <w:rPr>
          <w:rFonts w:ascii="Times New Roman" w:eastAsiaTheme="majorEastAsia" w:cs="Times New Roman"/>
          <w:szCs w:val="21"/>
        </w:rPr>
        <w:t>2024</w:t>
      </w:r>
      <w:r w:rsidR="00A95AAB" w:rsidRPr="00A103D3">
        <w:rPr>
          <w:rFonts w:ascii="Times New Roman" w:eastAsiaTheme="majorEastAsia" w:cs="Times New Roman"/>
          <w:szCs w:val="21"/>
        </w:rPr>
        <w:t>年</w:t>
      </w:r>
      <w:r w:rsidR="00A95AAB" w:rsidRPr="00A103D3">
        <w:rPr>
          <w:rFonts w:ascii="Times New Roman" w:eastAsiaTheme="majorEastAsia" w:cs="Times New Roman"/>
          <w:szCs w:val="21"/>
        </w:rPr>
        <w:t>12</w:t>
      </w:r>
      <w:r w:rsidR="00A95AAB" w:rsidRPr="00A103D3">
        <w:rPr>
          <w:rFonts w:ascii="Times New Roman" w:eastAsiaTheme="majorEastAsia" w:cs="Times New Roman"/>
          <w:szCs w:val="21"/>
        </w:rPr>
        <w:t>月</w:t>
      </w:r>
      <w:r w:rsidR="00A95AAB" w:rsidRPr="00A103D3">
        <w:rPr>
          <w:rFonts w:ascii="Times New Roman" w:eastAsiaTheme="majorEastAsia" w:cs="Times New Roman"/>
          <w:szCs w:val="21"/>
        </w:rPr>
        <w:t>6</w:t>
      </w:r>
      <w:r w:rsidR="00960A26" w:rsidRPr="00A103D3">
        <w:rPr>
          <w:rFonts w:ascii="Times New Roman" w:eastAsiaTheme="majorEastAsia" w:cs="Times New Roman"/>
          <w:szCs w:val="21"/>
        </w:rPr>
        <w:t>日起，本基金进入基金财产清算程序</w:t>
      </w:r>
      <w:r w:rsidRPr="00A103D3">
        <w:rPr>
          <w:rFonts w:ascii="Times New Roman" w:eastAsiaTheme="majorEastAsia" w:cs="Times New Roman"/>
          <w:color w:val="auto"/>
        </w:rPr>
        <w:t>。</w:t>
      </w:r>
    </w:p>
    <w:p w:rsidR="006567B2" w:rsidRPr="00A103D3" w:rsidRDefault="006567B2" w:rsidP="00A5019E">
      <w:pPr>
        <w:pStyle w:val="Default"/>
        <w:overflowPunct w:val="0"/>
        <w:spacing w:line="360" w:lineRule="auto"/>
        <w:ind w:firstLineChars="200" w:firstLine="480"/>
        <w:rPr>
          <w:rFonts w:ascii="Times New Roman" w:eastAsiaTheme="majorEastAsia" w:cs="Times New Roman"/>
          <w:color w:val="auto"/>
        </w:rPr>
      </w:pPr>
      <w:r w:rsidRPr="00A103D3">
        <w:rPr>
          <w:rFonts w:ascii="Times New Roman" w:eastAsiaTheme="majorEastAsia" w:cs="Times New Roman"/>
          <w:color w:val="auto"/>
        </w:rPr>
        <w:t>自</w:t>
      </w:r>
      <w:r w:rsidR="003A3307" w:rsidRPr="00A103D3">
        <w:rPr>
          <w:rFonts w:ascii="Times New Roman" w:eastAsiaTheme="majorEastAsia" w:cs="Times New Roman"/>
          <w:color w:val="auto"/>
        </w:rPr>
        <w:t>本基金</w:t>
      </w:r>
      <w:r w:rsidRPr="00A103D3">
        <w:rPr>
          <w:rFonts w:ascii="Times New Roman" w:eastAsiaTheme="majorEastAsia" w:cs="Times New Roman"/>
          <w:color w:val="auto"/>
        </w:rPr>
        <w:t>基金合同生效日至最后运作日期间，本基金按基金合同约定正常运作。</w:t>
      </w:r>
    </w:p>
    <w:p w:rsidR="00446CBD" w:rsidRPr="00A103D3" w:rsidRDefault="008079B9" w:rsidP="00A5019E">
      <w:pPr>
        <w:pStyle w:val="1"/>
        <w:overflowPunct w:val="0"/>
        <w:spacing w:before="100" w:after="100" w:line="360" w:lineRule="auto"/>
        <w:jc w:val="center"/>
        <w:rPr>
          <w:rStyle w:val="2CharCharChar"/>
          <w:rFonts w:ascii="Times New Roman" w:eastAsiaTheme="majorEastAsia" w:hAnsi="Times New Roman"/>
          <w:b/>
          <w:bCs w:val="0"/>
          <w:szCs w:val="24"/>
        </w:rPr>
      </w:pPr>
      <w:bookmarkStart w:id="6" w:name="_Toc447194470"/>
      <w:r w:rsidRPr="00A103D3">
        <w:rPr>
          <w:rStyle w:val="2CharCharChar"/>
          <w:rFonts w:ascii="Times New Roman" w:eastAsiaTheme="majorEastAsia" w:hAnsi="Times New Roman"/>
          <w:b/>
          <w:bCs w:val="0"/>
          <w:szCs w:val="24"/>
        </w:rPr>
        <w:t>三</w:t>
      </w:r>
      <w:r w:rsidR="00446CBD" w:rsidRPr="00A103D3">
        <w:rPr>
          <w:rStyle w:val="2CharCharChar"/>
          <w:rFonts w:ascii="Times New Roman" w:eastAsiaTheme="majorEastAsia" w:hAnsi="Times New Roman"/>
          <w:b/>
          <w:bCs w:val="0"/>
          <w:szCs w:val="24"/>
        </w:rPr>
        <w:t>、财务会计报告</w:t>
      </w:r>
      <w:bookmarkEnd w:id="6"/>
    </w:p>
    <w:p w:rsidR="00446CBD" w:rsidRPr="00A103D3" w:rsidRDefault="00446CBD" w:rsidP="00A5019E">
      <w:pPr>
        <w:pStyle w:val="Default"/>
        <w:overflowPunct w:val="0"/>
        <w:spacing w:line="360" w:lineRule="auto"/>
        <w:rPr>
          <w:rFonts w:ascii="Times New Roman" w:eastAsiaTheme="majorEastAsia" w:cs="Times New Roman"/>
          <w:color w:val="auto"/>
        </w:rPr>
      </w:pPr>
      <w:r w:rsidRPr="00A103D3">
        <w:rPr>
          <w:rFonts w:ascii="Times New Roman" w:eastAsiaTheme="majorEastAsia" w:cs="Times New Roman"/>
          <w:color w:val="auto"/>
        </w:rPr>
        <w:t>（一）</w:t>
      </w:r>
      <w:r w:rsidR="003240A9" w:rsidRPr="00A103D3">
        <w:rPr>
          <w:rFonts w:ascii="Times New Roman" w:eastAsiaTheme="majorEastAsia" w:cs="Times New Roman"/>
          <w:color w:val="auto"/>
        </w:rPr>
        <w:t>基金最后运作日</w:t>
      </w:r>
      <w:r w:rsidRPr="00A103D3">
        <w:rPr>
          <w:rFonts w:ascii="Times New Roman" w:eastAsiaTheme="majorEastAsia" w:cs="Times New Roman"/>
          <w:color w:val="auto"/>
        </w:rPr>
        <w:t>资产负债表（已经审计）</w:t>
      </w:r>
    </w:p>
    <w:p w:rsidR="00446CBD" w:rsidRPr="00A103D3" w:rsidRDefault="00446CBD" w:rsidP="00A5019E">
      <w:pPr>
        <w:pStyle w:val="Default"/>
        <w:overflowPunct w:val="0"/>
        <w:spacing w:line="360" w:lineRule="auto"/>
        <w:rPr>
          <w:rFonts w:ascii="Times New Roman" w:eastAsiaTheme="majorEastAsia" w:cs="Times New Roman"/>
          <w:color w:val="auto"/>
        </w:rPr>
      </w:pPr>
      <w:r w:rsidRPr="00A103D3">
        <w:rPr>
          <w:rFonts w:ascii="Times New Roman" w:eastAsiaTheme="majorEastAsia" w:cs="Times New Roman"/>
          <w:color w:val="auto"/>
        </w:rPr>
        <w:t>会计主体：</w:t>
      </w:r>
      <w:r w:rsidR="00A95AAB" w:rsidRPr="00A103D3">
        <w:rPr>
          <w:rFonts w:ascii="Times New Roman" w:eastAsiaTheme="majorEastAsia" w:cs="Times New Roman"/>
          <w:color w:val="auto"/>
        </w:rPr>
        <w:t>华夏新趋势灵活配置混合型证券投资基金</w:t>
      </w:r>
    </w:p>
    <w:p w:rsidR="00446CBD" w:rsidRPr="00A103D3" w:rsidRDefault="00446CBD" w:rsidP="00A5019E">
      <w:pPr>
        <w:overflowPunct w:val="0"/>
        <w:autoSpaceDE w:val="0"/>
        <w:autoSpaceDN w:val="0"/>
        <w:snapToGrid w:val="0"/>
        <w:spacing w:line="360" w:lineRule="auto"/>
        <w:jc w:val="left"/>
        <w:rPr>
          <w:rFonts w:eastAsiaTheme="majorEastAsia"/>
          <w:b/>
          <w:spacing w:val="60"/>
          <w:sz w:val="24"/>
        </w:rPr>
      </w:pPr>
      <w:r w:rsidRPr="00A103D3">
        <w:rPr>
          <w:rFonts w:eastAsiaTheme="majorEastAsia"/>
          <w:sz w:val="24"/>
        </w:rPr>
        <w:t>报告截止日：</w:t>
      </w:r>
      <w:r w:rsidR="00A95AAB" w:rsidRPr="00A103D3">
        <w:rPr>
          <w:rFonts w:eastAsiaTheme="majorEastAsia"/>
          <w:sz w:val="24"/>
        </w:rPr>
        <w:t>2024</w:t>
      </w:r>
      <w:r w:rsidR="00A95AAB" w:rsidRPr="00A103D3">
        <w:rPr>
          <w:rFonts w:eastAsiaTheme="majorEastAsia"/>
          <w:sz w:val="24"/>
        </w:rPr>
        <w:t>年</w:t>
      </w:r>
      <w:r w:rsidR="00A95AAB" w:rsidRPr="00A103D3">
        <w:rPr>
          <w:rFonts w:eastAsiaTheme="majorEastAsia"/>
          <w:sz w:val="24"/>
        </w:rPr>
        <w:t>12</w:t>
      </w:r>
      <w:r w:rsidR="00A95AAB" w:rsidRPr="00A103D3">
        <w:rPr>
          <w:rFonts w:eastAsiaTheme="majorEastAsia"/>
          <w:sz w:val="24"/>
        </w:rPr>
        <w:t>月</w:t>
      </w:r>
      <w:r w:rsidR="00A95AAB" w:rsidRPr="00A103D3">
        <w:rPr>
          <w:rFonts w:eastAsiaTheme="majorEastAsia"/>
          <w:sz w:val="24"/>
        </w:rPr>
        <w:t>5</w:t>
      </w:r>
      <w:r w:rsidR="00960A26" w:rsidRPr="00A103D3">
        <w:rPr>
          <w:rFonts w:eastAsiaTheme="majorEastAsia"/>
          <w:sz w:val="24"/>
        </w:rPr>
        <w:t>日</w:t>
      </w:r>
    </w:p>
    <w:p w:rsidR="002E2E3D" w:rsidRPr="00A103D3" w:rsidRDefault="002E2E3D" w:rsidP="00A5019E">
      <w:pPr>
        <w:overflowPunct w:val="0"/>
        <w:spacing w:line="360" w:lineRule="auto"/>
        <w:ind w:rightChars="2" w:right="4"/>
        <w:jc w:val="right"/>
        <w:rPr>
          <w:rFonts w:eastAsiaTheme="majorEastAsia"/>
          <w:sz w:val="22"/>
          <w:szCs w:val="22"/>
        </w:rPr>
      </w:pPr>
      <w:r w:rsidRPr="00A103D3">
        <w:rPr>
          <w:rFonts w:eastAsiaTheme="majorEastAsia"/>
          <w:sz w:val="22"/>
          <w:szCs w:val="22"/>
        </w:rPr>
        <w:t>单位：人民币元</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3827"/>
      </w:tblGrid>
      <w:tr w:rsidR="00960A26" w:rsidRPr="00A103D3" w:rsidTr="00873B3C">
        <w:tc>
          <w:tcPr>
            <w:tcW w:w="5245" w:type="dxa"/>
            <w:tcBorders>
              <w:top w:val="single" w:sz="4" w:space="0" w:color="auto"/>
            </w:tcBorders>
            <w:vAlign w:val="center"/>
          </w:tcPr>
          <w:p w:rsidR="00960A26" w:rsidRPr="00A103D3" w:rsidRDefault="00960A26" w:rsidP="00873B3C">
            <w:pPr>
              <w:pStyle w:val="ab"/>
              <w:spacing w:before="0" w:beforeAutospacing="0" w:after="0" w:afterAutospacing="0" w:line="240" w:lineRule="atLeast"/>
              <w:rPr>
                <w:rFonts w:ascii="Times New Roman" w:hAnsi="Times New Roman" w:cs="Times New Roman"/>
                <w:b/>
                <w:sz w:val="21"/>
                <w:szCs w:val="21"/>
              </w:rPr>
            </w:pPr>
          </w:p>
        </w:tc>
        <w:tc>
          <w:tcPr>
            <w:tcW w:w="3827" w:type="dxa"/>
            <w:tcBorders>
              <w:top w:val="single" w:sz="4" w:space="0" w:color="auto"/>
            </w:tcBorders>
            <w:vAlign w:val="center"/>
          </w:tcPr>
          <w:p w:rsidR="00960A26" w:rsidRPr="00A103D3" w:rsidRDefault="00960A26" w:rsidP="00873B3C">
            <w:pPr>
              <w:pStyle w:val="ab"/>
              <w:spacing w:before="0" w:beforeAutospacing="0" w:after="0" w:afterAutospacing="0" w:line="240" w:lineRule="atLeast"/>
              <w:jc w:val="right"/>
              <w:rPr>
                <w:rFonts w:ascii="Times New Roman" w:hAnsi="Times New Roman" w:cs="Times New Roman"/>
                <w:b/>
                <w:sz w:val="21"/>
                <w:szCs w:val="21"/>
              </w:rPr>
            </w:pPr>
            <w:r w:rsidRPr="00A103D3">
              <w:rPr>
                <w:rFonts w:ascii="Times New Roman" w:hAnsi="Times New Roman" w:cs="Times New Roman"/>
                <w:b/>
                <w:sz w:val="21"/>
                <w:szCs w:val="21"/>
              </w:rPr>
              <w:t>最后运作日</w:t>
            </w:r>
          </w:p>
          <w:p w:rsidR="00960A26" w:rsidRPr="00A103D3" w:rsidRDefault="00A95AAB" w:rsidP="00A95AAB">
            <w:pPr>
              <w:pStyle w:val="ab"/>
              <w:spacing w:before="0" w:beforeAutospacing="0" w:after="0" w:afterAutospacing="0" w:line="240" w:lineRule="atLeast"/>
              <w:jc w:val="right"/>
              <w:rPr>
                <w:rFonts w:ascii="Times New Roman" w:hAnsi="Times New Roman" w:cs="Times New Roman"/>
                <w:b/>
                <w:sz w:val="21"/>
                <w:szCs w:val="21"/>
              </w:rPr>
            </w:pPr>
            <w:r w:rsidRPr="00A103D3">
              <w:rPr>
                <w:rFonts w:ascii="Times New Roman" w:hAnsi="Times New Roman" w:cs="Times New Roman"/>
                <w:b/>
                <w:sz w:val="21"/>
                <w:szCs w:val="21"/>
              </w:rPr>
              <w:t>2024</w:t>
            </w:r>
            <w:r w:rsidRPr="00A103D3">
              <w:rPr>
                <w:rFonts w:ascii="Times New Roman" w:hAnsi="Times New Roman" w:cs="Times New Roman"/>
                <w:b/>
                <w:sz w:val="21"/>
                <w:szCs w:val="21"/>
              </w:rPr>
              <w:t>年</w:t>
            </w:r>
            <w:r w:rsidRPr="00A103D3">
              <w:rPr>
                <w:rFonts w:ascii="Times New Roman" w:hAnsi="Times New Roman" w:cs="Times New Roman"/>
                <w:b/>
                <w:sz w:val="21"/>
                <w:szCs w:val="21"/>
              </w:rPr>
              <w:t>12</w:t>
            </w:r>
            <w:r w:rsidRPr="00A103D3">
              <w:rPr>
                <w:rFonts w:ascii="Times New Roman" w:hAnsi="Times New Roman" w:cs="Times New Roman"/>
                <w:b/>
                <w:sz w:val="21"/>
                <w:szCs w:val="21"/>
              </w:rPr>
              <w:t>月</w:t>
            </w:r>
            <w:r w:rsidRPr="00A103D3">
              <w:rPr>
                <w:rFonts w:ascii="Times New Roman" w:hAnsi="Times New Roman" w:cs="Times New Roman"/>
                <w:b/>
                <w:sz w:val="21"/>
                <w:szCs w:val="21"/>
              </w:rPr>
              <w:t>5</w:t>
            </w:r>
            <w:r w:rsidR="00960A26" w:rsidRPr="00A103D3">
              <w:rPr>
                <w:rFonts w:ascii="Times New Roman" w:hAnsi="Times New Roman" w:cs="Times New Roman"/>
                <w:b/>
                <w:sz w:val="21"/>
                <w:szCs w:val="21"/>
              </w:rPr>
              <w:t>日</w:t>
            </w:r>
          </w:p>
        </w:tc>
      </w:tr>
      <w:tr w:rsidR="00960A26" w:rsidRPr="00A103D3" w:rsidTr="00873B3C">
        <w:tc>
          <w:tcPr>
            <w:tcW w:w="5245" w:type="dxa"/>
            <w:vAlign w:val="center"/>
          </w:tcPr>
          <w:p w:rsidR="00960A26" w:rsidRPr="00A103D3" w:rsidRDefault="00960A26" w:rsidP="00873B3C">
            <w:pPr>
              <w:pStyle w:val="ab"/>
              <w:rPr>
                <w:rFonts w:ascii="Times New Roman" w:hAnsi="Times New Roman" w:cs="Times New Roman"/>
                <w:b/>
                <w:sz w:val="21"/>
                <w:szCs w:val="21"/>
              </w:rPr>
            </w:pPr>
            <w:r w:rsidRPr="00A103D3">
              <w:rPr>
                <w:rFonts w:ascii="Times New Roman" w:hAnsi="Times New Roman" w:cs="Times New Roman"/>
                <w:b/>
                <w:sz w:val="21"/>
                <w:szCs w:val="21"/>
              </w:rPr>
              <w:t>资</w:t>
            </w:r>
            <w:r w:rsidRPr="00A103D3">
              <w:rPr>
                <w:rFonts w:ascii="Times New Roman" w:hAnsi="Times New Roman" w:cs="Times New Roman"/>
                <w:b/>
                <w:sz w:val="21"/>
                <w:szCs w:val="21"/>
              </w:rPr>
              <w:t xml:space="preserve"> </w:t>
            </w:r>
            <w:r w:rsidRPr="00A103D3">
              <w:rPr>
                <w:rFonts w:ascii="Times New Roman" w:hAnsi="Times New Roman" w:cs="Times New Roman"/>
                <w:b/>
                <w:sz w:val="21"/>
                <w:szCs w:val="21"/>
              </w:rPr>
              <w:t>产：</w:t>
            </w:r>
          </w:p>
        </w:tc>
        <w:tc>
          <w:tcPr>
            <w:tcW w:w="3827" w:type="dxa"/>
            <w:vAlign w:val="bottom"/>
          </w:tcPr>
          <w:p w:rsidR="00960A26" w:rsidRPr="00A103D3" w:rsidRDefault="00960A26" w:rsidP="00873B3C">
            <w:pPr>
              <w:pStyle w:val="ab"/>
              <w:jc w:val="right"/>
              <w:rPr>
                <w:rFonts w:ascii="Times New Roman" w:hAnsi="Times New Roman" w:cs="Times New Roman"/>
                <w:sz w:val="21"/>
                <w:szCs w:val="21"/>
              </w:rPr>
            </w:pPr>
          </w:p>
        </w:tc>
      </w:tr>
      <w:tr w:rsidR="00960A26" w:rsidRPr="00A103D3" w:rsidTr="00873B3C">
        <w:tc>
          <w:tcPr>
            <w:tcW w:w="5245" w:type="dxa"/>
            <w:vAlign w:val="center"/>
          </w:tcPr>
          <w:p w:rsidR="00960A26" w:rsidRPr="00A103D3" w:rsidRDefault="00960A26" w:rsidP="00873B3C">
            <w:pPr>
              <w:pStyle w:val="ab"/>
              <w:rPr>
                <w:rFonts w:ascii="Times New Roman" w:hAnsi="Times New Roman" w:cs="Times New Roman"/>
                <w:sz w:val="21"/>
                <w:szCs w:val="21"/>
              </w:rPr>
            </w:pPr>
            <w:r w:rsidRPr="00A103D3">
              <w:rPr>
                <w:rFonts w:ascii="Times New Roman" w:hAnsi="Times New Roman" w:cs="Times New Roman"/>
                <w:sz w:val="21"/>
                <w:szCs w:val="21"/>
              </w:rPr>
              <w:t>货币资金</w:t>
            </w:r>
          </w:p>
        </w:tc>
        <w:tc>
          <w:tcPr>
            <w:tcW w:w="3827" w:type="dxa"/>
          </w:tcPr>
          <w:p w:rsidR="00960A26" w:rsidRPr="00A103D3" w:rsidRDefault="007174FD" w:rsidP="00873B3C">
            <w:pPr>
              <w:jc w:val="right"/>
              <w:rPr>
                <w:rFonts w:eastAsiaTheme="minorEastAsia"/>
                <w:color w:val="000000"/>
                <w:kern w:val="0"/>
                <w:szCs w:val="21"/>
              </w:rPr>
            </w:pPr>
            <w:r w:rsidRPr="00A103D3">
              <w:rPr>
                <w:rFonts w:eastAsiaTheme="minorEastAsia"/>
                <w:color w:val="000000"/>
                <w:kern w:val="0"/>
                <w:szCs w:val="21"/>
              </w:rPr>
              <w:t>539,881.30</w:t>
            </w:r>
          </w:p>
        </w:tc>
      </w:tr>
      <w:tr w:rsidR="00960A26" w:rsidRPr="00A103D3" w:rsidTr="00873B3C">
        <w:tc>
          <w:tcPr>
            <w:tcW w:w="5245" w:type="dxa"/>
            <w:vAlign w:val="center"/>
          </w:tcPr>
          <w:p w:rsidR="00960A26" w:rsidRPr="00A103D3" w:rsidRDefault="00960A26" w:rsidP="00873B3C">
            <w:pPr>
              <w:pStyle w:val="ab"/>
              <w:rPr>
                <w:rFonts w:ascii="Times New Roman" w:hAnsi="Times New Roman" w:cs="Times New Roman"/>
                <w:color w:val="000000"/>
                <w:sz w:val="21"/>
                <w:szCs w:val="21"/>
              </w:rPr>
            </w:pPr>
            <w:r w:rsidRPr="00A103D3">
              <w:rPr>
                <w:rFonts w:ascii="Times New Roman" w:hAnsi="Times New Roman" w:cs="Times New Roman"/>
                <w:color w:val="000000"/>
                <w:sz w:val="21"/>
                <w:szCs w:val="21"/>
              </w:rPr>
              <w:t>结算备付金</w:t>
            </w:r>
          </w:p>
        </w:tc>
        <w:tc>
          <w:tcPr>
            <w:tcW w:w="3827" w:type="dxa"/>
          </w:tcPr>
          <w:p w:rsidR="00960A26" w:rsidRPr="00A103D3" w:rsidRDefault="007174FD" w:rsidP="00873B3C">
            <w:pPr>
              <w:jc w:val="right"/>
              <w:rPr>
                <w:rFonts w:eastAsiaTheme="minorEastAsia"/>
                <w:color w:val="000000"/>
                <w:szCs w:val="21"/>
              </w:rPr>
            </w:pPr>
            <w:r w:rsidRPr="00A103D3">
              <w:rPr>
                <w:rFonts w:eastAsiaTheme="minorEastAsia"/>
                <w:color w:val="000000"/>
                <w:szCs w:val="21"/>
              </w:rPr>
              <w:t>140,947.81</w:t>
            </w:r>
          </w:p>
        </w:tc>
      </w:tr>
      <w:tr w:rsidR="00960A26" w:rsidRPr="00A103D3" w:rsidTr="00873B3C">
        <w:tc>
          <w:tcPr>
            <w:tcW w:w="5245" w:type="dxa"/>
            <w:vAlign w:val="center"/>
          </w:tcPr>
          <w:p w:rsidR="00960A26" w:rsidRPr="00A103D3" w:rsidRDefault="00960A26" w:rsidP="00873B3C">
            <w:pPr>
              <w:pStyle w:val="ab"/>
              <w:rPr>
                <w:rFonts w:ascii="Times New Roman" w:hAnsi="Times New Roman" w:cs="Times New Roman"/>
                <w:color w:val="000000"/>
                <w:sz w:val="21"/>
                <w:szCs w:val="21"/>
              </w:rPr>
            </w:pPr>
            <w:r w:rsidRPr="00A103D3">
              <w:rPr>
                <w:rFonts w:ascii="Times New Roman" w:hAnsi="Times New Roman" w:cs="Times New Roman"/>
                <w:color w:val="000000"/>
                <w:sz w:val="21"/>
                <w:szCs w:val="21"/>
              </w:rPr>
              <w:t>存出保证金</w:t>
            </w:r>
          </w:p>
        </w:tc>
        <w:tc>
          <w:tcPr>
            <w:tcW w:w="3827" w:type="dxa"/>
          </w:tcPr>
          <w:p w:rsidR="00960A26" w:rsidRPr="00A103D3" w:rsidRDefault="00EA322B" w:rsidP="00873B3C">
            <w:pPr>
              <w:jc w:val="right"/>
              <w:rPr>
                <w:rFonts w:eastAsiaTheme="minorEastAsia"/>
                <w:color w:val="000000"/>
                <w:szCs w:val="21"/>
              </w:rPr>
            </w:pPr>
            <w:r w:rsidRPr="00A103D3">
              <w:rPr>
                <w:rFonts w:eastAsiaTheme="minorEastAsia"/>
                <w:color w:val="000000"/>
                <w:szCs w:val="21"/>
              </w:rPr>
              <w:t>1,742.98</w:t>
            </w:r>
          </w:p>
        </w:tc>
      </w:tr>
      <w:tr w:rsidR="00960A26" w:rsidRPr="00A103D3" w:rsidTr="00873B3C">
        <w:tc>
          <w:tcPr>
            <w:tcW w:w="5245" w:type="dxa"/>
            <w:vAlign w:val="center"/>
          </w:tcPr>
          <w:p w:rsidR="00960A26" w:rsidRPr="00A103D3" w:rsidRDefault="00960A26" w:rsidP="00873B3C">
            <w:pPr>
              <w:pStyle w:val="ab"/>
              <w:rPr>
                <w:rFonts w:ascii="Times New Roman" w:hAnsi="Times New Roman" w:cs="Times New Roman"/>
                <w:color w:val="000000"/>
                <w:sz w:val="21"/>
                <w:szCs w:val="21"/>
              </w:rPr>
            </w:pPr>
            <w:r w:rsidRPr="00A103D3">
              <w:rPr>
                <w:rFonts w:ascii="Times New Roman" w:hAnsi="Times New Roman" w:cs="Times New Roman"/>
                <w:color w:val="000000"/>
                <w:sz w:val="21"/>
                <w:szCs w:val="21"/>
              </w:rPr>
              <w:t>交易性金融资产</w:t>
            </w:r>
          </w:p>
        </w:tc>
        <w:tc>
          <w:tcPr>
            <w:tcW w:w="3827" w:type="dxa"/>
          </w:tcPr>
          <w:p w:rsidR="00960A26" w:rsidRPr="00A103D3" w:rsidRDefault="007174FD" w:rsidP="00873B3C">
            <w:pPr>
              <w:jc w:val="right"/>
              <w:rPr>
                <w:rFonts w:eastAsiaTheme="minorEastAsia"/>
                <w:color w:val="000000"/>
                <w:szCs w:val="21"/>
              </w:rPr>
            </w:pPr>
            <w:r w:rsidRPr="00A103D3">
              <w:rPr>
                <w:rFonts w:eastAsiaTheme="minorEastAsia"/>
                <w:color w:val="000000"/>
                <w:szCs w:val="21"/>
              </w:rPr>
              <w:t>357,119.27</w:t>
            </w:r>
          </w:p>
        </w:tc>
      </w:tr>
      <w:tr w:rsidR="00960A26" w:rsidRPr="00A103D3" w:rsidTr="00873B3C">
        <w:tc>
          <w:tcPr>
            <w:tcW w:w="5245" w:type="dxa"/>
            <w:vAlign w:val="center"/>
          </w:tcPr>
          <w:p w:rsidR="00960A26" w:rsidRPr="00A103D3" w:rsidRDefault="00960A26" w:rsidP="00873B3C">
            <w:pPr>
              <w:pStyle w:val="ab"/>
              <w:rPr>
                <w:rFonts w:ascii="Times New Roman" w:hAnsi="Times New Roman" w:cs="Times New Roman"/>
                <w:color w:val="000000"/>
                <w:sz w:val="21"/>
                <w:szCs w:val="21"/>
              </w:rPr>
            </w:pPr>
            <w:r w:rsidRPr="00A103D3">
              <w:rPr>
                <w:rFonts w:ascii="Times New Roman" w:hAnsi="Times New Roman" w:cs="Times New Roman"/>
                <w:color w:val="000000"/>
                <w:sz w:val="21"/>
                <w:szCs w:val="21"/>
              </w:rPr>
              <w:t>其中：股票投资</w:t>
            </w:r>
          </w:p>
        </w:tc>
        <w:tc>
          <w:tcPr>
            <w:tcW w:w="3827" w:type="dxa"/>
          </w:tcPr>
          <w:p w:rsidR="00960A26" w:rsidRPr="00A103D3" w:rsidRDefault="007174FD" w:rsidP="00873B3C">
            <w:pPr>
              <w:jc w:val="right"/>
              <w:rPr>
                <w:rFonts w:eastAsiaTheme="minorEastAsia"/>
                <w:color w:val="000000"/>
                <w:szCs w:val="21"/>
              </w:rPr>
            </w:pPr>
            <w:r w:rsidRPr="00A103D3">
              <w:rPr>
                <w:rFonts w:eastAsiaTheme="minorEastAsia"/>
                <w:color w:val="000000"/>
                <w:szCs w:val="21"/>
              </w:rPr>
              <w:t>154,979.00</w:t>
            </w:r>
          </w:p>
        </w:tc>
      </w:tr>
      <w:tr w:rsidR="007174FD" w:rsidRPr="00A103D3" w:rsidTr="00873B3C">
        <w:tc>
          <w:tcPr>
            <w:tcW w:w="5245" w:type="dxa"/>
            <w:vAlign w:val="center"/>
          </w:tcPr>
          <w:p w:rsidR="007174FD" w:rsidRPr="00A103D3" w:rsidRDefault="007174FD" w:rsidP="00873B3C">
            <w:pPr>
              <w:pStyle w:val="ab"/>
              <w:rPr>
                <w:rFonts w:ascii="Times New Roman" w:hAnsi="Times New Roman" w:cs="Times New Roman"/>
                <w:color w:val="000000"/>
                <w:sz w:val="21"/>
                <w:szCs w:val="21"/>
              </w:rPr>
            </w:pPr>
            <w:r w:rsidRPr="00A103D3">
              <w:rPr>
                <w:rFonts w:ascii="Times New Roman" w:hAnsi="Times New Roman" w:cs="Times New Roman"/>
                <w:color w:val="000000"/>
                <w:sz w:val="21"/>
                <w:szCs w:val="21"/>
              </w:rPr>
              <w:t xml:space="preserve">            </w:t>
            </w:r>
            <w:r w:rsidRPr="00A103D3">
              <w:rPr>
                <w:rFonts w:ascii="Times New Roman" w:hAnsi="Times New Roman" w:cs="Times New Roman"/>
                <w:color w:val="000000"/>
                <w:sz w:val="21"/>
                <w:szCs w:val="21"/>
              </w:rPr>
              <w:t>基金投资</w:t>
            </w:r>
          </w:p>
        </w:tc>
        <w:tc>
          <w:tcPr>
            <w:tcW w:w="3827" w:type="dxa"/>
          </w:tcPr>
          <w:p w:rsidR="007174FD" w:rsidRPr="00A103D3" w:rsidRDefault="007174FD" w:rsidP="00873B3C">
            <w:pPr>
              <w:jc w:val="right"/>
              <w:rPr>
                <w:rFonts w:eastAsiaTheme="minorEastAsia"/>
              </w:rPr>
            </w:pPr>
            <w:r w:rsidRPr="00A103D3">
              <w:rPr>
                <w:rFonts w:eastAsiaTheme="minorEastAsia"/>
                <w:color w:val="000000"/>
                <w:kern w:val="0"/>
                <w:szCs w:val="21"/>
              </w:rPr>
              <w:t>-</w:t>
            </w:r>
          </w:p>
        </w:tc>
      </w:tr>
      <w:tr w:rsidR="007174FD" w:rsidRPr="00A103D3" w:rsidTr="00873B3C">
        <w:tc>
          <w:tcPr>
            <w:tcW w:w="5245" w:type="dxa"/>
            <w:vAlign w:val="center"/>
          </w:tcPr>
          <w:p w:rsidR="007174FD" w:rsidRPr="00A103D3" w:rsidRDefault="007174FD" w:rsidP="00873B3C">
            <w:pPr>
              <w:widowControl/>
              <w:jc w:val="left"/>
              <w:rPr>
                <w:color w:val="000000"/>
                <w:kern w:val="0"/>
                <w:szCs w:val="21"/>
              </w:rPr>
            </w:pPr>
            <w:r w:rsidRPr="00A103D3">
              <w:rPr>
                <w:color w:val="000000"/>
                <w:kern w:val="0"/>
                <w:szCs w:val="21"/>
              </w:rPr>
              <w:t xml:space="preserve">            </w:t>
            </w:r>
            <w:r w:rsidRPr="00A103D3">
              <w:rPr>
                <w:color w:val="000000"/>
                <w:kern w:val="0"/>
                <w:szCs w:val="21"/>
              </w:rPr>
              <w:t>债券投资</w:t>
            </w:r>
          </w:p>
        </w:tc>
        <w:tc>
          <w:tcPr>
            <w:tcW w:w="3827" w:type="dxa"/>
          </w:tcPr>
          <w:p w:rsidR="007174FD" w:rsidRPr="00A103D3" w:rsidRDefault="007174FD" w:rsidP="00873B3C">
            <w:pPr>
              <w:jc w:val="right"/>
              <w:rPr>
                <w:rFonts w:eastAsiaTheme="minorEastAsia"/>
                <w:color w:val="000000"/>
                <w:szCs w:val="21"/>
              </w:rPr>
            </w:pPr>
            <w:r w:rsidRPr="00A103D3">
              <w:rPr>
                <w:rFonts w:eastAsiaTheme="minorEastAsia"/>
                <w:color w:val="000000"/>
                <w:szCs w:val="21"/>
              </w:rPr>
              <w:t>202,140.27</w:t>
            </w:r>
          </w:p>
        </w:tc>
      </w:tr>
      <w:tr w:rsidR="007174FD" w:rsidRPr="00A103D3" w:rsidTr="00873B3C">
        <w:tc>
          <w:tcPr>
            <w:tcW w:w="5245" w:type="dxa"/>
            <w:vAlign w:val="center"/>
          </w:tcPr>
          <w:p w:rsidR="007174FD" w:rsidRPr="00A103D3" w:rsidRDefault="007174FD" w:rsidP="00873B3C">
            <w:pPr>
              <w:rPr>
                <w:color w:val="000000"/>
                <w:kern w:val="0"/>
                <w:szCs w:val="21"/>
              </w:rPr>
            </w:pPr>
            <w:r w:rsidRPr="00A103D3">
              <w:rPr>
                <w:color w:val="000000"/>
                <w:kern w:val="0"/>
                <w:szCs w:val="21"/>
              </w:rPr>
              <w:t xml:space="preserve">            </w:t>
            </w:r>
            <w:r w:rsidRPr="00A103D3">
              <w:rPr>
                <w:color w:val="000000"/>
                <w:kern w:val="0"/>
                <w:szCs w:val="21"/>
              </w:rPr>
              <w:t>资产支持证券投资</w:t>
            </w:r>
          </w:p>
        </w:tc>
        <w:tc>
          <w:tcPr>
            <w:tcW w:w="3827" w:type="dxa"/>
          </w:tcPr>
          <w:p w:rsidR="007174FD" w:rsidRPr="00A103D3" w:rsidRDefault="007174FD" w:rsidP="00873B3C">
            <w:pPr>
              <w:jc w:val="right"/>
              <w:rPr>
                <w:rFonts w:eastAsiaTheme="minorEastAsia"/>
                <w:color w:val="000000"/>
                <w:szCs w:val="21"/>
              </w:rPr>
            </w:pPr>
            <w:r w:rsidRPr="00A103D3">
              <w:rPr>
                <w:rFonts w:eastAsiaTheme="minorEastAsia"/>
                <w:color w:val="000000"/>
                <w:kern w:val="0"/>
                <w:szCs w:val="21"/>
              </w:rPr>
              <w:t>-</w:t>
            </w:r>
          </w:p>
        </w:tc>
      </w:tr>
      <w:tr w:rsidR="007174FD" w:rsidRPr="00A103D3" w:rsidTr="00873B3C">
        <w:tc>
          <w:tcPr>
            <w:tcW w:w="5245" w:type="dxa"/>
            <w:vAlign w:val="center"/>
          </w:tcPr>
          <w:p w:rsidR="007174FD" w:rsidRPr="00A103D3" w:rsidRDefault="007174FD" w:rsidP="00873B3C">
            <w:pPr>
              <w:rPr>
                <w:color w:val="000000"/>
                <w:kern w:val="0"/>
                <w:szCs w:val="21"/>
              </w:rPr>
            </w:pPr>
            <w:r w:rsidRPr="00A103D3">
              <w:rPr>
                <w:color w:val="000000"/>
                <w:kern w:val="0"/>
                <w:szCs w:val="21"/>
              </w:rPr>
              <w:t xml:space="preserve">            </w:t>
            </w:r>
            <w:r w:rsidRPr="00A103D3">
              <w:rPr>
                <w:color w:val="000000"/>
                <w:kern w:val="0"/>
                <w:szCs w:val="21"/>
              </w:rPr>
              <w:t>贵金属投资</w:t>
            </w:r>
          </w:p>
        </w:tc>
        <w:tc>
          <w:tcPr>
            <w:tcW w:w="3827" w:type="dxa"/>
          </w:tcPr>
          <w:p w:rsidR="007174FD" w:rsidRPr="00A103D3" w:rsidRDefault="007174FD" w:rsidP="00873B3C">
            <w:pPr>
              <w:jc w:val="right"/>
              <w:rPr>
                <w:rFonts w:eastAsiaTheme="minorEastAsia"/>
                <w:color w:val="000000"/>
                <w:szCs w:val="21"/>
              </w:rPr>
            </w:pPr>
            <w:r w:rsidRPr="00A103D3">
              <w:rPr>
                <w:rFonts w:eastAsiaTheme="minorEastAsia"/>
                <w:color w:val="000000"/>
                <w:kern w:val="0"/>
                <w:szCs w:val="21"/>
              </w:rPr>
              <w:t>-</w:t>
            </w:r>
          </w:p>
        </w:tc>
      </w:tr>
      <w:tr w:rsidR="007174FD" w:rsidRPr="00A103D3" w:rsidTr="00873B3C">
        <w:tc>
          <w:tcPr>
            <w:tcW w:w="5245" w:type="dxa"/>
            <w:vAlign w:val="center"/>
          </w:tcPr>
          <w:p w:rsidR="007174FD" w:rsidRPr="00A103D3" w:rsidRDefault="007174FD" w:rsidP="00873B3C">
            <w:pPr>
              <w:rPr>
                <w:color w:val="000000"/>
                <w:kern w:val="0"/>
                <w:szCs w:val="21"/>
              </w:rPr>
            </w:pPr>
            <w:r w:rsidRPr="00A103D3">
              <w:rPr>
                <w:color w:val="000000"/>
                <w:kern w:val="0"/>
                <w:szCs w:val="21"/>
              </w:rPr>
              <w:t xml:space="preserve">            </w:t>
            </w:r>
            <w:r w:rsidRPr="00A103D3">
              <w:rPr>
                <w:color w:val="000000"/>
                <w:kern w:val="0"/>
                <w:szCs w:val="21"/>
              </w:rPr>
              <w:t>其他投资</w:t>
            </w:r>
          </w:p>
        </w:tc>
        <w:tc>
          <w:tcPr>
            <w:tcW w:w="3827" w:type="dxa"/>
          </w:tcPr>
          <w:p w:rsidR="007174FD" w:rsidRPr="00A103D3" w:rsidRDefault="007174FD" w:rsidP="00873B3C">
            <w:pPr>
              <w:jc w:val="right"/>
              <w:rPr>
                <w:rFonts w:eastAsiaTheme="minorEastAsia"/>
                <w:color w:val="000000"/>
                <w:szCs w:val="21"/>
              </w:rPr>
            </w:pPr>
            <w:r w:rsidRPr="00A103D3">
              <w:rPr>
                <w:rFonts w:eastAsiaTheme="minorEastAsia"/>
                <w:color w:val="000000"/>
                <w:kern w:val="0"/>
                <w:szCs w:val="21"/>
              </w:rPr>
              <w:t>-</w:t>
            </w:r>
          </w:p>
        </w:tc>
      </w:tr>
      <w:tr w:rsidR="007174FD" w:rsidRPr="00A103D3" w:rsidTr="00873B3C">
        <w:tc>
          <w:tcPr>
            <w:tcW w:w="5245" w:type="dxa"/>
            <w:vAlign w:val="center"/>
          </w:tcPr>
          <w:p w:rsidR="007174FD" w:rsidRPr="00A103D3" w:rsidRDefault="007174FD" w:rsidP="00873B3C">
            <w:pPr>
              <w:rPr>
                <w:color w:val="000000"/>
                <w:kern w:val="0"/>
                <w:szCs w:val="21"/>
              </w:rPr>
            </w:pPr>
            <w:r w:rsidRPr="00A103D3">
              <w:rPr>
                <w:color w:val="000000"/>
                <w:kern w:val="0"/>
                <w:szCs w:val="21"/>
              </w:rPr>
              <w:t>衍生金融资产</w:t>
            </w:r>
          </w:p>
        </w:tc>
        <w:tc>
          <w:tcPr>
            <w:tcW w:w="3827" w:type="dxa"/>
          </w:tcPr>
          <w:p w:rsidR="007174FD" w:rsidRPr="00A103D3" w:rsidRDefault="007174FD" w:rsidP="00873B3C">
            <w:pPr>
              <w:jc w:val="right"/>
              <w:rPr>
                <w:rFonts w:eastAsiaTheme="minorEastAsia"/>
                <w:color w:val="000000"/>
                <w:szCs w:val="21"/>
              </w:rPr>
            </w:pPr>
            <w:r w:rsidRPr="00A103D3">
              <w:rPr>
                <w:rFonts w:eastAsiaTheme="minorEastAsia"/>
                <w:color w:val="000000"/>
                <w:kern w:val="0"/>
                <w:szCs w:val="21"/>
              </w:rPr>
              <w:t>-</w:t>
            </w:r>
          </w:p>
        </w:tc>
      </w:tr>
      <w:tr w:rsidR="007174FD" w:rsidRPr="00A103D3" w:rsidTr="00873B3C">
        <w:tc>
          <w:tcPr>
            <w:tcW w:w="5245" w:type="dxa"/>
            <w:vAlign w:val="center"/>
          </w:tcPr>
          <w:p w:rsidR="007174FD" w:rsidRPr="00A103D3" w:rsidRDefault="007174FD" w:rsidP="00873B3C">
            <w:pPr>
              <w:rPr>
                <w:color w:val="000000"/>
                <w:kern w:val="0"/>
                <w:szCs w:val="21"/>
              </w:rPr>
            </w:pPr>
            <w:r w:rsidRPr="00A103D3">
              <w:rPr>
                <w:color w:val="000000"/>
                <w:kern w:val="0"/>
                <w:szCs w:val="21"/>
              </w:rPr>
              <w:t>买入返售金融资产</w:t>
            </w:r>
          </w:p>
        </w:tc>
        <w:tc>
          <w:tcPr>
            <w:tcW w:w="3827" w:type="dxa"/>
          </w:tcPr>
          <w:p w:rsidR="007174FD" w:rsidRPr="00A103D3" w:rsidRDefault="007174FD" w:rsidP="00873B3C">
            <w:pPr>
              <w:jc w:val="right"/>
              <w:rPr>
                <w:rFonts w:eastAsiaTheme="minorEastAsia"/>
                <w:color w:val="000000"/>
                <w:szCs w:val="21"/>
              </w:rPr>
            </w:pPr>
            <w:r w:rsidRPr="00A103D3">
              <w:rPr>
                <w:rFonts w:eastAsiaTheme="minorEastAsia"/>
                <w:color w:val="000000"/>
                <w:kern w:val="0"/>
                <w:szCs w:val="21"/>
              </w:rPr>
              <w:t>-</w:t>
            </w:r>
          </w:p>
        </w:tc>
      </w:tr>
      <w:tr w:rsidR="007174FD" w:rsidRPr="00A103D3" w:rsidTr="00873B3C">
        <w:tc>
          <w:tcPr>
            <w:tcW w:w="5245" w:type="dxa"/>
            <w:vAlign w:val="center"/>
          </w:tcPr>
          <w:p w:rsidR="007174FD" w:rsidRPr="00A103D3" w:rsidRDefault="007174FD" w:rsidP="00873B3C">
            <w:pPr>
              <w:rPr>
                <w:color w:val="000000"/>
                <w:kern w:val="0"/>
                <w:szCs w:val="21"/>
              </w:rPr>
            </w:pPr>
            <w:r w:rsidRPr="00A103D3">
              <w:rPr>
                <w:color w:val="000000"/>
                <w:kern w:val="0"/>
                <w:szCs w:val="21"/>
              </w:rPr>
              <w:t>应收清算款</w:t>
            </w:r>
          </w:p>
        </w:tc>
        <w:tc>
          <w:tcPr>
            <w:tcW w:w="3827" w:type="dxa"/>
          </w:tcPr>
          <w:p w:rsidR="007174FD" w:rsidRPr="00A103D3" w:rsidRDefault="007174FD" w:rsidP="00873B3C">
            <w:pPr>
              <w:jc w:val="right"/>
              <w:rPr>
                <w:rFonts w:eastAsiaTheme="minorEastAsia"/>
                <w:color w:val="000000"/>
                <w:szCs w:val="21"/>
              </w:rPr>
            </w:pPr>
            <w:r w:rsidRPr="00A103D3">
              <w:rPr>
                <w:rFonts w:eastAsiaTheme="minorEastAsia"/>
                <w:color w:val="000000"/>
                <w:kern w:val="0"/>
                <w:szCs w:val="21"/>
              </w:rPr>
              <w:t>-</w:t>
            </w:r>
          </w:p>
        </w:tc>
      </w:tr>
      <w:tr w:rsidR="007174FD" w:rsidRPr="00A103D3" w:rsidTr="00873B3C">
        <w:tc>
          <w:tcPr>
            <w:tcW w:w="5245" w:type="dxa"/>
            <w:vAlign w:val="center"/>
          </w:tcPr>
          <w:p w:rsidR="007174FD" w:rsidRPr="00A103D3" w:rsidRDefault="007174FD" w:rsidP="00873B3C">
            <w:pPr>
              <w:widowControl/>
              <w:jc w:val="left"/>
              <w:rPr>
                <w:color w:val="000000"/>
                <w:kern w:val="0"/>
                <w:szCs w:val="21"/>
              </w:rPr>
            </w:pPr>
            <w:r w:rsidRPr="00A103D3">
              <w:rPr>
                <w:color w:val="000000"/>
                <w:kern w:val="0"/>
                <w:szCs w:val="21"/>
              </w:rPr>
              <w:t>应收股利</w:t>
            </w:r>
          </w:p>
        </w:tc>
        <w:tc>
          <w:tcPr>
            <w:tcW w:w="3827" w:type="dxa"/>
          </w:tcPr>
          <w:p w:rsidR="007174FD" w:rsidRPr="00A103D3" w:rsidRDefault="007174FD" w:rsidP="00873B3C">
            <w:pPr>
              <w:jc w:val="right"/>
              <w:rPr>
                <w:rFonts w:eastAsiaTheme="minorEastAsia"/>
                <w:color w:val="000000"/>
                <w:szCs w:val="21"/>
              </w:rPr>
            </w:pPr>
            <w:r w:rsidRPr="00A103D3">
              <w:rPr>
                <w:rFonts w:eastAsiaTheme="minorEastAsia"/>
                <w:color w:val="000000"/>
                <w:kern w:val="0"/>
                <w:szCs w:val="21"/>
              </w:rPr>
              <w:t>-</w:t>
            </w:r>
          </w:p>
        </w:tc>
      </w:tr>
      <w:tr w:rsidR="007174FD" w:rsidRPr="00A103D3" w:rsidTr="00873B3C">
        <w:tc>
          <w:tcPr>
            <w:tcW w:w="5245" w:type="dxa"/>
            <w:vAlign w:val="center"/>
          </w:tcPr>
          <w:p w:rsidR="007174FD" w:rsidRPr="00A103D3" w:rsidRDefault="007174FD" w:rsidP="00873B3C">
            <w:pPr>
              <w:pStyle w:val="ab"/>
              <w:rPr>
                <w:rFonts w:ascii="Times New Roman" w:hAnsi="Times New Roman" w:cs="Times New Roman"/>
                <w:color w:val="000000"/>
                <w:sz w:val="21"/>
                <w:szCs w:val="21"/>
              </w:rPr>
            </w:pPr>
            <w:r w:rsidRPr="00A103D3">
              <w:rPr>
                <w:rFonts w:ascii="Times New Roman" w:hAnsi="Times New Roman" w:cs="Times New Roman"/>
                <w:color w:val="000000"/>
                <w:sz w:val="21"/>
                <w:szCs w:val="21"/>
              </w:rPr>
              <w:t>应收申购款</w:t>
            </w:r>
          </w:p>
        </w:tc>
        <w:tc>
          <w:tcPr>
            <w:tcW w:w="3827" w:type="dxa"/>
          </w:tcPr>
          <w:p w:rsidR="007174FD" w:rsidRPr="00A103D3" w:rsidRDefault="007174FD" w:rsidP="00873B3C">
            <w:pPr>
              <w:jc w:val="right"/>
              <w:rPr>
                <w:rFonts w:eastAsiaTheme="minorEastAsia"/>
                <w:color w:val="000000"/>
                <w:szCs w:val="21"/>
              </w:rPr>
            </w:pPr>
            <w:r w:rsidRPr="00A103D3">
              <w:rPr>
                <w:rFonts w:eastAsiaTheme="minorEastAsia"/>
                <w:color w:val="000000"/>
                <w:kern w:val="0"/>
                <w:szCs w:val="21"/>
              </w:rPr>
              <w:t>-</w:t>
            </w:r>
          </w:p>
        </w:tc>
      </w:tr>
      <w:tr w:rsidR="007174FD" w:rsidRPr="00A103D3" w:rsidTr="00873B3C">
        <w:tc>
          <w:tcPr>
            <w:tcW w:w="5245" w:type="dxa"/>
            <w:vAlign w:val="center"/>
          </w:tcPr>
          <w:p w:rsidR="007174FD" w:rsidRPr="00A103D3" w:rsidRDefault="007174FD" w:rsidP="00873B3C">
            <w:pPr>
              <w:pStyle w:val="ab"/>
              <w:rPr>
                <w:rFonts w:ascii="Times New Roman" w:hAnsi="Times New Roman" w:cs="Times New Roman"/>
                <w:color w:val="000000"/>
                <w:sz w:val="21"/>
                <w:szCs w:val="21"/>
              </w:rPr>
            </w:pPr>
            <w:r w:rsidRPr="00A103D3">
              <w:rPr>
                <w:rFonts w:ascii="Times New Roman" w:hAnsi="Times New Roman" w:cs="Times New Roman"/>
                <w:color w:val="000000"/>
                <w:sz w:val="21"/>
                <w:szCs w:val="21"/>
              </w:rPr>
              <w:t>递延所得税资产</w:t>
            </w:r>
          </w:p>
        </w:tc>
        <w:tc>
          <w:tcPr>
            <w:tcW w:w="3827" w:type="dxa"/>
          </w:tcPr>
          <w:p w:rsidR="007174FD" w:rsidRPr="00A103D3" w:rsidRDefault="007174FD" w:rsidP="00873B3C">
            <w:pPr>
              <w:jc w:val="right"/>
              <w:rPr>
                <w:rFonts w:eastAsiaTheme="minorEastAsia"/>
                <w:color w:val="000000"/>
                <w:szCs w:val="21"/>
              </w:rPr>
            </w:pPr>
            <w:r w:rsidRPr="00A103D3">
              <w:rPr>
                <w:rFonts w:eastAsiaTheme="minorEastAsia"/>
                <w:color w:val="000000"/>
                <w:kern w:val="0"/>
                <w:szCs w:val="21"/>
              </w:rPr>
              <w:t>-</w:t>
            </w:r>
          </w:p>
        </w:tc>
      </w:tr>
      <w:tr w:rsidR="007174FD" w:rsidRPr="00A103D3" w:rsidTr="00873B3C">
        <w:tc>
          <w:tcPr>
            <w:tcW w:w="5245" w:type="dxa"/>
            <w:vAlign w:val="center"/>
          </w:tcPr>
          <w:p w:rsidR="007174FD" w:rsidRPr="00A103D3" w:rsidRDefault="007174FD" w:rsidP="00873B3C">
            <w:pPr>
              <w:pStyle w:val="ab"/>
              <w:rPr>
                <w:rFonts w:ascii="Times New Roman" w:hAnsi="Times New Roman" w:cs="Times New Roman"/>
                <w:color w:val="000000"/>
                <w:sz w:val="21"/>
                <w:szCs w:val="21"/>
              </w:rPr>
            </w:pPr>
            <w:r w:rsidRPr="00A103D3">
              <w:rPr>
                <w:rFonts w:ascii="Times New Roman" w:hAnsi="Times New Roman" w:cs="Times New Roman"/>
                <w:color w:val="000000"/>
                <w:sz w:val="21"/>
                <w:szCs w:val="21"/>
              </w:rPr>
              <w:t>其他资产</w:t>
            </w:r>
          </w:p>
        </w:tc>
        <w:tc>
          <w:tcPr>
            <w:tcW w:w="3827" w:type="dxa"/>
          </w:tcPr>
          <w:p w:rsidR="007174FD" w:rsidRPr="00A103D3" w:rsidRDefault="007174FD" w:rsidP="00873B3C">
            <w:pPr>
              <w:jc w:val="right"/>
              <w:rPr>
                <w:rFonts w:eastAsiaTheme="minorEastAsia"/>
                <w:color w:val="000000"/>
                <w:szCs w:val="21"/>
              </w:rPr>
            </w:pPr>
            <w:r w:rsidRPr="00A103D3">
              <w:rPr>
                <w:rFonts w:eastAsiaTheme="minorEastAsia"/>
                <w:color w:val="000000"/>
                <w:kern w:val="0"/>
                <w:szCs w:val="21"/>
              </w:rPr>
              <w:t>-</w:t>
            </w:r>
          </w:p>
        </w:tc>
      </w:tr>
      <w:tr w:rsidR="007174FD" w:rsidRPr="00A103D3" w:rsidTr="00873B3C">
        <w:tc>
          <w:tcPr>
            <w:tcW w:w="5245" w:type="dxa"/>
            <w:vAlign w:val="center"/>
          </w:tcPr>
          <w:p w:rsidR="007174FD" w:rsidRPr="00A103D3" w:rsidRDefault="007174FD" w:rsidP="00873B3C">
            <w:pPr>
              <w:pStyle w:val="ab"/>
              <w:rPr>
                <w:rFonts w:ascii="Times New Roman" w:hAnsi="Times New Roman" w:cs="Times New Roman"/>
                <w:sz w:val="21"/>
                <w:szCs w:val="21"/>
              </w:rPr>
            </w:pPr>
            <w:r w:rsidRPr="00A103D3">
              <w:rPr>
                <w:rFonts w:ascii="Times New Roman" w:hAnsi="Times New Roman" w:cs="Times New Roman"/>
                <w:sz w:val="21"/>
                <w:szCs w:val="21"/>
              </w:rPr>
              <w:t>资产总计</w:t>
            </w:r>
          </w:p>
        </w:tc>
        <w:tc>
          <w:tcPr>
            <w:tcW w:w="3827" w:type="dxa"/>
            <w:vAlign w:val="bottom"/>
          </w:tcPr>
          <w:p w:rsidR="007174FD" w:rsidRPr="00A103D3" w:rsidRDefault="007174FD" w:rsidP="00873B3C">
            <w:pPr>
              <w:widowControl/>
              <w:jc w:val="right"/>
              <w:rPr>
                <w:rFonts w:eastAsiaTheme="minorEastAsia"/>
                <w:color w:val="000000"/>
                <w:kern w:val="0"/>
                <w:szCs w:val="21"/>
              </w:rPr>
            </w:pPr>
            <w:r w:rsidRPr="00A103D3">
              <w:rPr>
                <w:rFonts w:eastAsiaTheme="minorEastAsia"/>
                <w:color w:val="000000"/>
                <w:kern w:val="0"/>
                <w:szCs w:val="21"/>
              </w:rPr>
              <w:t>1,039,691.36</w:t>
            </w:r>
          </w:p>
        </w:tc>
      </w:tr>
      <w:tr w:rsidR="007174FD" w:rsidRPr="00A103D3" w:rsidTr="00873B3C">
        <w:tc>
          <w:tcPr>
            <w:tcW w:w="5245" w:type="dxa"/>
            <w:vAlign w:val="center"/>
          </w:tcPr>
          <w:p w:rsidR="007174FD" w:rsidRPr="00A103D3" w:rsidRDefault="007174FD" w:rsidP="00873B3C">
            <w:pPr>
              <w:pStyle w:val="ab"/>
              <w:rPr>
                <w:rFonts w:ascii="Times New Roman" w:hAnsi="Times New Roman" w:cs="Times New Roman"/>
                <w:sz w:val="21"/>
                <w:szCs w:val="21"/>
              </w:rPr>
            </w:pPr>
            <w:r w:rsidRPr="00A103D3">
              <w:rPr>
                <w:rFonts w:ascii="Times New Roman" w:hAnsi="Times New Roman" w:cs="Times New Roman"/>
                <w:b/>
                <w:sz w:val="21"/>
                <w:szCs w:val="21"/>
              </w:rPr>
              <w:t>负</w:t>
            </w:r>
            <w:r w:rsidRPr="00A103D3">
              <w:rPr>
                <w:rFonts w:ascii="Times New Roman" w:hAnsi="Times New Roman" w:cs="Times New Roman"/>
                <w:b/>
                <w:sz w:val="21"/>
                <w:szCs w:val="21"/>
              </w:rPr>
              <w:t xml:space="preserve"> </w:t>
            </w:r>
            <w:r w:rsidRPr="00A103D3">
              <w:rPr>
                <w:rFonts w:ascii="Times New Roman" w:hAnsi="Times New Roman" w:cs="Times New Roman"/>
                <w:b/>
                <w:sz w:val="21"/>
                <w:szCs w:val="21"/>
              </w:rPr>
              <w:t>债：</w:t>
            </w:r>
          </w:p>
        </w:tc>
        <w:tc>
          <w:tcPr>
            <w:tcW w:w="3827" w:type="dxa"/>
            <w:vAlign w:val="bottom"/>
          </w:tcPr>
          <w:p w:rsidR="007174FD" w:rsidRPr="00A103D3" w:rsidRDefault="007174FD" w:rsidP="00873B3C">
            <w:pPr>
              <w:pStyle w:val="ab"/>
              <w:jc w:val="right"/>
              <w:rPr>
                <w:rFonts w:ascii="Times New Roman" w:eastAsiaTheme="minorEastAsia" w:hAnsi="Times New Roman" w:cs="Times New Roman"/>
                <w:sz w:val="21"/>
                <w:szCs w:val="21"/>
              </w:rPr>
            </w:pPr>
          </w:p>
        </w:tc>
      </w:tr>
      <w:tr w:rsidR="007174FD" w:rsidRPr="00A103D3" w:rsidTr="00D66086">
        <w:tc>
          <w:tcPr>
            <w:tcW w:w="5245" w:type="dxa"/>
            <w:vAlign w:val="center"/>
          </w:tcPr>
          <w:p w:rsidR="007174FD" w:rsidRPr="00A103D3" w:rsidRDefault="007174FD" w:rsidP="00873B3C">
            <w:pPr>
              <w:widowControl/>
              <w:jc w:val="left"/>
              <w:rPr>
                <w:color w:val="000000"/>
                <w:kern w:val="0"/>
                <w:szCs w:val="21"/>
              </w:rPr>
            </w:pPr>
            <w:r w:rsidRPr="00A103D3">
              <w:rPr>
                <w:color w:val="000000"/>
                <w:kern w:val="0"/>
                <w:szCs w:val="21"/>
              </w:rPr>
              <w:t>短期借款</w:t>
            </w:r>
          </w:p>
        </w:tc>
        <w:tc>
          <w:tcPr>
            <w:tcW w:w="3827" w:type="dxa"/>
          </w:tcPr>
          <w:p w:rsidR="007174FD" w:rsidRPr="00A103D3" w:rsidRDefault="007174FD" w:rsidP="00873B3C">
            <w:pPr>
              <w:jc w:val="right"/>
              <w:rPr>
                <w:rFonts w:eastAsiaTheme="minorEastAsia"/>
                <w:color w:val="000000"/>
                <w:kern w:val="0"/>
                <w:szCs w:val="21"/>
              </w:rPr>
            </w:pPr>
            <w:r w:rsidRPr="00A103D3">
              <w:rPr>
                <w:rFonts w:eastAsiaTheme="minorEastAsia"/>
                <w:color w:val="000000"/>
                <w:kern w:val="0"/>
                <w:szCs w:val="21"/>
              </w:rPr>
              <w:t>-</w:t>
            </w:r>
          </w:p>
        </w:tc>
      </w:tr>
      <w:tr w:rsidR="007174FD" w:rsidRPr="00A103D3" w:rsidTr="00D66086">
        <w:tc>
          <w:tcPr>
            <w:tcW w:w="5245" w:type="dxa"/>
            <w:vAlign w:val="center"/>
          </w:tcPr>
          <w:p w:rsidR="007174FD" w:rsidRPr="00A103D3" w:rsidRDefault="007174FD" w:rsidP="00873B3C">
            <w:pPr>
              <w:rPr>
                <w:color w:val="000000"/>
                <w:kern w:val="0"/>
                <w:szCs w:val="21"/>
              </w:rPr>
            </w:pPr>
            <w:r w:rsidRPr="00A103D3">
              <w:rPr>
                <w:color w:val="000000"/>
                <w:kern w:val="0"/>
                <w:szCs w:val="21"/>
              </w:rPr>
              <w:t>交易性金融负债</w:t>
            </w:r>
          </w:p>
        </w:tc>
        <w:tc>
          <w:tcPr>
            <w:tcW w:w="3827" w:type="dxa"/>
          </w:tcPr>
          <w:p w:rsidR="007174FD" w:rsidRPr="00A103D3" w:rsidRDefault="007174FD" w:rsidP="00873B3C">
            <w:pPr>
              <w:jc w:val="right"/>
              <w:rPr>
                <w:rFonts w:eastAsiaTheme="minorEastAsia"/>
                <w:color w:val="000000"/>
                <w:kern w:val="0"/>
                <w:szCs w:val="21"/>
              </w:rPr>
            </w:pPr>
            <w:r w:rsidRPr="00A103D3">
              <w:rPr>
                <w:rFonts w:eastAsiaTheme="minorEastAsia"/>
                <w:color w:val="000000"/>
                <w:kern w:val="0"/>
                <w:szCs w:val="21"/>
              </w:rPr>
              <w:t>-</w:t>
            </w:r>
          </w:p>
        </w:tc>
      </w:tr>
      <w:tr w:rsidR="007174FD" w:rsidRPr="00A103D3" w:rsidTr="00D66086">
        <w:tc>
          <w:tcPr>
            <w:tcW w:w="5245" w:type="dxa"/>
            <w:vAlign w:val="center"/>
          </w:tcPr>
          <w:p w:rsidR="007174FD" w:rsidRPr="00A103D3" w:rsidRDefault="007174FD" w:rsidP="00873B3C">
            <w:pPr>
              <w:rPr>
                <w:color w:val="000000"/>
                <w:kern w:val="0"/>
                <w:szCs w:val="21"/>
              </w:rPr>
            </w:pPr>
            <w:r w:rsidRPr="00A103D3">
              <w:rPr>
                <w:color w:val="000000"/>
                <w:kern w:val="0"/>
                <w:szCs w:val="21"/>
              </w:rPr>
              <w:t>衍生金融负债</w:t>
            </w:r>
          </w:p>
        </w:tc>
        <w:tc>
          <w:tcPr>
            <w:tcW w:w="3827" w:type="dxa"/>
          </w:tcPr>
          <w:p w:rsidR="007174FD" w:rsidRPr="00A103D3" w:rsidRDefault="007174FD" w:rsidP="00873B3C">
            <w:pPr>
              <w:jc w:val="right"/>
              <w:rPr>
                <w:rFonts w:eastAsiaTheme="minorEastAsia"/>
                <w:color w:val="000000"/>
                <w:kern w:val="0"/>
                <w:szCs w:val="21"/>
              </w:rPr>
            </w:pPr>
            <w:r w:rsidRPr="00A103D3">
              <w:rPr>
                <w:rFonts w:eastAsiaTheme="minorEastAsia"/>
                <w:color w:val="000000"/>
                <w:kern w:val="0"/>
                <w:szCs w:val="21"/>
              </w:rPr>
              <w:t>-</w:t>
            </w:r>
          </w:p>
        </w:tc>
      </w:tr>
      <w:tr w:rsidR="007174FD" w:rsidRPr="00A103D3" w:rsidTr="00D66086">
        <w:tc>
          <w:tcPr>
            <w:tcW w:w="5245" w:type="dxa"/>
            <w:vAlign w:val="center"/>
          </w:tcPr>
          <w:p w:rsidR="007174FD" w:rsidRPr="00A103D3" w:rsidRDefault="007174FD" w:rsidP="00873B3C">
            <w:pPr>
              <w:rPr>
                <w:color w:val="000000"/>
                <w:kern w:val="0"/>
                <w:szCs w:val="21"/>
              </w:rPr>
            </w:pPr>
            <w:r w:rsidRPr="00A103D3">
              <w:rPr>
                <w:color w:val="000000"/>
                <w:kern w:val="0"/>
                <w:szCs w:val="21"/>
              </w:rPr>
              <w:t>卖出回购金融资产款</w:t>
            </w:r>
          </w:p>
        </w:tc>
        <w:tc>
          <w:tcPr>
            <w:tcW w:w="3827" w:type="dxa"/>
          </w:tcPr>
          <w:p w:rsidR="007174FD" w:rsidRPr="00A103D3" w:rsidRDefault="007174FD" w:rsidP="00873B3C">
            <w:pPr>
              <w:jc w:val="right"/>
              <w:rPr>
                <w:rFonts w:eastAsiaTheme="minorEastAsia"/>
                <w:color w:val="000000"/>
                <w:szCs w:val="21"/>
              </w:rPr>
            </w:pPr>
            <w:r w:rsidRPr="00A103D3">
              <w:rPr>
                <w:rFonts w:eastAsiaTheme="minorEastAsia"/>
                <w:color w:val="000000"/>
                <w:kern w:val="0"/>
                <w:szCs w:val="21"/>
              </w:rPr>
              <w:t>-</w:t>
            </w:r>
          </w:p>
        </w:tc>
      </w:tr>
      <w:tr w:rsidR="007174FD" w:rsidRPr="00A103D3" w:rsidTr="00D66086">
        <w:tc>
          <w:tcPr>
            <w:tcW w:w="5245" w:type="dxa"/>
            <w:vAlign w:val="center"/>
          </w:tcPr>
          <w:p w:rsidR="007174FD" w:rsidRPr="00A103D3" w:rsidRDefault="007174FD" w:rsidP="00873B3C">
            <w:pPr>
              <w:rPr>
                <w:color w:val="000000"/>
                <w:kern w:val="0"/>
                <w:szCs w:val="21"/>
              </w:rPr>
            </w:pPr>
            <w:r w:rsidRPr="00A103D3">
              <w:rPr>
                <w:color w:val="000000"/>
                <w:kern w:val="0"/>
                <w:szCs w:val="21"/>
              </w:rPr>
              <w:t>应付清算款</w:t>
            </w:r>
          </w:p>
        </w:tc>
        <w:tc>
          <w:tcPr>
            <w:tcW w:w="3827" w:type="dxa"/>
          </w:tcPr>
          <w:p w:rsidR="007174FD" w:rsidRPr="00A103D3" w:rsidRDefault="007174FD" w:rsidP="00873B3C">
            <w:pPr>
              <w:jc w:val="right"/>
              <w:rPr>
                <w:rFonts w:eastAsiaTheme="minorEastAsia"/>
                <w:color w:val="000000"/>
                <w:szCs w:val="21"/>
              </w:rPr>
            </w:pPr>
            <w:r w:rsidRPr="00A103D3">
              <w:rPr>
                <w:rFonts w:eastAsiaTheme="minorEastAsia"/>
                <w:color w:val="000000"/>
                <w:kern w:val="0"/>
                <w:szCs w:val="21"/>
              </w:rPr>
              <w:t>-</w:t>
            </w:r>
          </w:p>
        </w:tc>
      </w:tr>
      <w:tr w:rsidR="007174FD" w:rsidRPr="00A103D3" w:rsidTr="00873B3C">
        <w:tc>
          <w:tcPr>
            <w:tcW w:w="5245" w:type="dxa"/>
            <w:vAlign w:val="center"/>
          </w:tcPr>
          <w:p w:rsidR="007174FD" w:rsidRPr="00A103D3" w:rsidRDefault="007174FD" w:rsidP="00873B3C">
            <w:pPr>
              <w:rPr>
                <w:color w:val="000000"/>
                <w:kern w:val="0"/>
                <w:szCs w:val="21"/>
              </w:rPr>
            </w:pPr>
            <w:r w:rsidRPr="00A103D3">
              <w:rPr>
                <w:color w:val="000000"/>
                <w:kern w:val="0"/>
                <w:szCs w:val="21"/>
              </w:rPr>
              <w:t>应付赎回款</w:t>
            </w:r>
          </w:p>
        </w:tc>
        <w:tc>
          <w:tcPr>
            <w:tcW w:w="3827" w:type="dxa"/>
          </w:tcPr>
          <w:p w:rsidR="007174FD" w:rsidRPr="00A103D3" w:rsidRDefault="007174FD" w:rsidP="00873B3C">
            <w:pPr>
              <w:jc w:val="right"/>
              <w:rPr>
                <w:rFonts w:eastAsiaTheme="minorEastAsia"/>
                <w:color w:val="000000"/>
                <w:szCs w:val="21"/>
              </w:rPr>
            </w:pPr>
            <w:r w:rsidRPr="00A103D3">
              <w:rPr>
                <w:rFonts w:eastAsiaTheme="minorEastAsia"/>
                <w:color w:val="000000"/>
                <w:szCs w:val="21"/>
              </w:rPr>
              <w:t>5,187.16</w:t>
            </w:r>
          </w:p>
        </w:tc>
      </w:tr>
      <w:tr w:rsidR="007174FD" w:rsidRPr="00A103D3" w:rsidTr="00873B3C">
        <w:tc>
          <w:tcPr>
            <w:tcW w:w="5245" w:type="dxa"/>
            <w:vAlign w:val="center"/>
          </w:tcPr>
          <w:p w:rsidR="007174FD" w:rsidRPr="00A103D3" w:rsidRDefault="007174FD" w:rsidP="00873B3C">
            <w:pPr>
              <w:rPr>
                <w:color w:val="000000"/>
                <w:kern w:val="0"/>
                <w:szCs w:val="21"/>
              </w:rPr>
            </w:pPr>
            <w:r w:rsidRPr="00A103D3">
              <w:rPr>
                <w:color w:val="000000"/>
                <w:kern w:val="0"/>
                <w:szCs w:val="21"/>
              </w:rPr>
              <w:t>应付管理人报酬</w:t>
            </w:r>
          </w:p>
        </w:tc>
        <w:tc>
          <w:tcPr>
            <w:tcW w:w="3827" w:type="dxa"/>
          </w:tcPr>
          <w:p w:rsidR="007174FD" w:rsidRPr="00A103D3" w:rsidRDefault="007174FD" w:rsidP="00873B3C">
            <w:pPr>
              <w:jc w:val="right"/>
              <w:rPr>
                <w:rFonts w:eastAsiaTheme="minorEastAsia"/>
                <w:color w:val="000000"/>
                <w:szCs w:val="21"/>
              </w:rPr>
            </w:pPr>
            <w:r w:rsidRPr="00A103D3">
              <w:rPr>
                <w:rFonts w:eastAsiaTheme="minorEastAsia"/>
                <w:color w:val="000000"/>
                <w:szCs w:val="21"/>
              </w:rPr>
              <w:t>81.42</w:t>
            </w:r>
          </w:p>
        </w:tc>
      </w:tr>
      <w:tr w:rsidR="007174FD" w:rsidRPr="00A103D3" w:rsidTr="00873B3C">
        <w:tc>
          <w:tcPr>
            <w:tcW w:w="5245" w:type="dxa"/>
            <w:vAlign w:val="center"/>
          </w:tcPr>
          <w:p w:rsidR="007174FD" w:rsidRPr="00A103D3" w:rsidRDefault="007174FD" w:rsidP="00873B3C">
            <w:pPr>
              <w:rPr>
                <w:color w:val="000000"/>
                <w:kern w:val="0"/>
                <w:szCs w:val="21"/>
              </w:rPr>
            </w:pPr>
            <w:r w:rsidRPr="00A103D3">
              <w:rPr>
                <w:color w:val="000000"/>
                <w:kern w:val="0"/>
                <w:szCs w:val="21"/>
              </w:rPr>
              <w:t>应付托管费</w:t>
            </w:r>
          </w:p>
        </w:tc>
        <w:tc>
          <w:tcPr>
            <w:tcW w:w="3827" w:type="dxa"/>
          </w:tcPr>
          <w:p w:rsidR="007174FD" w:rsidRPr="00A103D3" w:rsidRDefault="007174FD" w:rsidP="00873B3C">
            <w:pPr>
              <w:jc w:val="right"/>
              <w:rPr>
                <w:rFonts w:eastAsiaTheme="minorEastAsia"/>
                <w:color w:val="000000"/>
                <w:szCs w:val="21"/>
              </w:rPr>
            </w:pPr>
            <w:r w:rsidRPr="00A103D3">
              <w:rPr>
                <w:rFonts w:eastAsiaTheme="minorEastAsia"/>
                <w:color w:val="000000"/>
                <w:szCs w:val="21"/>
              </w:rPr>
              <w:t>13.57</w:t>
            </w:r>
          </w:p>
        </w:tc>
      </w:tr>
      <w:tr w:rsidR="007174FD" w:rsidRPr="00A103D3" w:rsidTr="00873B3C">
        <w:tc>
          <w:tcPr>
            <w:tcW w:w="5245" w:type="dxa"/>
            <w:vAlign w:val="center"/>
          </w:tcPr>
          <w:p w:rsidR="007174FD" w:rsidRPr="00A103D3" w:rsidRDefault="007174FD" w:rsidP="00873B3C">
            <w:pPr>
              <w:rPr>
                <w:color w:val="000000"/>
                <w:kern w:val="0"/>
                <w:szCs w:val="21"/>
              </w:rPr>
            </w:pPr>
            <w:r w:rsidRPr="00A103D3">
              <w:rPr>
                <w:color w:val="000000"/>
                <w:kern w:val="0"/>
                <w:szCs w:val="21"/>
              </w:rPr>
              <w:t>应付销售服务费</w:t>
            </w:r>
          </w:p>
        </w:tc>
        <w:tc>
          <w:tcPr>
            <w:tcW w:w="3827" w:type="dxa"/>
          </w:tcPr>
          <w:p w:rsidR="007174FD" w:rsidRPr="00A103D3" w:rsidRDefault="007174FD" w:rsidP="00873B3C">
            <w:pPr>
              <w:jc w:val="right"/>
              <w:rPr>
                <w:rFonts w:eastAsiaTheme="minorEastAsia"/>
                <w:color w:val="000000"/>
                <w:szCs w:val="21"/>
              </w:rPr>
            </w:pPr>
            <w:r w:rsidRPr="00A103D3">
              <w:rPr>
                <w:rFonts w:eastAsiaTheme="minorEastAsia"/>
                <w:color w:val="000000"/>
                <w:szCs w:val="21"/>
              </w:rPr>
              <w:t>0.45</w:t>
            </w:r>
          </w:p>
        </w:tc>
      </w:tr>
      <w:tr w:rsidR="007174FD" w:rsidRPr="00A103D3" w:rsidTr="00873B3C">
        <w:tc>
          <w:tcPr>
            <w:tcW w:w="5245" w:type="dxa"/>
            <w:vAlign w:val="center"/>
          </w:tcPr>
          <w:p w:rsidR="007174FD" w:rsidRPr="00A103D3" w:rsidRDefault="007174FD" w:rsidP="00873B3C">
            <w:pPr>
              <w:rPr>
                <w:color w:val="000000"/>
                <w:kern w:val="0"/>
                <w:szCs w:val="21"/>
              </w:rPr>
            </w:pPr>
            <w:r w:rsidRPr="00A103D3">
              <w:rPr>
                <w:color w:val="000000"/>
                <w:kern w:val="0"/>
                <w:szCs w:val="21"/>
              </w:rPr>
              <w:t>应付投资顾问费</w:t>
            </w:r>
          </w:p>
        </w:tc>
        <w:tc>
          <w:tcPr>
            <w:tcW w:w="3827" w:type="dxa"/>
          </w:tcPr>
          <w:p w:rsidR="007174FD" w:rsidRPr="00A103D3" w:rsidRDefault="007174FD" w:rsidP="00873B3C">
            <w:pPr>
              <w:jc w:val="right"/>
              <w:rPr>
                <w:rFonts w:eastAsiaTheme="minorEastAsia"/>
                <w:color w:val="000000"/>
                <w:szCs w:val="21"/>
              </w:rPr>
            </w:pPr>
            <w:r w:rsidRPr="00A103D3">
              <w:rPr>
                <w:rFonts w:eastAsiaTheme="minorEastAsia"/>
                <w:color w:val="000000"/>
                <w:kern w:val="0"/>
                <w:szCs w:val="21"/>
              </w:rPr>
              <w:t>-</w:t>
            </w:r>
          </w:p>
        </w:tc>
      </w:tr>
      <w:tr w:rsidR="007174FD" w:rsidRPr="00A103D3" w:rsidTr="00873B3C">
        <w:tc>
          <w:tcPr>
            <w:tcW w:w="5245" w:type="dxa"/>
            <w:vAlign w:val="center"/>
          </w:tcPr>
          <w:p w:rsidR="007174FD" w:rsidRPr="00A103D3" w:rsidRDefault="007174FD" w:rsidP="00873B3C">
            <w:pPr>
              <w:rPr>
                <w:color w:val="000000"/>
                <w:kern w:val="0"/>
                <w:szCs w:val="21"/>
              </w:rPr>
            </w:pPr>
            <w:r w:rsidRPr="00A103D3">
              <w:rPr>
                <w:color w:val="000000"/>
                <w:kern w:val="0"/>
                <w:szCs w:val="21"/>
              </w:rPr>
              <w:t>应交税费</w:t>
            </w:r>
          </w:p>
        </w:tc>
        <w:tc>
          <w:tcPr>
            <w:tcW w:w="3827" w:type="dxa"/>
          </w:tcPr>
          <w:p w:rsidR="007174FD" w:rsidRPr="00A103D3" w:rsidRDefault="007174FD" w:rsidP="00873B3C">
            <w:pPr>
              <w:jc w:val="right"/>
              <w:rPr>
                <w:rFonts w:eastAsiaTheme="minorEastAsia"/>
                <w:color w:val="000000"/>
                <w:szCs w:val="21"/>
              </w:rPr>
            </w:pPr>
            <w:r w:rsidRPr="00A103D3">
              <w:rPr>
                <w:rFonts w:eastAsiaTheme="minorEastAsia"/>
                <w:color w:val="000000"/>
                <w:kern w:val="0"/>
                <w:szCs w:val="21"/>
              </w:rPr>
              <w:t>-</w:t>
            </w:r>
          </w:p>
        </w:tc>
      </w:tr>
      <w:tr w:rsidR="007174FD" w:rsidRPr="00A103D3" w:rsidTr="00873B3C">
        <w:tc>
          <w:tcPr>
            <w:tcW w:w="5245" w:type="dxa"/>
            <w:vAlign w:val="center"/>
          </w:tcPr>
          <w:p w:rsidR="007174FD" w:rsidRPr="00A103D3" w:rsidRDefault="007174FD" w:rsidP="00873B3C">
            <w:pPr>
              <w:rPr>
                <w:color w:val="000000"/>
                <w:kern w:val="0"/>
                <w:szCs w:val="21"/>
              </w:rPr>
            </w:pPr>
            <w:r w:rsidRPr="00A103D3">
              <w:rPr>
                <w:color w:val="000000"/>
                <w:kern w:val="0"/>
                <w:szCs w:val="21"/>
              </w:rPr>
              <w:t>应付利润</w:t>
            </w:r>
          </w:p>
        </w:tc>
        <w:tc>
          <w:tcPr>
            <w:tcW w:w="3827" w:type="dxa"/>
          </w:tcPr>
          <w:p w:rsidR="007174FD" w:rsidRPr="00A103D3" w:rsidRDefault="007174FD" w:rsidP="00873B3C">
            <w:pPr>
              <w:jc w:val="right"/>
              <w:rPr>
                <w:rFonts w:eastAsiaTheme="minorEastAsia"/>
                <w:color w:val="000000"/>
                <w:szCs w:val="21"/>
              </w:rPr>
            </w:pPr>
            <w:r w:rsidRPr="00A103D3">
              <w:rPr>
                <w:rFonts w:eastAsiaTheme="minorEastAsia"/>
                <w:color w:val="000000"/>
                <w:kern w:val="0"/>
                <w:szCs w:val="21"/>
              </w:rPr>
              <w:t>-</w:t>
            </w:r>
          </w:p>
        </w:tc>
      </w:tr>
      <w:tr w:rsidR="007174FD" w:rsidRPr="00A103D3" w:rsidTr="00873B3C">
        <w:tc>
          <w:tcPr>
            <w:tcW w:w="5245" w:type="dxa"/>
            <w:vAlign w:val="center"/>
          </w:tcPr>
          <w:p w:rsidR="007174FD" w:rsidRPr="00A103D3" w:rsidRDefault="007174FD" w:rsidP="00873B3C">
            <w:pPr>
              <w:rPr>
                <w:color w:val="000000"/>
                <w:kern w:val="0"/>
                <w:szCs w:val="21"/>
              </w:rPr>
            </w:pPr>
            <w:r w:rsidRPr="00A103D3">
              <w:rPr>
                <w:color w:val="000000"/>
                <w:szCs w:val="21"/>
              </w:rPr>
              <w:t>递延所得税负债</w:t>
            </w:r>
          </w:p>
        </w:tc>
        <w:tc>
          <w:tcPr>
            <w:tcW w:w="3827" w:type="dxa"/>
          </w:tcPr>
          <w:p w:rsidR="007174FD" w:rsidRPr="00A103D3" w:rsidRDefault="007174FD" w:rsidP="00873B3C">
            <w:pPr>
              <w:jc w:val="right"/>
              <w:rPr>
                <w:rFonts w:eastAsiaTheme="minorEastAsia"/>
                <w:color w:val="000000"/>
                <w:szCs w:val="21"/>
              </w:rPr>
            </w:pPr>
            <w:r w:rsidRPr="00A103D3">
              <w:rPr>
                <w:rFonts w:eastAsiaTheme="minorEastAsia"/>
                <w:color w:val="000000"/>
                <w:kern w:val="0"/>
                <w:szCs w:val="21"/>
              </w:rPr>
              <w:t>-</w:t>
            </w:r>
          </w:p>
        </w:tc>
      </w:tr>
      <w:tr w:rsidR="007174FD" w:rsidRPr="00A103D3" w:rsidTr="00873B3C">
        <w:tc>
          <w:tcPr>
            <w:tcW w:w="5245" w:type="dxa"/>
            <w:vAlign w:val="center"/>
          </w:tcPr>
          <w:p w:rsidR="007174FD" w:rsidRPr="00A103D3" w:rsidRDefault="007174FD" w:rsidP="00873B3C">
            <w:pPr>
              <w:rPr>
                <w:color w:val="000000"/>
                <w:kern w:val="0"/>
                <w:szCs w:val="21"/>
              </w:rPr>
            </w:pPr>
            <w:r w:rsidRPr="00A103D3">
              <w:rPr>
                <w:color w:val="000000"/>
                <w:kern w:val="0"/>
                <w:szCs w:val="21"/>
              </w:rPr>
              <w:t>其他负债</w:t>
            </w:r>
          </w:p>
        </w:tc>
        <w:tc>
          <w:tcPr>
            <w:tcW w:w="3827" w:type="dxa"/>
          </w:tcPr>
          <w:p w:rsidR="007174FD" w:rsidRPr="00A103D3" w:rsidRDefault="007174FD" w:rsidP="00873B3C">
            <w:pPr>
              <w:jc w:val="right"/>
              <w:rPr>
                <w:rFonts w:eastAsiaTheme="minorEastAsia"/>
                <w:color w:val="000000"/>
                <w:szCs w:val="21"/>
              </w:rPr>
            </w:pPr>
            <w:r w:rsidRPr="00A103D3">
              <w:rPr>
                <w:rFonts w:eastAsiaTheme="minorEastAsia"/>
                <w:color w:val="000000"/>
                <w:szCs w:val="21"/>
              </w:rPr>
              <w:t>29,237.44</w:t>
            </w:r>
          </w:p>
        </w:tc>
      </w:tr>
      <w:tr w:rsidR="007174FD" w:rsidRPr="00A103D3" w:rsidTr="00873B3C">
        <w:tc>
          <w:tcPr>
            <w:tcW w:w="5245" w:type="dxa"/>
            <w:vAlign w:val="center"/>
          </w:tcPr>
          <w:p w:rsidR="007174FD" w:rsidRPr="00A103D3" w:rsidRDefault="007174FD" w:rsidP="00873B3C">
            <w:pPr>
              <w:rPr>
                <w:color w:val="000000"/>
                <w:kern w:val="0"/>
                <w:szCs w:val="21"/>
              </w:rPr>
            </w:pPr>
            <w:r w:rsidRPr="00A103D3">
              <w:rPr>
                <w:color w:val="000000"/>
                <w:kern w:val="0"/>
                <w:szCs w:val="21"/>
              </w:rPr>
              <w:t>负债合计</w:t>
            </w:r>
          </w:p>
        </w:tc>
        <w:tc>
          <w:tcPr>
            <w:tcW w:w="3827" w:type="dxa"/>
          </w:tcPr>
          <w:p w:rsidR="007174FD" w:rsidRPr="00A103D3" w:rsidRDefault="007174FD" w:rsidP="00873B3C">
            <w:pPr>
              <w:jc w:val="right"/>
              <w:rPr>
                <w:rFonts w:eastAsiaTheme="minorEastAsia"/>
                <w:color w:val="000000"/>
                <w:szCs w:val="21"/>
              </w:rPr>
            </w:pPr>
            <w:r w:rsidRPr="00A103D3">
              <w:rPr>
                <w:rFonts w:eastAsiaTheme="minorEastAsia"/>
                <w:color w:val="000000"/>
                <w:szCs w:val="21"/>
              </w:rPr>
              <w:t>34,520.04</w:t>
            </w:r>
          </w:p>
        </w:tc>
      </w:tr>
      <w:tr w:rsidR="007174FD" w:rsidRPr="00A103D3" w:rsidTr="00873B3C">
        <w:tc>
          <w:tcPr>
            <w:tcW w:w="5245" w:type="dxa"/>
            <w:vAlign w:val="center"/>
          </w:tcPr>
          <w:p w:rsidR="007174FD" w:rsidRPr="00A103D3" w:rsidRDefault="007174FD" w:rsidP="00873B3C">
            <w:pPr>
              <w:pStyle w:val="ab"/>
              <w:rPr>
                <w:rFonts w:ascii="Times New Roman" w:hAnsi="Times New Roman" w:cs="Times New Roman"/>
                <w:sz w:val="21"/>
                <w:szCs w:val="21"/>
              </w:rPr>
            </w:pPr>
            <w:r w:rsidRPr="00A103D3">
              <w:rPr>
                <w:rFonts w:ascii="Times New Roman" w:hAnsi="Times New Roman" w:cs="Times New Roman"/>
                <w:b/>
                <w:sz w:val="21"/>
                <w:szCs w:val="21"/>
              </w:rPr>
              <w:t>净资产：</w:t>
            </w:r>
          </w:p>
        </w:tc>
        <w:tc>
          <w:tcPr>
            <w:tcW w:w="3827" w:type="dxa"/>
          </w:tcPr>
          <w:p w:rsidR="007174FD" w:rsidRPr="00A103D3" w:rsidRDefault="007174FD" w:rsidP="00873B3C">
            <w:pPr>
              <w:jc w:val="right"/>
              <w:rPr>
                <w:rFonts w:eastAsiaTheme="minorEastAsia"/>
                <w:color w:val="000000"/>
                <w:kern w:val="0"/>
                <w:szCs w:val="21"/>
              </w:rPr>
            </w:pPr>
            <w:r w:rsidRPr="00A103D3">
              <w:rPr>
                <w:rFonts w:eastAsiaTheme="minorEastAsia"/>
                <w:color w:val="000000"/>
                <w:kern w:val="0"/>
                <w:szCs w:val="21"/>
              </w:rPr>
              <w:t>-</w:t>
            </w:r>
          </w:p>
        </w:tc>
      </w:tr>
      <w:tr w:rsidR="007174FD" w:rsidRPr="00A103D3" w:rsidTr="00873B3C">
        <w:tc>
          <w:tcPr>
            <w:tcW w:w="5245" w:type="dxa"/>
            <w:vAlign w:val="center"/>
          </w:tcPr>
          <w:p w:rsidR="007174FD" w:rsidRPr="00A103D3" w:rsidRDefault="007174FD" w:rsidP="00873B3C">
            <w:pPr>
              <w:pStyle w:val="ab"/>
              <w:rPr>
                <w:rFonts w:ascii="Times New Roman" w:hAnsi="Times New Roman" w:cs="Times New Roman"/>
                <w:b/>
                <w:sz w:val="21"/>
                <w:szCs w:val="21"/>
              </w:rPr>
            </w:pPr>
            <w:r w:rsidRPr="00A103D3">
              <w:rPr>
                <w:rFonts w:ascii="Times New Roman" w:hAnsi="Times New Roman" w:cs="Times New Roman"/>
                <w:sz w:val="21"/>
                <w:szCs w:val="21"/>
              </w:rPr>
              <w:t>实收基金</w:t>
            </w:r>
          </w:p>
        </w:tc>
        <w:tc>
          <w:tcPr>
            <w:tcW w:w="3827" w:type="dxa"/>
          </w:tcPr>
          <w:p w:rsidR="007174FD" w:rsidRPr="00A103D3" w:rsidRDefault="007174FD" w:rsidP="00873B3C">
            <w:pPr>
              <w:jc w:val="right"/>
              <w:rPr>
                <w:rFonts w:eastAsiaTheme="minorEastAsia"/>
                <w:color w:val="000000"/>
                <w:kern w:val="0"/>
                <w:szCs w:val="21"/>
              </w:rPr>
            </w:pPr>
            <w:r w:rsidRPr="00A103D3">
              <w:rPr>
                <w:rFonts w:eastAsiaTheme="minorEastAsia"/>
                <w:color w:val="000000"/>
                <w:kern w:val="0"/>
                <w:szCs w:val="21"/>
              </w:rPr>
              <w:t>778,170.84</w:t>
            </w:r>
          </w:p>
        </w:tc>
      </w:tr>
      <w:tr w:rsidR="007174FD" w:rsidRPr="00A103D3" w:rsidTr="00873B3C">
        <w:tc>
          <w:tcPr>
            <w:tcW w:w="5245" w:type="dxa"/>
            <w:vAlign w:val="center"/>
          </w:tcPr>
          <w:p w:rsidR="007174FD" w:rsidRPr="00A103D3" w:rsidRDefault="007174FD" w:rsidP="00873B3C">
            <w:pPr>
              <w:pStyle w:val="ab"/>
              <w:rPr>
                <w:rFonts w:ascii="Times New Roman" w:hAnsi="Times New Roman" w:cs="Times New Roman"/>
                <w:sz w:val="21"/>
                <w:szCs w:val="21"/>
              </w:rPr>
            </w:pPr>
            <w:r w:rsidRPr="00A103D3">
              <w:rPr>
                <w:rFonts w:ascii="Times New Roman" w:hAnsi="Times New Roman" w:cs="Times New Roman"/>
                <w:sz w:val="21"/>
                <w:szCs w:val="21"/>
              </w:rPr>
              <w:t>未分配利润</w:t>
            </w:r>
          </w:p>
        </w:tc>
        <w:tc>
          <w:tcPr>
            <w:tcW w:w="3827" w:type="dxa"/>
          </w:tcPr>
          <w:p w:rsidR="007174FD" w:rsidRPr="00A103D3" w:rsidRDefault="007174FD" w:rsidP="00873B3C">
            <w:pPr>
              <w:jc w:val="right"/>
              <w:rPr>
                <w:rFonts w:eastAsiaTheme="minorEastAsia"/>
                <w:color w:val="000000"/>
                <w:kern w:val="0"/>
                <w:szCs w:val="21"/>
              </w:rPr>
            </w:pPr>
            <w:r w:rsidRPr="00A103D3">
              <w:rPr>
                <w:rFonts w:eastAsiaTheme="minorEastAsia"/>
                <w:color w:val="000000"/>
                <w:kern w:val="0"/>
                <w:szCs w:val="21"/>
              </w:rPr>
              <w:t>227,000.48</w:t>
            </w:r>
          </w:p>
        </w:tc>
      </w:tr>
      <w:tr w:rsidR="007174FD" w:rsidRPr="00A103D3" w:rsidTr="00873B3C">
        <w:tc>
          <w:tcPr>
            <w:tcW w:w="5245" w:type="dxa"/>
            <w:vAlign w:val="center"/>
          </w:tcPr>
          <w:p w:rsidR="007174FD" w:rsidRPr="00A103D3" w:rsidRDefault="007174FD" w:rsidP="00873B3C">
            <w:pPr>
              <w:pStyle w:val="ab"/>
              <w:rPr>
                <w:rFonts w:ascii="Times New Roman" w:hAnsi="Times New Roman" w:cs="Times New Roman"/>
                <w:sz w:val="21"/>
                <w:szCs w:val="21"/>
              </w:rPr>
            </w:pPr>
            <w:r w:rsidRPr="00A103D3">
              <w:rPr>
                <w:rFonts w:ascii="Times New Roman" w:hAnsi="Times New Roman" w:cs="Times New Roman"/>
                <w:sz w:val="21"/>
                <w:szCs w:val="21"/>
              </w:rPr>
              <w:t>净资产合计</w:t>
            </w:r>
          </w:p>
        </w:tc>
        <w:tc>
          <w:tcPr>
            <w:tcW w:w="3827" w:type="dxa"/>
          </w:tcPr>
          <w:p w:rsidR="007174FD" w:rsidRPr="00A103D3" w:rsidRDefault="007174FD" w:rsidP="00873B3C">
            <w:pPr>
              <w:jc w:val="right"/>
              <w:rPr>
                <w:rFonts w:eastAsiaTheme="minorEastAsia"/>
                <w:color w:val="000000"/>
                <w:kern w:val="0"/>
                <w:szCs w:val="21"/>
              </w:rPr>
            </w:pPr>
            <w:r w:rsidRPr="00A103D3">
              <w:rPr>
                <w:rFonts w:eastAsiaTheme="minorEastAsia"/>
                <w:color w:val="000000"/>
                <w:kern w:val="0"/>
                <w:szCs w:val="21"/>
              </w:rPr>
              <w:t>1,005,171.32</w:t>
            </w:r>
          </w:p>
        </w:tc>
      </w:tr>
      <w:tr w:rsidR="007174FD" w:rsidRPr="00A103D3" w:rsidTr="00873B3C">
        <w:tc>
          <w:tcPr>
            <w:tcW w:w="5245" w:type="dxa"/>
            <w:vAlign w:val="center"/>
          </w:tcPr>
          <w:p w:rsidR="007174FD" w:rsidRPr="00A103D3" w:rsidRDefault="007174FD" w:rsidP="00873B3C">
            <w:pPr>
              <w:pStyle w:val="ab"/>
              <w:rPr>
                <w:rFonts w:ascii="Times New Roman" w:hAnsi="Times New Roman" w:cs="Times New Roman"/>
                <w:sz w:val="21"/>
                <w:szCs w:val="21"/>
              </w:rPr>
            </w:pPr>
            <w:r w:rsidRPr="00A103D3">
              <w:rPr>
                <w:rFonts w:ascii="Times New Roman" w:hAnsi="Times New Roman" w:cs="Times New Roman"/>
                <w:sz w:val="21"/>
                <w:szCs w:val="21"/>
              </w:rPr>
              <w:t>负债和净资产总计</w:t>
            </w:r>
          </w:p>
        </w:tc>
        <w:tc>
          <w:tcPr>
            <w:tcW w:w="3827" w:type="dxa"/>
          </w:tcPr>
          <w:p w:rsidR="007174FD" w:rsidRPr="00A103D3" w:rsidRDefault="007174FD" w:rsidP="00873B3C">
            <w:pPr>
              <w:widowControl/>
              <w:jc w:val="right"/>
              <w:rPr>
                <w:rFonts w:eastAsiaTheme="minorEastAsia"/>
                <w:color w:val="000000"/>
                <w:kern w:val="0"/>
                <w:szCs w:val="21"/>
              </w:rPr>
            </w:pPr>
            <w:r w:rsidRPr="00A103D3">
              <w:rPr>
                <w:rFonts w:eastAsiaTheme="minorEastAsia"/>
                <w:color w:val="000000"/>
                <w:kern w:val="0"/>
                <w:szCs w:val="21"/>
              </w:rPr>
              <w:t>1,039,691.36</w:t>
            </w:r>
          </w:p>
        </w:tc>
      </w:tr>
    </w:tbl>
    <w:p w:rsidR="003B7C20" w:rsidRPr="00A103D3" w:rsidRDefault="007A3BB8" w:rsidP="00A5019E">
      <w:pPr>
        <w:overflowPunct w:val="0"/>
        <w:spacing w:line="360" w:lineRule="auto"/>
        <w:ind w:firstLineChars="200" w:firstLine="420"/>
        <w:rPr>
          <w:rFonts w:eastAsiaTheme="majorEastAsia"/>
          <w:szCs w:val="21"/>
        </w:rPr>
      </w:pPr>
      <w:r w:rsidRPr="00A103D3">
        <w:rPr>
          <w:rFonts w:eastAsiaTheme="majorEastAsia"/>
          <w:szCs w:val="21"/>
        </w:rPr>
        <w:t>注：</w:t>
      </w:r>
      <w:r w:rsidR="004A27AB" w:rsidRPr="00A103D3">
        <w:rPr>
          <w:rFonts w:eastAsiaTheme="majorEastAsia"/>
          <w:szCs w:val="21"/>
        </w:rPr>
        <w:fldChar w:fldCharType="begin"/>
      </w:r>
      <w:r w:rsidRPr="00A103D3">
        <w:rPr>
          <w:rFonts w:eastAsiaTheme="majorEastAsia"/>
          <w:szCs w:val="21"/>
        </w:rPr>
        <w:instrText xml:space="preserve"> = 1 \* GB3 </w:instrText>
      </w:r>
      <w:r w:rsidR="004A27AB" w:rsidRPr="00A103D3">
        <w:rPr>
          <w:rFonts w:eastAsiaTheme="majorEastAsia"/>
          <w:szCs w:val="21"/>
        </w:rPr>
        <w:fldChar w:fldCharType="separate"/>
      </w:r>
      <w:r w:rsidRPr="00A103D3">
        <w:rPr>
          <w:rFonts w:ascii="宋体" w:hAnsi="宋体" w:cs="宋体" w:hint="eastAsia"/>
          <w:szCs w:val="21"/>
        </w:rPr>
        <w:t>①</w:t>
      </w:r>
      <w:r w:rsidR="004A27AB" w:rsidRPr="00A103D3">
        <w:rPr>
          <w:rFonts w:eastAsiaTheme="majorEastAsia"/>
          <w:szCs w:val="21"/>
        </w:rPr>
        <w:fldChar w:fldCharType="end"/>
      </w:r>
      <w:r w:rsidR="0055663A" w:rsidRPr="00A103D3">
        <w:rPr>
          <w:rFonts w:eastAsiaTheme="majorEastAsia"/>
          <w:szCs w:val="21"/>
        </w:rPr>
        <w:t>报告截止日</w:t>
      </w:r>
      <w:r w:rsidR="00A95AAB" w:rsidRPr="00A103D3">
        <w:rPr>
          <w:rFonts w:eastAsiaTheme="minorEastAsia"/>
          <w:szCs w:val="21"/>
        </w:rPr>
        <w:t>2024</w:t>
      </w:r>
      <w:r w:rsidR="00A95AAB" w:rsidRPr="00A103D3">
        <w:rPr>
          <w:rFonts w:eastAsiaTheme="minorEastAsia"/>
          <w:szCs w:val="21"/>
        </w:rPr>
        <w:t>年</w:t>
      </w:r>
      <w:r w:rsidR="00A95AAB" w:rsidRPr="00A103D3">
        <w:rPr>
          <w:rFonts w:eastAsiaTheme="minorEastAsia"/>
          <w:szCs w:val="21"/>
        </w:rPr>
        <w:t>12</w:t>
      </w:r>
      <w:r w:rsidR="00A95AAB" w:rsidRPr="00A103D3">
        <w:rPr>
          <w:rFonts w:eastAsiaTheme="minorEastAsia"/>
          <w:szCs w:val="21"/>
        </w:rPr>
        <w:t>月</w:t>
      </w:r>
      <w:r w:rsidR="00A95AAB" w:rsidRPr="00A103D3">
        <w:rPr>
          <w:rFonts w:eastAsiaTheme="minorEastAsia"/>
          <w:szCs w:val="21"/>
        </w:rPr>
        <w:t>5</w:t>
      </w:r>
      <w:r w:rsidR="00960A26" w:rsidRPr="00A103D3">
        <w:rPr>
          <w:rFonts w:eastAsiaTheme="minorEastAsia"/>
          <w:szCs w:val="21"/>
        </w:rPr>
        <w:t>日</w:t>
      </w:r>
      <w:r w:rsidR="0055663A" w:rsidRPr="00A103D3">
        <w:rPr>
          <w:rFonts w:eastAsiaTheme="majorEastAsia"/>
          <w:szCs w:val="21"/>
        </w:rPr>
        <w:t>（本基金最后运作日），本基金</w:t>
      </w:r>
      <w:r w:rsidR="0055663A" w:rsidRPr="00A103D3">
        <w:rPr>
          <w:rFonts w:eastAsiaTheme="majorEastAsia"/>
          <w:szCs w:val="21"/>
        </w:rPr>
        <w:t>A</w:t>
      </w:r>
      <w:r w:rsidR="0055663A" w:rsidRPr="00A103D3">
        <w:rPr>
          <w:rFonts w:eastAsiaTheme="majorEastAsia"/>
          <w:szCs w:val="21"/>
        </w:rPr>
        <w:t>类</w:t>
      </w:r>
      <w:r w:rsidR="008422BA" w:rsidRPr="00A103D3">
        <w:rPr>
          <w:rFonts w:eastAsiaTheme="majorEastAsia"/>
          <w:szCs w:val="21"/>
        </w:rPr>
        <w:t>基金</w:t>
      </w:r>
      <w:r w:rsidR="0055663A" w:rsidRPr="00A103D3">
        <w:rPr>
          <w:rFonts w:eastAsiaTheme="majorEastAsia"/>
          <w:szCs w:val="21"/>
        </w:rPr>
        <w:t>份额净值为</w:t>
      </w:r>
      <w:r w:rsidR="00563B53" w:rsidRPr="00A103D3">
        <w:rPr>
          <w:rFonts w:eastAsiaTheme="minorEastAsia"/>
          <w:szCs w:val="21"/>
        </w:rPr>
        <w:t>1.292</w:t>
      </w:r>
      <w:r w:rsidR="0055663A" w:rsidRPr="00A103D3">
        <w:rPr>
          <w:rFonts w:eastAsiaTheme="majorEastAsia"/>
          <w:szCs w:val="21"/>
        </w:rPr>
        <w:t>元，</w:t>
      </w:r>
      <w:r w:rsidR="0055663A" w:rsidRPr="00A103D3">
        <w:rPr>
          <w:rFonts w:eastAsiaTheme="majorEastAsia"/>
          <w:szCs w:val="21"/>
        </w:rPr>
        <w:t>C</w:t>
      </w:r>
      <w:r w:rsidR="0055663A" w:rsidRPr="00A103D3">
        <w:rPr>
          <w:rFonts w:eastAsiaTheme="majorEastAsia"/>
          <w:szCs w:val="21"/>
        </w:rPr>
        <w:t>类</w:t>
      </w:r>
      <w:r w:rsidR="00DA0E1B" w:rsidRPr="00A103D3">
        <w:rPr>
          <w:rFonts w:eastAsiaTheme="majorEastAsia"/>
          <w:szCs w:val="21"/>
        </w:rPr>
        <w:t>基金</w:t>
      </w:r>
      <w:r w:rsidR="0055663A" w:rsidRPr="00A103D3">
        <w:rPr>
          <w:rFonts w:eastAsiaTheme="majorEastAsia"/>
          <w:szCs w:val="21"/>
        </w:rPr>
        <w:t>份额净值为</w:t>
      </w:r>
      <w:r w:rsidR="00563B53" w:rsidRPr="00A103D3">
        <w:rPr>
          <w:rFonts w:eastAsiaTheme="minorEastAsia"/>
          <w:szCs w:val="21"/>
        </w:rPr>
        <w:t>1.283</w:t>
      </w:r>
      <w:r w:rsidR="0055663A" w:rsidRPr="00A103D3">
        <w:rPr>
          <w:rFonts w:eastAsiaTheme="majorEastAsia"/>
          <w:szCs w:val="21"/>
        </w:rPr>
        <w:t>元</w:t>
      </w:r>
      <w:r w:rsidR="004B4517" w:rsidRPr="00A103D3">
        <w:rPr>
          <w:rFonts w:eastAsiaTheme="majorEastAsia"/>
          <w:szCs w:val="21"/>
        </w:rPr>
        <w:t>，</w:t>
      </w:r>
      <w:r w:rsidR="0055663A" w:rsidRPr="00A103D3">
        <w:rPr>
          <w:rFonts w:eastAsiaTheme="majorEastAsia"/>
          <w:szCs w:val="21"/>
        </w:rPr>
        <w:t>本基金</w:t>
      </w:r>
      <w:r w:rsidR="00065192" w:rsidRPr="00A103D3">
        <w:rPr>
          <w:rFonts w:eastAsiaTheme="majorEastAsia"/>
          <w:szCs w:val="21"/>
        </w:rPr>
        <w:t>基金</w:t>
      </w:r>
      <w:r w:rsidR="0055663A" w:rsidRPr="00A103D3">
        <w:rPr>
          <w:rFonts w:eastAsiaTheme="majorEastAsia"/>
          <w:szCs w:val="21"/>
        </w:rPr>
        <w:t>份额总额为</w:t>
      </w:r>
      <w:r w:rsidR="00563B53" w:rsidRPr="00A103D3">
        <w:rPr>
          <w:rFonts w:eastAsiaTheme="minorEastAsia"/>
          <w:szCs w:val="21"/>
        </w:rPr>
        <w:t>778,170.84</w:t>
      </w:r>
      <w:r w:rsidR="0055663A" w:rsidRPr="00A103D3">
        <w:rPr>
          <w:rFonts w:eastAsiaTheme="majorEastAsia"/>
          <w:szCs w:val="21"/>
        </w:rPr>
        <w:t>份</w:t>
      </w:r>
      <w:r w:rsidR="00952BA5" w:rsidRPr="00A103D3">
        <w:rPr>
          <w:rFonts w:eastAsiaTheme="majorEastAsia"/>
          <w:szCs w:val="21"/>
        </w:rPr>
        <w:t>（</w:t>
      </w:r>
      <w:r w:rsidR="0055663A" w:rsidRPr="00A103D3">
        <w:rPr>
          <w:rFonts w:eastAsiaTheme="majorEastAsia"/>
          <w:szCs w:val="21"/>
        </w:rPr>
        <w:t>其中</w:t>
      </w:r>
      <w:r w:rsidR="0055663A" w:rsidRPr="00A103D3">
        <w:rPr>
          <w:rFonts w:eastAsiaTheme="majorEastAsia"/>
          <w:szCs w:val="21"/>
        </w:rPr>
        <w:t>A</w:t>
      </w:r>
      <w:r w:rsidR="0055663A" w:rsidRPr="00A103D3">
        <w:rPr>
          <w:rFonts w:eastAsiaTheme="majorEastAsia"/>
          <w:szCs w:val="21"/>
        </w:rPr>
        <w:t>类</w:t>
      </w:r>
      <w:r w:rsidR="00952BA5" w:rsidRPr="00A103D3">
        <w:rPr>
          <w:rFonts w:eastAsiaTheme="majorEastAsia"/>
          <w:szCs w:val="21"/>
        </w:rPr>
        <w:t>基金</w:t>
      </w:r>
      <w:r w:rsidR="0055663A" w:rsidRPr="00A103D3">
        <w:rPr>
          <w:rFonts w:eastAsiaTheme="majorEastAsia"/>
          <w:szCs w:val="21"/>
        </w:rPr>
        <w:t>份额</w:t>
      </w:r>
      <w:r w:rsidR="00563B53" w:rsidRPr="00A103D3">
        <w:rPr>
          <w:rFonts w:eastAsiaTheme="minorEastAsia"/>
          <w:szCs w:val="21"/>
        </w:rPr>
        <w:t>751,871.64</w:t>
      </w:r>
      <w:r w:rsidR="0055663A" w:rsidRPr="00A103D3">
        <w:rPr>
          <w:rFonts w:eastAsiaTheme="majorEastAsia"/>
          <w:szCs w:val="21"/>
        </w:rPr>
        <w:t>份，</w:t>
      </w:r>
      <w:r w:rsidR="0055663A" w:rsidRPr="00A103D3">
        <w:rPr>
          <w:rFonts w:eastAsiaTheme="majorEastAsia"/>
          <w:szCs w:val="21"/>
        </w:rPr>
        <w:t>C</w:t>
      </w:r>
      <w:r w:rsidR="0055663A" w:rsidRPr="00A103D3">
        <w:rPr>
          <w:rFonts w:eastAsiaTheme="majorEastAsia"/>
          <w:szCs w:val="21"/>
        </w:rPr>
        <w:t>类</w:t>
      </w:r>
      <w:r w:rsidR="00952BA5" w:rsidRPr="00A103D3">
        <w:rPr>
          <w:rFonts w:eastAsiaTheme="majorEastAsia"/>
          <w:szCs w:val="21"/>
        </w:rPr>
        <w:t>基金</w:t>
      </w:r>
      <w:r w:rsidR="0055663A" w:rsidRPr="00A103D3">
        <w:rPr>
          <w:rFonts w:eastAsiaTheme="majorEastAsia"/>
          <w:szCs w:val="21"/>
        </w:rPr>
        <w:t>份额</w:t>
      </w:r>
      <w:r w:rsidR="00563B53" w:rsidRPr="00A103D3">
        <w:rPr>
          <w:rFonts w:eastAsiaTheme="minorEastAsia"/>
          <w:szCs w:val="21"/>
        </w:rPr>
        <w:t>26,299.20</w:t>
      </w:r>
      <w:r w:rsidR="0055663A" w:rsidRPr="00A103D3">
        <w:rPr>
          <w:rFonts w:eastAsiaTheme="majorEastAsia"/>
          <w:szCs w:val="21"/>
        </w:rPr>
        <w:t>份</w:t>
      </w:r>
      <w:r w:rsidR="00952BA5" w:rsidRPr="00A103D3">
        <w:rPr>
          <w:rFonts w:eastAsiaTheme="majorEastAsia"/>
          <w:szCs w:val="21"/>
        </w:rPr>
        <w:t>）</w:t>
      </w:r>
      <w:r w:rsidR="0055663A" w:rsidRPr="00A103D3">
        <w:rPr>
          <w:rFonts w:eastAsiaTheme="majorEastAsia"/>
          <w:szCs w:val="21"/>
        </w:rPr>
        <w:t>。</w:t>
      </w:r>
    </w:p>
    <w:p w:rsidR="007B16AA" w:rsidRPr="00A103D3" w:rsidRDefault="004A27AB" w:rsidP="00A5019E">
      <w:pPr>
        <w:overflowPunct w:val="0"/>
        <w:spacing w:line="360" w:lineRule="auto"/>
        <w:ind w:firstLineChars="200" w:firstLine="420"/>
        <w:rPr>
          <w:rFonts w:eastAsiaTheme="majorEastAsia"/>
          <w:szCs w:val="21"/>
        </w:rPr>
      </w:pPr>
      <w:r w:rsidRPr="00A103D3">
        <w:rPr>
          <w:rFonts w:eastAsiaTheme="majorEastAsia"/>
          <w:szCs w:val="21"/>
        </w:rPr>
        <w:fldChar w:fldCharType="begin"/>
      </w:r>
      <w:r w:rsidR="003B7C20" w:rsidRPr="00A103D3">
        <w:rPr>
          <w:rFonts w:eastAsiaTheme="majorEastAsia"/>
          <w:szCs w:val="21"/>
        </w:rPr>
        <w:instrText xml:space="preserve"> = 2 \* GB3 </w:instrText>
      </w:r>
      <w:r w:rsidRPr="00A103D3">
        <w:rPr>
          <w:rFonts w:eastAsiaTheme="majorEastAsia"/>
          <w:szCs w:val="21"/>
        </w:rPr>
        <w:fldChar w:fldCharType="separate"/>
      </w:r>
      <w:r w:rsidR="003B7C20" w:rsidRPr="00A103D3">
        <w:rPr>
          <w:rFonts w:ascii="宋体" w:hAnsi="宋体" w:cs="宋体" w:hint="eastAsia"/>
          <w:noProof/>
          <w:szCs w:val="21"/>
        </w:rPr>
        <w:t>②</w:t>
      </w:r>
      <w:r w:rsidRPr="00A103D3">
        <w:rPr>
          <w:rFonts w:eastAsiaTheme="majorEastAsia"/>
          <w:szCs w:val="21"/>
        </w:rPr>
        <w:fldChar w:fldCharType="end"/>
      </w:r>
      <w:r w:rsidR="0074291A" w:rsidRPr="00A103D3">
        <w:rPr>
          <w:rFonts w:eastAsiaTheme="majorEastAsia"/>
          <w:szCs w:val="21"/>
        </w:rPr>
        <w:t>本基金截至最后运作日的财务报表以清算基础编制。</w:t>
      </w:r>
      <w:r w:rsidR="00960A26" w:rsidRPr="00A103D3">
        <w:rPr>
          <w:rFonts w:eastAsiaTheme="majorEastAsia"/>
          <w:szCs w:val="21"/>
        </w:rPr>
        <w:t>安永华明会计师事务所（特殊普通合伙）</w:t>
      </w:r>
      <w:r w:rsidR="0074291A" w:rsidRPr="00A103D3">
        <w:rPr>
          <w:rFonts w:eastAsiaTheme="majorEastAsia"/>
          <w:szCs w:val="21"/>
        </w:rPr>
        <w:t>已对财务报表进行了审计并出具了无保留意见的审计报告。</w:t>
      </w:r>
    </w:p>
    <w:p w:rsidR="004D3F36" w:rsidRPr="00A103D3" w:rsidRDefault="00E15AB0" w:rsidP="00A5019E">
      <w:pPr>
        <w:pStyle w:val="1"/>
        <w:overflowPunct w:val="0"/>
        <w:spacing w:before="100" w:after="100" w:line="360" w:lineRule="auto"/>
        <w:jc w:val="center"/>
        <w:rPr>
          <w:rStyle w:val="2CharCharChar"/>
          <w:rFonts w:ascii="Times New Roman" w:eastAsiaTheme="majorEastAsia" w:hAnsi="Times New Roman"/>
          <w:szCs w:val="24"/>
        </w:rPr>
      </w:pPr>
      <w:bookmarkStart w:id="7" w:name="_Toc447194471"/>
      <w:r w:rsidRPr="00A103D3">
        <w:rPr>
          <w:rStyle w:val="2CharCharChar"/>
          <w:rFonts w:ascii="Times New Roman" w:eastAsiaTheme="majorEastAsia" w:hAnsi="Times New Roman"/>
          <w:b/>
          <w:bCs w:val="0"/>
          <w:szCs w:val="24"/>
        </w:rPr>
        <w:t>四</w:t>
      </w:r>
      <w:r w:rsidR="002E2E3D" w:rsidRPr="00A103D3">
        <w:rPr>
          <w:rStyle w:val="2CharCharChar"/>
          <w:rFonts w:ascii="Times New Roman" w:eastAsiaTheme="majorEastAsia" w:hAnsi="Times New Roman"/>
          <w:b/>
          <w:bCs w:val="0"/>
          <w:szCs w:val="24"/>
        </w:rPr>
        <w:t>、清算情况</w:t>
      </w:r>
      <w:bookmarkEnd w:id="7"/>
    </w:p>
    <w:p w:rsidR="001D4120" w:rsidRPr="00A103D3" w:rsidRDefault="002E2E3D" w:rsidP="001D4120">
      <w:pPr>
        <w:pStyle w:val="Default"/>
        <w:spacing w:line="360" w:lineRule="auto"/>
        <w:ind w:firstLineChars="200" w:firstLine="480"/>
        <w:rPr>
          <w:rFonts w:ascii="Times New Roman" w:cs="Times New Roman"/>
          <w:color w:val="auto"/>
        </w:rPr>
      </w:pPr>
      <w:r w:rsidRPr="00A103D3">
        <w:rPr>
          <w:rFonts w:ascii="Times New Roman" w:eastAsiaTheme="majorEastAsia" w:cs="Times New Roman"/>
          <w:color w:val="auto"/>
        </w:rPr>
        <w:t>自</w:t>
      </w:r>
      <w:r w:rsidR="00A95AAB" w:rsidRPr="00A103D3">
        <w:rPr>
          <w:rFonts w:ascii="Times New Roman" w:eastAsiaTheme="majorEastAsia" w:cs="Times New Roman"/>
          <w:color w:val="auto"/>
        </w:rPr>
        <w:t>2024</w:t>
      </w:r>
      <w:r w:rsidR="00A95AAB" w:rsidRPr="00A103D3">
        <w:rPr>
          <w:rFonts w:ascii="Times New Roman" w:eastAsiaTheme="majorEastAsia" w:cs="Times New Roman"/>
          <w:color w:val="auto"/>
        </w:rPr>
        <w:t>年</w:t>
      </w:r>
      <w:r w:rsidR="00A95AAB" w:rsidRPr="00A103D3">
        <w:rPr>
          <w:rFonts w:ascii="Times New Roman" w:eastAsiaTheme="majorEastAsia" w:cs="Times New Roman"/>
          <w:color w:val="auto"/>
        </w:rPr>
        <w:t>12</w:t>
      </w:r>
      <w:r w:rsidR="00A95AAB" w:rsidRPr="00A103D3">
        <w:rPr>
          <w:rFonts w:ascii="Times New Roman" w:eastAsiaTheme="majorEastAsia" w:cs="Times New Roman"/>
          <w:color w:val="auto"/>
        </w:rPr>
        <w:t>月</w:t>
      </w:r>
      <w:r w:rsidR="00A95AAB" w:rsidRPr="00A103D3">
        <w:rPr>
          <w:rFonts w:ascii="Times New Roman" w:eastAsiaTheme="majorEastAsia" w:cs="Times New Roman"/>
          <w:color w:val="auto"/>
        </w:rPr>
        <w:t>6</w:t>
      </w:r>
      <w:r w:rsidR="007A3BB8" w:rsidRPr="00A103D3">
        <w:rPr>
          <w:rFonts w:ascii="Times New Roman" w:eastAsiaTheme="majorEastAsia" w:cs="Times New Roman"/>
          <w:color w:val="auto"/>
        </w:rPr>
        <w:t>日</w:t>
      </w:r>
      <w:r w:rsidR="002D78EC" w:rsidRPr="00A103D3">
        <w:rPr>
          <w:rFonts w:ascii="Times New Roman" w:eastAsiaTheme="majorEastAsia" w:cs="Times New Roman"/>
          <w:color w:val="auto"/>
        </w:rPr>
        <w:t>起</w:t>
      </w:r>
      <w:r w:rsidR="007A3BB8" w:rsidRPr="00A103D3">
        <w:rPr>
          <w:rFonts w:ascii="Times New Roman" w:eastAsiaTheme="majorEastAsia" w:cs="Times New Roman"/>
          <w:color w:val="auto"/>
        </w:rPr>
        <w:t>至</w:t>
      </w:r>
      <w:r w:rsidR="00A95AAB" w:rsidRPr="00A103D3">
        <w:rPr>
          <w:rFonts w:ascii="Times New Roman" w:eastAsiaTheme="majorEastAsia" w:cs="Times New Roman"/>
          <w:color w:val="auto"/>
        </w:rPr>
        <w:t>2025</w:t>
      </w:r>
      <w:r w:rsidR="008C711E" w:rsidRPr="00A103D3">
        <w:rPr>
          <w:rFonts w:ascii="Times New Roman" w:eastAsiaTheme="majorEastAsia" w:cs="Times New Roman"/>
          <w:color w:val="auto"/>
        </w:rPr>
        <w:t>年</w:t>
      </w:r>
      <w:r w:rsidR="00A95AAB" w:rsidRPr="00A103D3">
        <w:rPr>
          <w:rFonts w:ascii="Times New Roman" w:eastAsiaTheme="majorEastAsia" w:cs="Times New Roman"/>
          <w:color w:val="auto"/>
        </w:rPr>
        <w:t>1</w:t>
      </w:r>
      <w:r w:rsidR="007A3BB8" w:rsidRPr="00A103D3">
        <w:rPr>
          <w:rFonts w:ascii="Times New Roman" w:eastAsiaTheme="majorEastAsia" w:cs="Times New Roman"/>
          <w:color w:val="auto"/>
        </w:rPr>
        <w:t>月</w:t>
      </w:r>
      <w:r w:rsidR="00A95AAB" w:rsidRPr="00A103D3">
        <w:rPr>
          <w:rFonts w:ascii="Times New Roman" w:eastAsiaTheme="majorEastAsia" w:cs="Times New Roman"/>
          <w:color w:val="auto"/>
        </w:rPr>
        <w:t>7</w:t>
      </w:r>
      <w:r w:rsidR="007A3BB8" w:rsidRPr="00A103D3">
        <w:rPr>
          <w:rFonts w:ascii="Times New Roman" w:eastAsiaTheme="majorEastAsia" w:cs="Times New Roman"/>
          <w:color w:val="auto"/>
        </w:rPr>
        <w:t>日</w:t>
      </w:r>
      <w:r w:rsidRPr="00A103D3">
        <w:rPr>
          <w:rFonts w:ascii="Times New Roman" w:eastAsiaTheme="majorEastAsia" w:cs="Times New Roman"/>
          <w:color w:val="auto"/>
        </w:rPr>
        <w:t>止</w:t>
      </w:r>
      <w:r w:rsidR="00903847" w:rsidRPr="00A103D3">
        <w:rPr>
          <w:rFonts w:ascii="Times New Roman" w:eastAsiaTheme="majorEastAsia" w:cs="Times New Roman"/>
          <w:color w:val="auto"/>
        </w:rPr>
        <w:t>为</w:t>
      </w:r>
      <w:r w:rsidR="009879B9" w:rsidRPr="00A103D3">
        <w:rPr>
          <w:rFonts w:ascii="Times New Roman" w:eastAsiaTheme="majorEastAsia" w:cs="Times New Roman"/>
          <w:color w:val="auto"/>
        </w:rPr>
        <w:t>本基金</w:t>
      </w:r>
      <w:r w:rsidRPr="00A103D3">
        <w:rPr>
          <w:rFonts w:ascii="Times New Roman" w:eastAsiaTheme="majorEastAsia" w:cs="Times New Roman"/>
          <w:color w:val="auto"/>
        </w:rPr>
        <w:t>清算</w:t>
      </w:r>
      <w:r w:rsidR="003A2917" w:rsidRPr="00A103D3">
        <w:rPr>
          <w:rFonts w:ascii="Times New Roman" w:eastAsiaTheme="majorEastAsia" w:cs="Times New Roman"/>
          <w:color w:val="auto"/>
        </w:rPr>
        <w:t>报告期</w:t>
      </w:r>
      <w:r w:rsidRPr="00A103D3">
        <w:rPr>
          <w:rFonts w:ascii="Times New Roman" w:eastAsiaTheme="majorEastAsia" w:cs="Times New Roman"/>
          <w:color w:val="auto"/>
        </w:rPr>
        <w:t>，</w:t>
      </w:r>
      <w:r w:rsidR="001D4120" w:rsidRPr="00A103D3">
        <w:rPr>
          <w:rFonts w:ascii="Times New Roman" w:cs="Times New Roman"/>
          <w:color w:val="auto"/>
        </w:rPr>
        <w:t>基金财产清算组按照法律法规及本基金基金合同的规定履行基金财产清算程序，全部工作按清算原则和清算手续进行。具体清算情况如下：</w:t>
      </w:r>
    </w:p>
    <w:p w:rsidR="00296416" w:rsidRPr="00A103D3" w:rsidRDefault="00296416" w:rsidP="00A5019E">
      <w:pPr>
        <w:pStyle w:val="Default"/>
        <w:overflowPunct w:val="0"/>
        <w:spacing w:line="360" w:lineRule="auto"/>
        <w:ind w:firstLineChars="200" w:firstLine="480"/>
        <w:rPr>
          <w:rFonts w:ascii="Times New Roman" w:eastAsiaTheme="majorEastAsia" w:cs="Times New Roman"/>
          <w:color w:val="auto"/>
        </w:rPr>
      </w:pPr>
      <w:r w:rsidRPr="00A103D3">
        <w:rPr>
          <w:rFonts w:ascii="Times New Roman" w:eastAsiaTheme="majorEastAsia" w:cs="Times New Roman"/>
          <w:color w:val="auto"/>
        </w:rPr>
        <w:t>（一）清算费用</w:t>
      </w:r>
    </w:p>
    <w:p w:rsidR="00B558C0" w:rsidRPr="00A103D3" w:rsidRDefault="00B558C0" w:rsidP="00B558C0">
      <w:pPr>
        <w:spacing w:line="360" w:lineRule="auto"/>
        <w:ind w:firstLineChars="200" w:firstLine="480"/>
        <w:rPr>
          <w:color w:val="000000" w:themeColor="text1"/>
          <w:kern w:val="0"/>
          <w:sz w:val="24"/>
          <w:szCs w:val="21"/>
        </w:rPr>
      </w:pPr>
      <w:r w:rsidRPr="00A103D3">
        <w:rPr>
          <w:color w:val="000000" w:themeColor="text1"/>
          <w:kern w:val="0"/>
          <w:sz w:val="24"/>
          <w:szCs w:val="21"/>
        </w:rPr>
        <w:t>清算费用是指基金财产清算小组在进行基金清算过程中发生的所有合理费用，清算费用由基金财产清算小组优先从基金财产中支付。考虑到本基金清算的实际情况，从保护基金份额持有人利益的角度出发，本基金的清算费用将由基金管理人承担。</w:t>
      </w:r>
    </w:p>
    <w:p w:rsidR="006F5742" w:rsidRPr="00A103D3" w:rsidRDefault="006F5742" w:rsidP="00A5019E">
      <w:pPr>
        <w:pStyle w:val="Default"/>
        <w:overflowPunct w:val="0"/>
        <w:spacing w:line="360" w:lineRule="auto"/>
        <w:ind w:firstLineChars="200" w:firstLine="480"/>
        <w:rPr>
          <w:rFonts w:ascii="Times New Roman" w:eastAsiaTheme="majorEastAsia" w:cs="Times New Roman"/>
          <w:color w:val="auto"/>
        </w:rPr>
      </w:pPr>
      <w:r w:rsidRPr="00A103D3">
        <w:rPr>
          <w:rFonts w:ascii="Times New Roman" w:eastAsiaTheme="majorEastAsia" w:cs="Times New Roman"/>
          <w:color w:val="auto"/>
        </w:rPr>
        <w:t>（</w:t>
      </w:r>
      <w:r w:rsidR="00296416" w:rsidRPr="00A103D3">
        <w:rPr>
          <w:rFonts w:ascii="Times New Roman" w:eastAsiaTheme="majorEastAsia" w:cs="Times New Roman"/>
          <w:color w:val="auto"/>
        </w:rPr>
        <w:t>二</w:t>
      </w:r>
      <w:r w:rsidRPr="00A103D3">
        <w:rPr>
          <w:rFonts w:ascii="Times New Roman" w:eastAsiaTheme="majorEastAsia" w:cs="Times New Roman"/>
          <w:color w:val="auto"/>
        </w:rPr>
        <w:t>）</w:t>
      </w:r>
      <w:r w:rsidR="00987AAD" w:rsidRPr="00A103D3">
        <w:rPr>
          <w:rFonts w:ascii="Times New Roman" w:eastAsiaTheme="majorEastAsia" w:cs="Times New Roman"/>
          <w:color w:val="auto"/>
        </w:rPr>
        <w:t>最后运作日</w:t>
      </w:r>
      <w:r w:rsidRPr="00A103D3">
        <w:rPr>
          <w:rFonts w:ascii="Times New Roman" w:eastAsiaTheme="majorEastAsia" w:cs="Times New Roman"/>
          <w:color w:val="auto"/>
        </w:rPr>
        <w:t>资产</w:t>
      </w:r>
      <w:r w:rsidR="00C2288D" w:rsidRPr="00A103D3">
        <w:rPr>
          <w:rFonts w:ascii="Times New Roman" w:eastAsiaTheme="majorEastAsia" w:cs="Times New Roman"/>
          <w:color w:val="auto"/>
        </w:rPr>
        <w:t>清算</w:t>
      </w:r>
      <w:r w:rsidRPr="00A103D3">
        <w:rPr>
          <w:rFonts w:ascii="Times New Roman" w:eastAsiaTheme="majorEastAsia" w:cs="Times New Roman"/>
          <w:color w:val="auto"/>
        </w:rPr>
        <w:t>情况</w:t>
      </w:r>
    </w:p>
    <w:p w:rsidR="00B558C0" w:rsidRPr="00A103D3" w:rsidRDefault="008D2BE5" w:rsidP="00B558C0">
      <w:pPr>
        <w:pStyle w:val="Default"/>
        <w:spacing w:line="360" w:lineRule="auto"/>
        <w:ind w:firstLineChars="200" w:firstLine="480"/>
        <w:rPr>
          <w:rFonts w:ascii="Times New Roman" w:cs="Times New Roman"/>
        </w:rPr>
      </w:pPr>
      <w:r w:rsidRPr="00A103D3">
        <w:rPr>
          <w:rFonts w:ascii="Times New Roman" w:eastAsiaTheme="majorEastAsia" w:cs="Times New Roman"/>
          <w:color w:val="auto"/>
        </w:rPr>
        <w:t>截至清算报告期结束日（</w:t>
      </w:r>
      <w:r w:rsidR="00A95AAB" w:rsidRPr="00A103D3">
        <w:rPr>
          <w:rFonts w:ascii="Times New Roman" w:eastAsiaTheme="majorEastAsia" w:cs="Times New Roman"/>
          <w:color w:val="auto"/>
        </w:rPr>
        <w:t>2025</w:t>
      </w:r>
      <w:r w:rsidR="00A95AAB" w:rsidRPr="00A103D3">
        <w:rPr>
          <w:rFonts w:ascii="Times New Roman" w:eastAsiaTheme="majorEastAsia" w:cs="Times New Roman"/>
          <w:color w:val="auto"/>
        </w:rPr>
        <w:t>年</w:t>
      </w:r>
      <w:r w:rsidR="00A95AAB" w:rsidRPr="00A103D3">
        <w:rPr>
          <w:rFonts w:ascii="Times New Roman" w:eastAsiaTheme="majorEastAsia" w:cs="Times New Roman"/>
          <w:color w:val="auto"/>
        </w:rPr>
        <w:t>1</w:t>
      </w:r>
      <w:r w:rsidR="00A95AAB" w:rsidRPr="00A103D3">
        <w:rPr>
          <w:rFonts w:ascii="Times New Roman" w:eastAsiaTheme="majorEastAsia" w:cs="Times New Roman"/>
          <w:color w:val="auto"/>
        </w:rPr>
        <w:t>月</w:t>
      </w:r>
      <w:r w:rsidR="00A95AAB" w:rsidRPr="00A103D3">
        <w:rPr>
          <w:rFonts w:ascii="Times New Roman" w:eastAsiaTheme="majorEastAsia" w:cs="Times New Roman"/>
          <w:color w:val="auto"/>
        </w:rPr>
        <w:t>7</w:t>
      </w:r>
      <w:r w:rsidR="00A95AAB" w:rsidRPr="00A103D3">
        <w:rPr>
          <w:rFonts w:ascii="Times New Roman" w:eastAsiaTheme="majorEastAsia" w:cs="Times New Roman"/>
          <w:color w:val="auto"/>
        </w:rPr>
        <w:t>日</w:t>
      </w:r>
      <w:r w:rsidRPr="00A103D3">
        <w:rPr>
          <w:rFonts w:ascii="Times New Roman" w:eastAsiaTheme="majorEastAsia" w:cs="Times New Roman"/>
          <w:color w:val="auto"/>
        </w:rPr>
        <w:t>），本基金最后运作日部分资产尚未收回。</w:t>
      </w:r>
      <w:r w:rsidR="00B558C0" w:rsidRPr="00A103D3">
        <w:rPr>
          <w:rFonts w:ascii="Times New Roman" w:cs="Times New Roman"/>
        </w:rPr>
        <w:t>为了提高清算效率，及时向基金份额持有人分配剩余财产，本基金管理人以自有资金对尚未收回的结算备付金及应计利息、存出保证金及应计利息、银行存款应计利息进行垫付，该垫付资金将于收回款项、结息后返还给基金管理人。各项资产清算情况如下：</w:t>
      </w:r>
    </w:p>
    <w:p w:rsidR="00474CA9" w:rsidRPr="00A103D3" w:rsidRDefault="001478C5" w:rsidP="00681391">
      <w:pPr>
        <w:pStyle w:val="Default"/>
        <w:spacing w:line="360" w:lineRule="auto"/>
        <w:ind w:firstLineChars="200" w:firstLine="480"/>
        <w:rPr>
          <w:rFonts w:ascii="Times New Roman" w:eastAsiaTheme="majorEastAsia" w:cs="Times New Roman"/>
          <w:color w:val="auto"/>
        </w:rPr>
      </w:pPr>
      <w:r w:rsidRPr="00A103D3">
        <w:rPr>
          <w:rFonts w:ascii="Times New Roman" w:eastAsiaTheme="majorEastAsia" w:cs="Times New Roman"/>
          <w:color w:val="auto"/>
        </w:rPr>
        <w:t>1</w:t>
      </w:r>
      <w:r w:rsidRPr="00A103D3">
        <w:rPr>
          <w:rFonts w:ascii="Times New Roman" w:eastAsiaTheme="majorEastAsia" w:cs="Times New Roman"/>
          <w:color w:val="auto"/>
        </w:rPr>
        <w:t>、</w:t>
      </w:r>
      <w:r w:rsidR="00474CA9" w:rsidRPr="00A103D3">
        <w:rPr>
          <w:rFonts w:ascii="Times New Roman" w:eastAsiaTheme="majorEastAsia" w:cs="Times New Roman"/>
          <w:color w:val="auto"/>
        </w:rPr>
        <w:t>本基金最后运作日</w:t>
      </w:r>
      <w:r w:rsidR="00B558C0" w:rsidRPr="00A103D3">
        <w:rPr>
          <w:rFonts w:ascii="Times New Roman" w:cs="Times New Roman"/>
          <w:color w:val="auto"/>
        </w:rPr>
        <w:t>货币资金</w:t>
      </w:r>
      <w:r w:rsidR="00474CA9" w:rsidRPr="00A103D3">
        <w:rPr>
          <w:rFonts w:ascii="Times New Roman" w:eastAsiaTheme="majorEastAsia" w:cs="Times New Roman"/>
          <w:color w:val="auto"/>
        </w:rPr>
        <w:t>为人民币</w:t>
      </w:r>
      <w:r w:rsidR="00A82954" w:rsidRPr="00A103D3">
        <w:rPr>
          <w:rFonts w:ascii="Times New Roman" w:eastAsiaTheme="minorEastAsia" w:cs="Times New Roman"/>
          <w:color w:val="auto"/>
          <w:kern w:val="2"/>
          <w:lang w:bidi="ar-SA"/>
        </w:rPr>
        <w:t>539,881.30</w:t>
      </w:r>
      <w:r w:rsidR="001A40C8" w:rsidRPr="00A103D3">
        <w:rPr>
          <w:rFonts w:ascii="Times New Roman" w:eastAsiaTheme="majorEastAsia" w:cs="Times New Roman"/>
          <w:color w:val="auto"/>
        </w:rPr>
        <w:t>元</w:t>
      </w:r>
      <w:r w:rsidR="00474CA9" w:rsidRPr="00A103D3">
        <w:rPr>
          <w:rFonts w:ascii="Times New Roman" w:eastAsiaTheme="majorEastAsia" w:cs="Times New Roman"/>
          <w:color w:val="auto"/>
        </w:rPr>
        <w:t>，</w:t>
      </w:r>
      <w:r w:rsidR="00C533B9" w:rsidRPr="00A103D3">
        <w:rPr>
          <w:rFonts w:ascii="Times New Roman" w:cs="Times New Roman"/>
          <w:color w:val="auto"/>
        </w:rPr>
        <w:t>其中包含应计活期存款利息</w:t>
      </w:r>
      <w:r w:rsidR="00C533B9" w:rsidRPr="00A103D3">
        <w:rPr>
          <w:rFonts w:ascii="Times New Roman" w:eastAsiaTheme="minorEastAsia" w:cs="Times New Roman"/>
          <w:color w:val="auto"/>
          <w:kern w:val="2"/>
          <w:lang w:bidi="ar-SA"/>
        </w:rPr>
        <w:t>564.05</w:t>
      </w:r>
      <w:r w:rsidR="00C533B9" w:rsidRPr="00A103D3">
        <w:rPr>
          <w:rFonts w:ascii="Times New Roman" w:cs="Times New Roman"/>
          <w:color w:val="auto"/>
        </w:rPr>
        <w:t>元，</w:t>
      </w:r>
      <w:r w:rsidR="001A1396">
        <w:rPr>
          <w:rFonts w:ascii="Times New Roman" w:cs="Times New Roman" w:hint="eastAsia"/>
          <w:color w:val="auto"/>
        </w:rPr>
        <w:t>该利息</w:t>
      </w:r>
      <w:r w:rsidR="00474CA9" w:rsidRPr="00A103D3">
        <w:rPr>
          <w:rFonts w:ascii="Times New Roman" w:cs="Times New Roman"/>
          <w:color w:val="auto"/>
        </w:rPr>
        <w:t>已由基金管理人于</w:t>
      </w:r>
      <w:r w:rsidR="00B558C0" w:rsidRPr="00A103D3">
        <w:rPr>
          <w:rFonts w:ascii="Times New Roman" w:cs="Times New Roman"/>
          <w:color w:val="auto"/>
        </w:rPr>
        <w:t>202</w:t>
      </w:r>
      <w:r w:rsidR="00A82954" w:rsidRPr="00A103D3">
        <w:rPr>
          <w:rFonts w:ascii="Times New Roman" w:cs="Times New Roman"/>
          <w:color w:val="auto"/>
        </w:rPr>
        <w:t>4</w:t>
      </w:r>
      <w:r w:rsidR="00474CA9" w:rsidRPr="00A103D3">
        <w:rPr>
          <w:rFonts w:ascii="Times New Roman" w:cs="Times New Roman"/>
          <w:color w:val="auto"/>
        </w:rPr>
        <w:t>年</w:t>
      </w:r>
      <w:r w:rsidR="00A82954" w:rsidRPr="00A103D3">
        <w:rPr>
          <w:rFonts w:ascii="Times New Roman" w:cs="Times New Roman"/>
          <w:color w:val="auto"/>
        </w:rPr>
        <w:t>12</w:t>
      </w:r>
      <w:r w:rsidR="00474CA9" w:rsidRPr="00A103D3">
        <w:rPr>
          <w:rFonts w:ascii="Times New Roman" w:cs="Times New Roman"/>
          <w:color w:val="auto"/>
        </w:rPr>
        <w:t>月</w:t>
      </w:r>
      <w:r w:rsidR="00A82954" w:rsidRPr="00A103D3">
        <w:rPr>
          <w:rFonts w:ascii="Times New Roman" w:cs="Times New Roman"/>
          <w:color w:val="auto"/>
        </w:rPr>
        <w:t>26</w:t>
      </w:r>
      <w:r w:rsidR="000279DC" w:rsidRPr="00A103D3">
        <w:rPr>
          <w:rFonts w:ascii="Times New Roman" w:cs="Times New Roman"/>
          <w:color w:val="auto"/>
        </w:rPr>
        <w:t>日</w:t>
      </w:r>
      <w:r w:rsidR="00356516" w:rsidRPr="00A103D3">
        <w:rPr>
          <w:rFonts w:ascii="Times New Roman" w:cs="Times New Roman"/>
          <w:color w:val="auto"/>
        </w:rPr>
        <w:t>以</w:t>
      </w:r>
      <w:r w:rsidR="00474CA9" w:rsidRPr="00A103D3">
        <w:rPr>
          <w:rFonts w:ascii="Times New Roman" w:cs="Times New Roman"/>
          <w:color w:val="auto"/>
        </w:rPr>
        <w:t>自有资金</w:t>
      </w:r>
      <w:r w:rsidR="005463DE" w:rsidRPr="00A103D3">
        <w:rPr>
          <w:rFonts w:ascii="Times New Roman" w:cs="Times New Roman"/>
          <w:color w:val="auto"/>
        </w:rPr>
        <w:t>垫付</w:t>
      </w:r>
      <w:r w:rsidR="00474CA9" w:rsidRPr="00A103D3">
        <w:rPr>
          <w:rFonts w:ascii="Times New Roman" w:cs="Times New Roman"/>
          <w:color w:val="auto"/>
        </w:rPr>
        <w:t>至托管账户。</w:t>
      </w:r>
    </w:p>
    <w:p w:rsidR="00B558C0" w:rsidRPr="00A103D3" w:rsidRDefault="00B558C0" w:rsidP="00B558C0">
      <w:pPr>
        <w:pStyle w:val="Default"/>
        <w:spacing w:line="360" w:lineRule="auto"/>
        <w:ind w:firstLineChars="200" w:firstLine="480"/>
        <w:rPr>
          <w:rFonts w:ascii="Times New Roman" w:cs="Times New Roman"/>
          <w:color w:val="auto"/>
        </w:rPr>
      </w:pPr>
      <w:r w:rsidRPr="00A103D3">
        <w:rPr>
          <w:rFonts w:ascii="Times New Roman" w:cs="Times New Roman"/>
          <w:color w:val="auto"/>
        </w:rPr>
        <w:t>2</w:t>
      </w:r>
      <w:r w:rsidRPr="00A103D3">
        <w:rPr>
          <w:rFonts w:ascii="Times New Roman" w:cs="Times New Roman"/>
          <w:color w:val="auto"/>
        </w:rPr>
        <w:t>、本基金最后运作日结算备付金及应计结算备付金利息为人民币</w:t>
      </w:r>
      <w:r w:rsidR="00A82954" w:rsidRPr="00A103D3">
        <w:rPr>
          <w:rFonts w:ascii="Times New Roman" w:eastAsiaTheme="minorEastAsia" w:cs="Times New Roman"/>
          <w:color w:val="auto"/>
          <w:kern w:val="2"/>
          <w:lang w:bidi="ar-SA"/>
        </w:rPr>
        <w:t>140,947.81</w:t>
      </w:r>
      <w:r w:rsidRPr="00A103D3">
        <w:rPr>
          <w:rFonts w:ascii="Times New Roman" w:cs="Times New Roman"/>
          <w:color w:val="auto"/>
        </w:rPr>
        <w:t>元，已由基金管理人于</w:t>
      </w:r>
      <w:r w:rsidR="00204805" w:rsidRPr="00A103D3">
        <w:rPr>
          <w:rFonts w:ascii="Times New Roman" w:cs="Times New Roman"/>
          <w:color w:val="auto"/>
        </w:rPr>
        <w:t>202</w:t>
      </w:r>
      <w:r w:rsidR="00A82954" w:rsidRPr="00A103D3">
        <w:rPr>
          <w:rFonts w:ascii="Times New Roman" w:cs="Times New Roman"/>
          <w:color w:val="auto"/>
        </w:rPr>
        <w:t>4</w:t>
      </w:r>
      <w:r w:rsidR="00204805" w:rsidRPr="00A103D3">
        <w:rPr>
          <w:rFonts w:ascii="Times New Roman" w:cs="Times New Roman"/>
          <w:color w:val="auto"/>
        </w:rPr>
        <w:t>年</w:t>
      </w:r>
      <w:r w:rsidR="00A82954" w:rsidRPr="00A103D3">
        <w:rPr>
          <w:rFonts w:ascii="Times New Roman" w:cs="Times New Roman"/>
          <w:color w:val="auto"/>
        </w:rPr>
        <w:t>12</w:t>
      </w:r>
      <w:r w:rsidR="00204805" w:rsidRPr="00A103D3">
        <w:rPr>
          <w:rFonts w:ascii="Times New Roman" w:cs="Times New Roman"/>
          <w:color w:val="auto"/>
        </w:rPr>
        <w:t>月</w:t>
      </w:r>
      <w:r w:rsidR="00A82954" w:rsidRPr="00A103D3">
        <w:rPr>
          <w:rFonts w:ascii="Times New Roman" w:cs="Times New Roman"/>
          <w:color w:val="auto"/>
        </w:rPr>
        <w:t>26</w:t>
      </w:r>
      <w:r w:rsidR="00204805" w:rsidRPr="00A103D3">
        <w:rPr>
          <w:rFonts w:ascii="Times New Roman" w:cs="Times New Roman"/>
          <w:color w:val="auto"/>
        </w:rPr>
        <w:t>日</w:t>
      </w:r>
      <w:r w:rsidRPr="00A103D3">
        <w:rPr>
          <w:rFonts w:ascii="Times New Roman" w:cs="Times New Roman"/>
          <w:color w:val="auto"/>
        </w:rPr>
        <w:t>以自有资金垫付至托管账户。</w:t>
      </w:r>
    </w:p>
    <w:p w:rsidR="00B558C0" w:rsidRPr="00A103D3" w:rsidRDefault="00B558C0" w:rsidP="00B558C0">
      <w:pPr>
        <w:pStyle w:val="Default"/>
        <w:spacing w:line="360" w:lineRule="auto"/>
        <w:ind w:firstLineChars="200" w:firstLine="480"/>
        <w:rPr>
          <w:rFonts w:ascii="Times New Roman" w:cs="Times New Roman"/>
          <w:color w:val="auto"/>
        </w:rPr>
      </w:pPr>
      <w:r w:rsidRPr="00A103D3">
        <w:rPr>
          <w:rFonts w:ascii="Times New Roman" w:cs="Times New Roman"/>
          <w:color w:val="auto"/>
        </w:rPr>
        <w:t>3</w:t>
      </w:r>
      <w:r w:rsidRPr="00A103D3">
        <w:rPr>
          <w:rFonts w:ascii="Times New Roman" w:cs="Times New Roman"/>
          <w:color w:val="auto"/>
        </w:rPr>
        <w:t>、本基金最后运作日存出保证金及应计存出保证金利息为人民币</w:t>
      </w:r>
      <w:r w:rsidR="00A82954" w:rsidRPr="00A103D3">
        <w:rPr>
          <w:rFonts w:ascii="Times New Roman" w:eastAsiaTheme="minorEastAsia" w:cs="Times New Roman"/>
          <w:color w:val="auto"/>
          <w:kern w:val="2"/>
          <w:lang w:bidi="ar-SA"/>
        </w:rPr>
        <w:t>1,742.98</w:t>
      </w:r>
      <w:r w:rsidRPr="00A103D3">
        <w:rPr>
          <w:rFonts w:ascii="Times New Roman" w:cs="Times New Roman"/>
          <w:color w:val="auto"/>
        </w:rPr>
        <w:t>元，已由基金管理人于</w:t>
      </w:r>
      <w:r w:rsidRPr="00A103D3">
        <w:rPr>
          <w:rFonts w:ascii="Times New Roman" w:cs="Times New Roman"/>
          <w:color w:val="auto"/>
        </w:rPr>
        <w:t>202</w:t>
      </w:r>
      <w:r w:rsidR="00A82954" w:rsidRPr="00A103D3">
        <w:rPr>
          <w:rFonts w:ascii="Times New Roman" w:cs="Times New Roman"/>
          <w:color w:val="auto"/>
        </w:rPr>
        <w:t>4</w:t>
      </w:r>
      <w:r w:rsidRPr="00A103D3">
        <w:rPr>
          <w:rFonts w:ascii="Times New Roman" w:cs="Times New Roman"/>
          <w:color w:val="auto"/>
        </w:rPr>
        <w:t>年</w:t>
      </w:r>
      <w:r w:rsidR="00A82954" w:rsidRPr="00A103D3">
        <w:rPr>
          <w:rFonts w:ascii="Times New Roman" w:cs="Times New Roman"/>
          <w:color w:val="auto"/>
        </w:rPr>
        <w:t>12</w:t>
      </w:r>
      <w:r w:rsidRPr="00A103D3">
        <w:rPr>
          <w:rFonts w:ascii="Times New Roman" w:cs="Times New Roman"/>
          <w:color w:val="auto"/>
        </w:rPr>
        <w:t>月</w:t>
      </w:r>
      <w:r w:rsidR="00A82954" w:rsidRPr="00A103D3">
        <w:rPr>
          <w:rFonts w:ascii="Times New Roman" w:cs="Times New Roman"/>
          <w:color w:val="auto"/>
        </w:rPr>
        <w:t>26</w:t>
      </w:r>
      <w:r w:rsidRPr="00A103D3">
        <w:rPr>
          <w:rFonts w:ascii="Times New Roman" w:cs="Times New Roman"/>
          <w:color w:val="auto"/>
        </w:rPr>
        <w:t>日以自有资金垫付至托管账户。</w:t>
      </w:r>
    </w:p>
    <w:p w:rsidR="00B558C0" w:rsidRPr="00A103D3" w:rsidRDefault="00B558C0" w:rsidP="00B558C0">
      <w:pPr>
        <w:pStyle w:val="Default"/>
        <w:spacing w:line="360" w:lineRule="auto"/>
        <w:ind w:firstLineChars="200" w:firstLine="480"/>
        <w:rPr>
          <w:rFonts w:ascii="Times New Roman" w:cs="Times New Roman"/>
          <w:color w:val="auto"/>
        </w:rPr>
      </w:pPr>
      <w:r w:rsidRPr="00A103D3">
        <w:rPr>
          <w:rFonts w:ascii="Times New Roman" w:cs="Times New Roman"/>
          <w:color w:val="auto"/>
        </w:rPr>
        <w:t>4</w:t>
      </w:r>
      <w:r w:rsidRPr="00A103D3">
        <w:rPr>
          <w:rFonts w:ascii="Times New Roman" w:cs="Times New Roman"/>
          <w:color w:val="auto"/>
        </w:rPr>
        <w:t>、本基金最后运作日股票投资为人民币</w:t>
      </w:r>
      <w:r w:rsidR="003D2BA5" w:rsidRPr="00A103D3">
        <w:rPr>
          <w:rFonts w:ascii="Times New Roman" w:eastAsiaTheme="minorEastAsia" w:cs="Times New Roman"/>
          <w:color w:val="auto"/>
          <w:kern w:val="2"/>
          <w:lang w:bidi="ar-SA"/>
        </w:rPr>
        <w:t>154,979.00</w:t>
      </w:r>
      <w:r w:rsidRPr="00A103D3">
        <w:rPr>
          <w:rFonts w:ascii="Times New Roman" w:cs="Times New Roman"/>
          <w:color w:val="auto"/>
        </w:rPr>
        <w:t>元，已于</w:t>
      </w:r>
      <w:r w:rsidR="003D2BA5" w:rsidRPr="00A103D3">
        <w:rPr>
          <w:rFonts w:ascii="Times New Roman" w:cs="Times New Roman"/>
          <w:color w:val="auto"/>
        </w:rPr>
        <w:t>2024</w:t>
      </w:r>
      <w:r w:rsidR="003D2BA5" w:rsidRPr="00A103D3">
        <w:rPr>
          <w:rFonts w:ascii="Times New Roman" w:cs="Times New Roman"/>
          <w:color w:val="auto"/>
        </w:rPr>
        <w:t>年</w:t>
      </w:r>
      <w:r w:rsidR="003D2BA5" w:rsidRPr="00A103D3">
        <w:rPr>
          <w:rFonts w:ascii="Times New Roman" w:cs="Times New Roman"/>
          <w:color w:val="auto"/>
        </w:rPr>
        <w:t>12</w:t>
      </w:r>
      <w:r w:rsidR="003D2BA5" w:rsidRPr="00A103D3">
        <w:rPr>
          <w:rFonts w:ascii="Times New Roman" w:cs="Times New Roman"/>
          <w:color w:val="auto"/>
        </w:rPr>
        <w:t>月</w:t>
      </w:r>
      <w:r w:rsidR="003D2BA5" w:rsidRPr="00A103D3">
        <w:rPr>
          <w:rFonts w:ascii="Times New Roman" w:cs="Times New Roman"/>
          <w:color w:val="auto"/>
        </w:rPr>
        <w:t>9</w:t>
      </w:r>
      <w:r w:rsidR="003D2BA5" w:rsidRPr="00A103D3">
        <w:rPr>
          <w:rFonts w:ascii="Times New Roman" w:cs="Times New Roman"/>
          <w:color w:val="auto"/>
        </w:rPr>
        <w:t>日</w:t>
      </w:r>
      <w:r w:rsidRPr="00A103D3">
        <w:rPr>
          <w:rFonts w:ascii="Times New Roman" w:cs="Times New Roman"/>
          <w:color w:val="auto"/>
        </w:rPr>
        <w:t>处置变现，处置产生的证券清算款为人民币</w:t>
      </w:r>
      <w:r w:rsidR="005A00B2" w:rsidRPr="00A103D3">
        <w:rPr>
          <w:rFonts w:ascii="Times New Roman" w:eastAsiaTheme="minorEastAsia" w:cs="Times New Roman"/>
          <w:color w:val="auto"/>
          <w:kern w:val="2"/>
          <w:lang w:bidi="ar-SA"/>
        </w:rPr>
        <w:t>156,685.45</w:t>
      </w:r>
      <w:r w:rsidRPr="00A103D3">
        <w:rPr>
          <w:rFonts w:ascii="Times New Roman" w:cs="Times New Roman"/>
          <w:color w:val="auto"/>
        </w:rPr>
        <w:t>元，已于</w:t>
      </w:r>
      <w:r w:rsidR="00204805" w:rsidRPr="00A103D3">
        <w:rPr>
          <w:rFonts w:ascii="Times New Roman" w:cs="Times New Roman"/>
          <w:color w:val="auto"/>
        </w:rPr>
        <w:t>202</w:t>
      </w:r>
      <w:r w:rsidR="003D2BA5" w:rsidRPr="00A103D3">
        <w:rPr>
          <w:rFonts w:ascii="Times New Roman" w:cs="Times New Roman"/>
          <w:color w:val="auto"/>
        </w:rPr>
        <w:t>4</w:t>
      </w:r>
      <w:r w:rsidR="00204805" w:rsidRPr="00A103D3">
        <w:rPr>
          <w:rFonts w:ascii="Times New Roman" w:cs="Times New Roman"/>
          <w:color w:val="auto"/>
        </w:rPr>
        <w:t>年</w:t>
      </w:r>
      <w:r w:rsidR="003D2BA5" w:rsidRPr="00A103D3">
        <w:rPr>
          <w:rFonts w:ascii="Times New Roman" w:cs="Times New Roman"/>
          <w:color w:val="auto"/>
        </w:rPr>
        <w:t>12</w:t>
      </w:r>
      <w:r w:rsidR="00204805" w:rsidRPr="00A103D3">
        <w:rPr>
          <w:rFonts w:ascii="Times New Roman" w:cs="Times New Roman"/>
          <w:color w:val="auto"/>
        </w:rPr>
        <w:t>月</w:t>
      </w:r>
      <w:r w:rsidR="003D2BA5" w:rsidRPr="00A103D3">
        <w:rPr>
          <w:rFonts w:ascii="Times New Roman" w:cs="Times New Roman"/>
          <w:color w:val="auto"/>
        </w:rPr>
        <w:t>10</w:t>
      </w:r>
      <w:r w:rsidR="00204805" w:rsidRPr="00A103D3">
        <w:rPr>
          <w:rFonts w:ascii="Times New Roman" w:cs="Times New Roman"/>
          <w:color w:val="auto"/>
        </w:rPr>
        <w:t>日</w:t>
      </w:r>
      <w:r w:rsidRPr="00A103D3">
        <w:rPr>
          <w:rFonts w:ascii="Times New Roman" w:cs="Times New Roman"/>
          <w:color w:val="auto"/>
        </w:rPr>
        <w:t>划至托管账户。</w:t>
      </w:r>
    </w:p>
    <w:p w:rsidR="00F72576" w:rsidRPr="00A103D3" w:rsidRDefault="005A00B2">
      <w:pPr>
        <w:pStyle w:val="Default"/>
        <w:spacing w:line="360" w:lineRule="auto"/>
        <w:ind w:firstLineChars="200" w:firstLine="480"/>
        <w:rPr>
          <w:rFonts w:ascii="Times New Roman" w:cs="Times New Roman"/>
          <w:color w:val="auto"/>
        </w:rPr>
      </w:pPr>
      <w:r w:rsidRPr="00A103D3">
        <w:rPr>
          <w:rFonts w:ascii="Times New Roman" w:cs="Times New Roman"/>
          <w:color w:val="auto"/>
        </w:rPr>
        <w:t>5</w:t>
      </w:r>
      <w:r w:rsidRPr="00A103D3">
        <w:rPr>
          <w:rFonts w:ascii="Times New Roman" w:cs="Times New Roman"/>
          <w:color w:val="auto"/>
        </w:rPr>
        <w:t>、本基金最后运作日债券投资为人民币</w:t>
      </w:r>
      <w:r w:rsidRPr="00A103D3">
        <w:rPr>
          <w:rFonts w:ascii="Times New Roman" w:eastAsiaTheme="minorEastAsia" w:cs="Times New Roman"/>
          <w:color w:val="auto"/>
          <w:kern w:val="2"/>
          <w:lang w:bidi="ar-SA"/>
        </w:rPr>
        <w:t>202,140.27</w:t>
      </w:r>
      <w:r w:rsidRPr="00A103D3">
        <w:rPr>
          <w:rFonts w:ascii="Times New Roman" w:cs="Times New Roman"/>
          <w:color w:val="auto"/>
        </w:rPr>
        <w:t>元，已于</w:t>
      </w:r>
      <w:r w:rsidRPr="00A103D3">
        <w:rPr>
          <w:rFonts w:ascii="Times New Roman" w:cs="Times New Roman"/>
          <w:color w:val="auto"/>
        </w:rPr>
        <w:t>2024</w:t>
      </w:r>
      <w:r w:rsidRPr="00A103D3">
        <w:rPr>
          <w:rFonts w:ascii="Times New Roman" w:cs="Times New Roman"/>
          <w:color w:val="auto"/>
        </w:rPr>
        <w:t>年</w:t>
      </w:r>
      <w:r w:rsidRPr="00A103D3">
        <w:rPr>
          <w:rFonts w:ascii="Times New Roman" w:cs="Times New Roman"/>
          <w:color w:val="auto"/>
        </w:rPr>
        <w:t>12</w:t>
      </w:r>
      <w:r w:rsidRPr="00A103D3">
        <w:rPr>
          <w:rFonts w:ascii="Times New Roman" w:cs="Times New Roman"/>
          <w:color w:val="auto"/>
        </w:rPr>
        <w:t>月</w:t>
      </w:r>
      <w:r w:rsidRPr="00A103D3">
        <w:rPr>
          <w:rFonts w:ascii="Times New Roman" w:cs="Times New Roman"/>
          <w:color w:val="auto"/>
        </w:rPr>
        <w:t>9</w:t>
      </w:r>
      <w:r w:rsidRPr="00A103D3">
        <w:rPr>
          <w:rFonts w:ascii="Times New Roman" w:cs="Times New Roman"/>
          <w:color w:val="auto"/>
        </w:rPr>
        <w:t>日处置变现，处置产生的证券清算款为人民币</w:t>
      </w:r>
      <w:r w:rsidRPr="00A103D3">
        <w:rPr>
          <w:rFonts w:ascii="Times New Roman" w:eastAsiaTheme="minorEastAsia" w:cs="Times New Roman"/>
          <w:color w:val="auto"/>
          <w:kern w:val="2"/>
          <w:lang w:bidi="ar-SA"/>
        </w:rPr>
        <w:t>202,143.12</w:t>
      </w:r>
      <w:r w:rsidRPr="00A103D3">
        <w:rPr>
          <w:rFonts w:ascii="Times New Roman" w:cs="Times New Roman"/>
          <w:color w:val="auto"/>
        </w:rPr>
        <w:t>元，已于</w:t>
      </w:r>
      <w:r w:rsidRPr="00A103D3">
        <w:rPr>
          <w:rFonts w:ascii="Times New Roman" w:cs="Times New Roman"/>
          <w:color w:val="auto"/>
        </w:rPr>
        <w:t>2024</w:t>
      </w:r>
      <w:r w:rsidRPr="00A103D3">
        <w:rPr>
          <w:rFonts w:ascii="Times New Roman" w:cs="Times New Roman"/>
          <w:color w:val="auto"/>
        </w:rPr>
        <w:t>年</w:t>
      </w:r>
      <w:r w:rsidRPr="00A103D3">
        <w:rPr>
          <w:rFonts w:ascii="Times New Roman" w:cs="Times New Roman"/>
          <w:color w:val="auto"/>
        </w:rPr>
        <w:t>12</w:t>
      </w:r>
      <w:r w:rsidRPr="00A103D3">
        <w:rPr>
          <w:rFonts w:ascii="Times New Roman" w:cs="Times New Roman"/>
          <w:color w:val="auto"/>
        </w:rPr>
        <w:t>月</w:t>
      </w:r>
      <w:r w:rsidRPr="00A103D3">
        <w:rPr>
          <w:rFonts w:ascii="Times New Roman" w:cs="Times New Roman"/>
          <w:color w:val="auto"/>
        </w:rPr>
        <w:t>10</w:t>
      </w:r>
      <w:r w:rsidRPr="00A103D3">
        <w:rPr>
          <w:rFonts w:ascii="Times New Roman" w:cs="Times New Roman"/>
          <w:color w:val="auto"/>
        </w:rPr>
        <w:t>日划至托管账户。</w:t>
      </w:r>
    </w:p>
    <w:p w:rsidR="006F5742" w:rsidRPr="00A103D3" w:rsidRDefault="006F5742" w:rsidP="00FB2ADA">
      <w:pPr>
        <w:pStyle w:val="Default"/>
        <w:overflowPunct w:val="0"/>
        <w:spacing w:line="360" w:lineRule="auto"/>
        <w:ind w:firstLineChars="150" w:firstLine="360"/>
        <w:rPr>
          <w:rFonts w:ascii="Times New Roman" w:eastAsiaTheme="majorEastAsia" w:cs="Times New Roman"/>
          <w:color w:val="auto"/>
        </w:rPr>
      </w:pPr>
      <w:r w:rsidRPr="00A103D3">
        <w:rPr>
          <w:rFonts w:ascii="Times New Roman" w:eastAsiaTheme="majorEastAsia" w:cs="Times New Roman"/>
          <w:color w:val="auto"/>
        </w:rPr>
        <w:t>（</w:t>
      </w:r>
      <w:r w:rsidR="00296416" w:rsidRPr="00A103D3">
        <w:rPr>
          <w:rFonts w:ascii="Times New Roman" w:eastAsiaTheme="majorEastAsia" w:cs="Times New Roman"/>
          <w:color w:val="auto"/>
        </w:rPr>
        <w:t>三</w:t>
      </w:r>
      <w:r w:rsidRPr="00A103D3">
        <w:rPr>
          <w:rFonts w:ascii="Times New Roman" w:eastAsiaTheme="majorEastAsia" w:cs="Times New Roman"/>
          <w:color w:val="auto"/>
        </w:rPr>
        <w:t>）</w:t>
      </w:r>
      <w:r w:rsidR="001944A9" w:rsidRPr="00A103D3">
        <w:rPr>
          <w:rFonts w:ascii="Times New Roman" w:eastAsiaTheme="majorEastAsia" w:cs="Times New Roman"/>
          <w:color w:val="auto"/>
        </w:rPr>
        <w:t>最后运作日</w:t>
      </w:r>
      <w:r w:rsidRPr="00A103D3">
        <w:rPr>
          <w:rFonts w:ascii="Times New Roman" w:eastAsiaTheme="majorEastAsia" w:cs="Times New Roman"/>
          <w:color w:val="auto"/>
        </w:rPr>
        <w:t>负债清偿情况</w:t>
      </w:r>
    </w:p>
    <w:p w:rsidR="00B558C0" w:rsidRPr="00A103D3" w:rsidRDefault="00B558C0" w:rsidP="00B558C0">
      <w:pPr>
        <w:pStyle w:val="Default"/>
        <w:spacing w:line="360" w:lineRule="auto"/>
        <w:ind w:firstLineChars="200" w:firstLine="480"/>
        <w:rPr>
          <w:rFonts w:ascii="Times New Roman" w:cs="Times New Roman"/>
          <w:color w:val="auto"/>
        </w:rPr>
      </w:pPr>
      <w:r w:rsidRPr="00A103D3">
        <w:rPr>
          <w:rFonts w:ascii="Times New Roman" w:cs="Times New Roman"/>
          <w:color w:val="auto"/>
        </w:rPr>
        <w:t>1</w:t>
      </w:r>
      <w:r w:rsidRPr="00A103D3">
        <w:rPr>
          <w:rFonts w:ascii="Times New Roman" w:cs="Times New Roman"/>
          <w:color w:val="auto"/>
        </w:rPr>
        <w:t>、本基金最后运作日应付赎回款</w:t>
      </w:r>
      <w:r w:rsidRPr="00A103D3">
        <w:rPr>
          <w:rFonts w:ascii="Times New Roman" w:cs="Times New Roman"/>
        </w:rPr>
        <w:t>为人民币</w:t>
      </w:r>
      <w:r w:rsidR="00910219" w:rsidRPr="00A103D3">
        <w:rPr>
          <w:rFonts w:ascii="Times New Roman" w:eastAsiaTheme="minorEastAsia" w:cs="Times New Roman"/>
          <w:color w:val="auto"/>
          <w:kern w:val="2"/>
          <w:lang w:bidi="ar-SA"/>
        </w:rPr>
        <w:t>5,187.16</w:t>
      </w:r>
      <w:r w:rsidRPr="00A103D3">
        <w:rPr>
          <w:rFonts w:ascii="Times New Roman" w:cs="Times New Roman"/>
        </w:rPr>
        <w:t>元，该</w:t>
      </w:r>
      <w:r w:rsidRPr="00A103D3">
        <w:rPr>
          <w:rFonts w:ascii="Times New Roman" w:cs="Times New Roman"/>
          <w:color w:val="auto"/>
        </w:rPr>
        <w:t>款项至</w:t>
      </w:r>
      <w:r w:rsidR="00003446" w:rsidRPr="00A103D3">
        <w:rPr>
          <w:rFonts w:ascii="Times New Roman" w:cs="Times New Roman"/>
          <w:color w:val="auto"/>
        </w:rPr>
        <w:t>2024</w:t>
      </w:r>
      <w:r w:rsidR="00003446" w:rsidRPr="00A103D3">
        <w:rPr>
          <w:rFonts w:ascii="Times New Roman" w:cs="Times New Roman"/>
          <w:color w:val="auto"/>
        </w:rPr>
        <w:t>年</w:t>
      </w:r>
      <w:r w:rsidR="00003446" w:rsidRPr="00A103D3">
        <w:rPr>
          <w:rFonts w:ascii="Times New Roman" w:cs="Times New Roman"/>
          <w:color w:val="auto"/>
        </w:rPr>
        <w:t>12</w:t>
      </w:r>
      <w:r w:rsidR="00003446" w:rsidRPr="00A103D3">
        <w:rPr>
          <w:rFonts w:ascii="Times New Roman" w:cs="Times New Roman"/>
          <w:color w:val="auto"/>
        </w:rPr>
        <w:t>月</w:t>
      </w:r>
      <w:r w:rsidR="00003446" w:rsidRPr="00A103D3">
        <w:rPr>
          <w:rFonts w:ascii="Times New Roman" w:cs="Times New Roman"/>
          <w:color w:val="auto"/>
        </w:rPr>
        <w:t>9</w:t>
      </w:r>
      <w:r w:rsidR="00204805" w:rsidRPr="00A103D3">
        <w:rPr>
          <w:rFonts w:ascii="Times New Roman" w:cs="Times New Roman"/>
          <w:color w:val="auto"/>
        </w:rPr>
        <w:t>日</w:t>
      </w:r>
      <w:r w:rsidRPr="00A103D3">
        <w:rPr>
          <w:rFonts w:ascii="Times New Roman" w:cs="Times New Roman"/>
        </w:rPr>
        <w:t>已</w:t>
      </w:r>
      <w:r w:rsidRPr="00A103D3">
        <w:rPr>
          <w:rFonts w:ascii="Times New Roman" w:cs="Times New Roman"/>
          <w:color w:val="auto"/>
        </w:rPr>
        <w:t>支付。</w:t>
      </w:r>
    </w:p>
    <w:p w:rsidR="00B558C0" w:rsidRPr="00A103D3" w:rsidRDefault="00B558C0" w:rsidP="00B558C0">
      <w:pPr>
        <w:pStyle w:val="Default"/>
        <w:spacing w:line="360" w:lineRule="auto"/>
        <w:ind w:firstLineChars="200" w:firstLine="480"/>
        <w:rPr>
          <w:rFonts w:ascii="Times New Roman" w:cs="Times New Roman"/>
          <w:color w:val="auto"/>
        </w:rPr>
      </w:pPr>
      <w:r w:rsidRPr="00A103D3">
        <w:rPr>
          <w:rFonts w:ascii="Times New Roman" w:cs="Times New Roman"/>
          <w:color w:val="auto"/>
        </w:rPr>
        <w:t>2</w:t>
      </w:r>
      <w:r w:rsidRPr="00A103D3">
        <w:rPr>
          <w:rFonts w:ascii="Times New Roman" w:cs="Times New Roman"/>
          <w:color w:val="auto"/>
        </w:rPr>
        <w:t>、本基金最后运作日应付管理人报酬</w:t>
      </w:r>
      <w:r w:rsidRPr="00A103D3">
        <w:rPr>
          <w:rFonts w:ascii="Times New Roman" w:cs="Times New Roman"/>
        </w:rPr>
        <w:t>为人民币</w:t>
      </w:r>
      <w:r w:rsidR="00563B53" w:rsidRPr="00A103D3">
        <w:rPr>
          <w:rFonts w:ascii="Times New Roman" w:eastAsiaTheme="minorEastAsia" w:cs="Times New Roman"/>
          <w:color w:val="auto"/>
          <w:kern w:val="2"/>
          <w:lang w:bidi="ar-SA"/>
        </w:rPr>
        <w:t>81.42</w:t>
      </w:r>
      <w:r w:rsidRPr="00A103D3">
        <w:rPr>
          <w:rFonts w:ascii="Times New Roman" w:cs="Times New Roman"/>
        </w:rPr>
        <w:t>元，该</w:t>
      </w:r>
      <w:r w:rsidRPr="00A103D3">
        <w:rPr>
          <w:rFonts w:ascii="Times New Roman" w:cs="Times New Roman"/>
          <w:color w:val="auto"/>
        </w:rPr>
        <w:t>款项已于</w:t>
      </w:r>
      <w:r w:rsidR="00204805" w:rsidRPr="00A103D3">
        <w:rPr>
          <w:rFonts w:ascii="Times New Roman" w:cs="Times New Roman"/>
          <w:color w:val="auto"/>
        </w:rPr>
        <w:t>202</w:t>
      </w:r>
      <w:r w:rsidR="00563B53" w:rsidRPr="00A103D3">
        <w:rPr>
          <w:rFonts w:ascii="Times New Roman" w:cs="Times New Roman"/>
          <w:color w:val="auto"/>
        </w:rPr>
        <w:t>4</w:t>
      </w:r>
      <w:r w:rsidR="00204805" w:rsidRPr="00A103D3">
        <w:rPr>
          <w:rFonts w:ascii="Times New Roman" w:cs="Times New Roman"/>
          <w:color w:val="auto"/>
        </w:rPr>
        <w:t>年</w:t>
      </w:r>
      <w:r w:rsidR="00563B53" w:rsidRPr="00A103D3">
        <w:rPr>
          <w:rFonts w:ascii="Times New Roman" w:cs="Times New Roman"/>
          <w:color w:val="auto"/>
        </w:rPr>
        <w:t>12</w:t>
      </w:r>
      <w:r w:rsidR="00204805" w:rsidRPr="00A103D3">
        <w:rPr>
          <w:rFonts w:ascii="Times New Roman" w:cs="Times New Roman"/>
          <w:color w:val="auto"/>
        </w:rPr>
        <w:t>月</w:t>
      </w:r>
      <w:r w:rsidR="00563B53" w:rsidRPr="00A103D3">
        <w:rPr>
          <w:rFonts w:ascii="Times New Roman" w:cs="Times New Roman"/>
          <w:color w:val="auto"/>
        </w:rPr>
        <w:t>10</w:t>
      </w:r>
      <w:r w:rsidR="00204805" w:rsidRPr="00A103D3">
        <w:rPr>
          <w:rFonts w:ascii="Times New Roman" w:cs="Times New Roman"/>
          <w:color w:val="auto"/>
        </w:rPr>
        <w:t>日</w:t>
      </w:r>
      <w:r w:rsidRPr="00A103D3">
        <w:rPr>
          <w:rFonts w:ascii="Times New Roman" w:cs="Times New Roman"/>
          <w:color w:val="auto"/>
        </w:rPr>
        <w:t>支付。</w:t>
      </w:r>
    </w:p>
    <w:p w:rsidR="00B558C0" w:rsidRPr="00A103D3" w:rsidRDefault="00B558C0" w:rsidP="00B558C0">
      <w:pPr>
        <w:pStyle w:val="Default"/>
        <w:spacing w:line="360" w:lineRule="auto"/>
        <w:ind w:firstLineChars="200" w:firstLine="480"/>
        <w:rPr>
          <w:rFonts w:ascii="Times New Roman" w:cs="Times New Roman"/>
          <w:color w:val="auto"/>
        </w:rPr>
      </w:pPr>
      <w:r w:rsidRPr="00A103D3">
        <w:rPr>
          <w:rFonts w:ascii="Times New Roman" w:cs="Times New Roman"/>
          <w:color w:val="auto"/>
        </w:rPr>
        <w:t>3</w:t>
      </w:r>
      <w:r w:rsidRPr="00A103D3">
        <w:rPr>
          <w:rFonts w:ascii="Times New Roman" w:cs="Times New Roman"/>
          <w:color w:val="auto"/>
        </w:rPr>
        <w:t>、本基金最后运作日应付托管费为</w:t>
      </w:r>
      <w:r w:rsidRPr="00A103D3">
        <w:rPr>
          <w:rFonts w:ascii="Times New Roman" w:cs="Times New Roman"/>
        </w:rPr>
        <w:t>人民币</w:t>
      </w:r>
      <w:r w:rsidR="00563B53" w:rsidRPr="00A103D3">
        <w:rPr>
          <w:rFonts w:ascii="Times New Roman" w:eastAsiaTheme="minorEastAsia" w:cs="Times New Roman"/>
          <w:color w:val="auto"/>
          <w:kern w:val="2"/>
          <w:lang w:bidi="ar-SA"/>
        </w:rPr>
        <w:t>13.57</w:t>
      </w:r>
      <w:r w:rsidRPr="00A103D3">
        <w:rPr>
          <w:rFonts w:ascii="Times New Roman" w:cs="Times New Roman"/>
        </w:rPr>
        <w:t>元，该</w:t>
      </w:r>
      <w:r w:rsidRPr="00A103D3">
        <w:rPr>
          <w:rFonts w:ascii="Times New Roman" w:cs="Times New Roman"/>
          <w:color w:val="auto"/>
        </w:rPr>
        <w:t>款项已于</w:t>
      </w:r>
      <w:r w:rsidR="00204805" w:rsidRPr="00A103D3">
        <w:rPr>
          <w:rFonts w:ascii="Times New Roman" w:cs="Times New Roman"/>
          <w:color w:val="auto"/>
        </w:rPr>
        <w:t>202</w:t>
      </w:r>
      <w:r w:rsidR="00BC4A82" w:rsidRPr="00A103D3">
        <w:rPr>
          <w:rFonts w:ascii="Times New Roman" w:cs="Times New Roman"/>
          <w:color w:val="auto"/>
        </w:rPr>
        <w:t>4</w:t>
      </w:r>
      <w:r w:rsidR="00204805" w:rsidRPr="00A103D3">
        <w:rPr>
          <w:rFonts w:ascii="Times New Roman" w:cs="Times New Roman"/>
          <w:color w:val="auto"/>
        </w:rPr>
        <w:t>年</w:t>
      </w:r>
      <w:r w:rsidR="00BC4A82" w:rsidRPr="00A103D3">
        <w:rPr>
          <w:rFonts w:ascii="Times New Roman" w:cs="Times New Roman"/>
          <w:color w:val="auto"/>
        </w:rPr>
        <w:t>12</w:t>
      </w:r>
      <w:r w:rsidR="00204805" w:rsidRPr="00A103D3">
        <w:rPr>
          <w:rFonts w:ascii="Times New Roman" w:cs="Times New Roman"/>
          <w:color w:val="auto"/>
        </w:rPr>
        <w:t>月</w:t>
      </w:r>
      <w:r w:rsidR="00BC4A82" w:rsidRPr="00A103D3">
        <w:rPr>
          <w:rFonts w:ascii="Times New Roman" w:cs="Times New Roman"/>
          <w:color w:val="auto"/>
        </w:rPr>
        <w:t>10</w:t>
      </w:r>
      <w:r w:rsidR="00204805" w:rsidRPr="00A103D3">
        <w:rPr>
          <w:rFonts w:ascii="Times New Roman" w:cs="Times New Roman"/>
          <w:color w:val="auto"/>
        </w:rPr>
        <w:t>日</w:t>
      </w:r>
      <w:r w:rsidRPr="00A103D3">
        <w:rPr>
          <w:rFonts w:ascii="Times New Roman" w:cs="Times New Roman"/>
          <w:color w:val="auto"/>
        </w:rPr>
        <w:t>支付。</w:t>
      </w:r>
    </w:p>
    <w:p w:rsidR="00B558C0" w:rsidRPr="00A103D3" w:rsidRDefault="00B558C0" w:rsidP="00B558C0">
      <w:pPr>
        <w:pStyle w:val="Default"/>
        <w:spacing w:line="360" w:lineRule="auto"/>
        <w:ind w:firstLineChars="200" w:firstLine="480"/>
        <w:rPr>
          <w:rFonts w:ascii="Times New Roman" w:cs="Times New Roman"/>
          <w:color w:val="auto"/>
        </w:rPr>
      </w:pPr>
      <w:r w:rsidRPr="00A103D3">
        <w:rPr>
          <w:rFonts w:ascii="Times New Roman" w:cs="Times New Roman"/>
          <w:color w:val="auto"/>
        </w:rPr>
        <w:t>4</w:t>
      </w:r>
      <w:r w:rsidRPr="00A103D3">
        <w:rPr>
          <w:rFonts w:ascii="Times New Roman" w:cs="Times New Roman"/>
          <w:color w:val="auto"/>
        </w:rPr>
        <w:t>、本基金最后运作日应付销售服务费为</w:t>
      </w:r>
      <w:r w:rsidRPr="00A103D3">
        <w:rPr>
          <w:rFonts w:ascii="Times New Roman" w:cs="Times New Roman"/>
        </w:rPr>
        <w:t>人民币</w:t>
      </w:r>
      <w:r w:rsidR="00563B53" w:rsidRPr="00A103D3">
        <w:rPr>
          <w:rFonts w:ascii="Times New Roman" w:eastAsiaTheme="minorEastAsia" w:cs="Times New Roman"/>
          <w:color w:val="auto"/>
          <w:kern w:val="2"/>
          <w:lang w:bidi="ar-SA"/>
        </w:rPr>
        <w:t>0.45</w:t>
      </w:r>
      <w:r w:rsidRPr="00A103D3">
        <w:rPr>
          <w:rFonts w:ascii="Times New Roman" w:cs="Times New Roman"/>
        </w:rPr>
        <w:t>元，该</w:t>
      </w:r>
      <w:r w:rsidRPr="00A103D3">
        <w:rPr>
          <w:rFonts w:ascii="Times New Roman" w:cs="Times New Roman"/>
          <w:color w:val="auto"/>
        </w:rPr>
        <w:t>款项已于</w:t>
      </w:r>
      <w:r w:rsidR="00204805" w:rsidRPr="00A103D3">
        <w:rPr>
          <w:rFonts w:ascii="Times New Roman" w:cs="Times New Roman"/>
          <w:color w:val="auto"/>
        </w:rPr>
        <w:t>202</w:t>
      </w:r>
      <w:r w:rsidR="00BC4A82" w:rsidRPr="00A103D3">
        <w:rPr>
          <w:rFonts w:ascii="Times New Roman" w:cs="Times New Roman"/>
          <w:color w:val="auto"/>
        </w:rPr>
        <w:t>4</w:t>
      </w:r>
      <w:r w:rsidR="00204805" w:rsidRPr="00A103D3">
        <w:rPr>
          <w:rFonts w:ascii="Times New Roman" w:cs="Times New Roman"/>
          <w:color w:val="auto"/>
        </w:rPr>
        <w:t>年</w:t>
      </w:r>
      <w:r w:rsidR="00BC4A82" w:rsidRPr="00A103D3">
        <w:rPr>
          <w:rFonts w:ascii="Times New Roman" w:cs="Times New Roman"/>
          <w:color w:val="auto"/>
        </w:rPr>
        <w:t>12</w:t>
      </w:r>
      <w:r w:rsidR="00204805" w:rsidRPr="00A103D3">
        <w:rPr>
          <w:rFonts w:ascii="Times New Roman" w:cs="Times New Roman"/>
          <w:color w:val="auto"/>
        </w:rPr>
        <w:t>月</w:t>
      </w:r>
      <w:r w:rsidR="00BC4A82" w:rsidRPr="00A103D3">
        <w:rPr>
          <w:rFonts w:ascii="Times New Roman" w:cs="Times New Roman"/>
          <w:color w:val="auto"/>
        </w:rPr>
        <w:t>10</w:t>
      </w:r>
      <w:r w:rsidR="00204805" w:rsidRPr="00A103D3">
        <w:rPr>
          <w:rFonts w:ascii="Times New Roman" w:cs="Times New Roman"/>
          <w:color w:val="auto"/>
        </w:rPr>
        <w:t>日</w:t>
      </w:r>
      <w:r w:rsidRPr="00A103D3">
        <w:rPr>
          <w:rFonts w:ascii="Times New Roman" w:cs="Times New Roman"/>
          <w:color w:val="auto"/>
        </w:rPr>
        <w:t>支付。</w:t>
      </w:r>
    </w:p>
    <w:p w:rsidR="00B558C0" w:rsidRPr="00A103D3" w:rsidRDefault="00B558C0" w:rsidP="00B558C0">
      <w:pPr>
        <w:pStyle w:val="Default"/>
        <w:spacing w:line="360" w:lineRule="auto"/>
        <w:ind w:firstLineChars="200" w:firstLine="480"/>
        <w:rPr>
          <w:rFonts w:ascii="Times New Roman" w:cs="Times New Roman"/>
        </w:rPr>
      </w:pPr>
      <w:r w:rsidRPr="00A103D3">
        <w:rPr>
          <w:rFonts w:ascii="Times New Roman" w:cs="Times New Roman"/>
          <w:color w:val="auto"/>
        </w:rPr>
        <w:t>5</w:t>
      </w:r>
      <w:r w:rsidRPr="00A103D3">
        <w:rPr>
          <w:rFonts w:ascii="Times New Roman" w:cs="Times New Roman"/>
          <w:color w:val="auto"/>
        </w:rPr>
        <w:t>、本基金最后运作日其他负债为</w:t>
      </w:r>
      <w:r w:rsidRPr="00A103D3">
        <w:rPr>
          <w:rFonts w:ascii="Times New Roman" w:cs="Times New Roman"/>
        </w:rPr>
        <w:t>人民币</w:t>
      </w:r>
      <w:r w:rsidR="005721FF" w:rsidRPr="00A103D3">
        <w:rPr>
          <w:rFonts w:ascii="Times New Roman" w:eastAsiaTheme="minorEastAsia" w:cs="Times New Roman"/>
          <w:color w:val="auto"/>
          <w:kern w:val="2"/>
          <w:lang w:bidi="ar-SA"/>
        </w:rPr>
        <w:t>29,237.44</w:t>
      </w:r>
      <w:r w:rsidRPr="00A103D3">
        <w:rPr>
          <w:rFonts w:ascii="Times New Roman" w:cs="Times New Roman"/>
        </w:rPr>
        <w:t>元，</w:t>
      </w:r>
      <w:r w:rsidR="00003446" w:rsidRPr="00A103D3">
        <w:rPr>
          <w:rFonts w:ascii="Times New Roman" w:cs="Times New Roman"/>
        </w:rPr>
        <w:t>均为</w:t>
      </w:r>
      <w:r w:rsidRPr="00A103D3">
        <w:rPr>
          <w:rFonts w:ascii="Times New Roman" w:cs="Times New Roman"/>
          <w:color w:val="auto"/>
        </w:rPr>
        <w:t>应付交易费用</w:t>
      </w:r>
      <w:r w:rsidR="005136BB">
        <w:rPr>
          <w:rFonts w:ascii="Times New Roman" w:cs="Times New Roman" w:hint="eastAsia"/>
          <w:color w:val="auto"/>
        </w:rPr>
        <w:t>，</w:t>
      </w:r>
      <w:r w:rsidR="006977D2" w:rsidRPr="00A103D3">
        <w:rPr>
          <w:rFonts w:ascii="Times New Roman" w:cs="Times New Roman"/>
        </w:rPr>
        <w:t>该</w:t>
      </w:r>
      <w:r w:rsidRPr="00A103D3">
        <w:rPr>
          <w:rFonts w:ascii="Times New Roman" w:cs="Times New Roman"/>
        </w:rPr>
        <w:t>款项</w:t>
      </w:r>
      <w:r w:rsidR="00003446" w:rsidRPr="00A103D3">
        <w:rPr>
          <w:rFonts w:ascii="Times New Roman" w:cs="Times New Roman"/>
        </w:rPr>
        <w:t>已于</w:t>
      </w:r>
      <w:r w:rsidR="00204805" w:rsidRPr="00A103D3">
        <w:rPr>
          <w:rFonts w:ascii="Times New Roman" w:cs="Times New Roman"/>
          <w:color w:val="auto"/>
        </w:rPr>
        <w:t>202</w:t>
      </w:r>
      <w:r w:rsidR="005721FF" w:rsidRPr="00A103D3">
        <w:rPr>
          <w:rFonts w:ascii="Times New Roman" w:cs="Times New Roman"/>
          <w:color w:val="auto"/>
        </w:rPr>
        <w:t>4</w:t>
      </w:r>
      <w:r w:rsidR="00204805" w:rsidRPr="00A103D3">
        <w:rPr>
          <w:rFonts w:ascii="Times New Roman" w:cs="Times New Roman"/>
          <w:color w:val="auto"/>
        </w:rPr>
        <w:t>年</w:t>
      </w:r>
      <w:r w:rsidR="005721FF" w:rsidRPr="00A103D3">
        <w:rPr>
          <w:rFonts w:ascii="Times New Roman" w:cs="Times New Roman"/>
          <w:color w:val="auto"/>
        </w:rPr>
        <w:t>12</w:t>
      </w:r>
      <w:r w:rsidR="00204805" w:rsidRPr="00A103D3">
        <w:rPr>
          <w:rFonts w:ascii="Times New Roman" w:cs="Times New Roman"/>
          <w:color w:val="auto"/>
        </w:rPr>
        <w:t>月</w:t>
      </w:r>
      <w:r w:rsidR="005721FF" w:rsidRPr="00A103D3">
        <w:rPr>
          <w:rFonts w:ascii="Times New Roman" w:cs="Times New Roman"/>
          <w:color w:val="auto"/>
        </w:rPr>
        <w:t>26</w:t>
      </w:r>
      <w:r w:rsidR="00204805" w:rsidRPr="00A103D3">
        <w:rPr>
          <w:rFonts w:ascii="Times New Roman" w:cs="Times New Roman"/>
          <w:color w:val="auto"/>
        </w:rPr>
        <w:t>日</w:t>
      </w:r>
      <w:r w:rsidRPr="00A103D3">
        <w:rPr>
          <w:rFonts w:ascii="Times New Roman" w:cs="Times New Roman"/>
        </w:rPr>
        <w:t>支付</w:t>
      </w:r>
      <w:r w:rsidRPr="00A103D3" w:rsidDel="00640969">
        <w:rPr>
          <w:rFonts w:ascii="Times New Roman" w:cs="Times New Roman"/>
        </w:rPr>
        <w:t xml:space="preserve"> </w:t>
      </w:r>
      <w:r w:rsidRPr="00A103D3">
        <w:rPr>
          <w:rFonts w:ascii="Times New Roman" w:cs="Times New Roman"/>
        </w:rPr>
        <w:t>。</w:t>
      </w:r>
    </w:p>
    <w:p w:rsidR="00860A4E" w:rsidRPr="00A103D3" w:rsidRDefault="00860A4E" w:rsidP="00A5019E">
      <w:pPr>
        <w:pStyle w:val="Default"/>
        <w:overflowPunct w:val="0"/>
        <w:spacing w:line="360" w:lineRule="auto"/>
        <w:ind w:firstLineChars="200" w:firstLine="480"/>
        <w:rPr>
          <w:rFonts w:ascii="Times New Roman" w:eastAsiaTheme="majorEastAsia" w:cs="Times New Roman"/>
          <w:color w:val="auto"/>
        </w:rPr>
      </w:pPr>
      <w:r w:rsidRPr="00A103D3">
        <w:rPr>
          <w:rFonts w:ascii="Times New Roman" w:eastAsiaTheme="majorEastAsia" w:cs="Times New Roman"/>
          <w:color w:val="auto"/>
        </w:rPr>
        <w:t>（四）本次清算报告期间的清算损益情况</w:t>
      </w:r>
    </w:p>
    <w:p w:rsidR="006133CF" w:rsidRPr="00A103D3" w:rsidRDefault="006133CF" w:rsidP="006133CF">
      <w:pPr>
        <w:spacing w:line="360" w:lineRule="auto"/>
        <w:ind w:rightChars="2" w:right="4"/>
        <w:jc w:val="right"/>
        <w:rPr>
          <w:b/>
          <w:sz w:val="22"/>
          <w:szCs w:val="22"/>
        </w:rPr>
      </w:pPr>
      <w:r w:rsidRPr="00A103D3">
        <w:rPr>
          <w:sz w:val="22"/>
          <w:szCs w:val="22"/>
        </w:rPr>
        <w:t>单位：人民币元</w:t>
      </w:r>
    </w:p>
    <w:tbl>
      <w:tblPr>
        <w:tblW w:w="84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2664"/>
      </w:tblGrid>
      <w:tr w:rsidR="006133CF" w:rsidRPr="00A103D3" w:rsidTr="00873B3C">
        <w:trPr>
          <w:trHeight w:val="80"/>
        </w:trPr>
        <w:tc>
          <w:tcPr>
            <w:tcW w:w="5812" w:type="dxa"/>
            <w:vAlign w:val="center"/>
          </w:tcPr>
          <w:p w:rsidR="006133CF" w:rsidRPr="00A103D3" w:rsidRDefault="006133CF" w:rsidP="00873B3C">
            <w:pPr>
              <w:overflowPunct w:val="0"/>
              <w:autoSpaceDE w:val="0"/>
              <w:autoSpaceDN w:val="0"/>
              <w:snapToGrid w:val="0"/>
              <w:ind w:left="34"/>
              <w:jc w:val="center"/>
              <w:rPr>
                <w:szCs w:val="21"/>
              </w:rPr>
            </w:pPr>
            <w:r w:rsidRPr="00A103D3">
              <w:rPr>
                <w:szCs w:val="21"/>
              </w:rPr>
              <w:t>项目</w:t>
            </w:r>
          </w:p>
        </w:tc>
        <w:tc>
          <w:tcPr>
            <w:tcW w:w="2664" w:type="dxa"/>
            <w:vAlign w:val="bottom"/>
          </w:tcPr>
          <w:p w:rsidR="003512F9" w:rsidRDefault="006133CF" w:rsidP="003512F9">
            <w:pPr>
              <w:tabs>
                <w:tab w:val="left" w:pos="2517"/>
              </w:tabs>
              <w:overflowPunct w:val="0"/>
              <w:autoSpaceDE w:val="0"/>
              <w:autoSpaceDN w:val="0"/>
              <w:snapToGrid w:val="0"/>
              <w:jc w:val="right"/>
              <w:rPr>
                <w:szCs w:val="21"/>
              </w:rPr>
            </w:pPr>
            <w:r w:rsidRPr="00A103D3">
              <w:rPr>
                <w:szCs w:val="21"/>
              </w:rPr>
              <w:t>自</w:t>
            </w:r>
            <w:r w:rsidR="00A95AAB" w:rsidRPr="00A103D3">
              <w:rPr>
                <w:szCs w:val="21"/>
              </w:rPr>
              <w:t>2024</w:t>
            </w:r>
            <w:r w:rsidR="00A95AAB" w:rsidRPr="00A103D3">
              <w:rPr>
                <w:szCs w:val="21"/>
              </w:rPr>
              <w:t>年</w:t>
            </w:r>
            <w:r w:rsidR="00A95AAB" w:rsidRPr="00A103D3">
              <w:rPr>
                <w:szCs w:val="21"/>
              </w:rPr>
              <w:t>12</w:t>
            </w:r>
            <w:r w:rsidR="00A95AAB" w:rsidRPr="00A103D3">
              <w:rPr>
                <w:szCs w:val="21"/>
              </w:rPr>
              <w:t>月</w:t>
            </w:r>
            <w:r w:rsidR="00A95AAB" w:rsidRPr="00A103D3">
              <w:rPr>
                <w:szCs w:val="21"/>
              </w:rPr>
              <w:t>6</w:t>
            </w:r>
            <w:r w:rsidRPr="00A103D3">
              <w:rPr>
                <w:szCs w:val="21"/>
              </w:rPr>
              <w:t>日至</w:t>
            </w:r>
          </w:p>
          <w:p w:rsidR="003512F9" w:rsidRDefault="00A95AAB" w:rsidP="003512F9">
            <w:pPr>
              <w:tabs>
                <w:tab w:val="left" w:pos="2517"/>
              </w:tabs>
              <w:overflowPunct w:val="0"/>
              <w:autoSpaceDE w:val="0"/>
              <w:autoSpaceDN w:val="0"/>
              <w:snapToGrid w:val="0"/>
              <w:jc w:val="right"/>
              <w:rPr>
                <w:szCs w:val="21"/>
              </w:rPr>
            </w:pPr>
            <w:r w:rsidRPr="00A103D3">
              <w:rPr>
                <w:szCs w:val="21"/>
              </w:rPr>
              <w:t>2025</w:t>
            </w:r>
            <w:r w:rsidRPr="00A103D3">
              <w:rPr>
                <w:szCs w:val="21"/>
              </w:rPr>
              <w:t>年</w:t>
            </w:r>
            <w:r w:rsidRPr="00A103D3">
              <w:rPr>
                <w:szCs w:val="21"/>
              </w:rPr>
              <w:t>1</w:t>
            </w:r>
            <w:r w:rsidRPr="00A103D3">
              <w:rPr>
                <w:szCs w:val="21"/>
              </w:rPr>
              <w:t>月</w:t>
            </w:r>
            <w:r w:rsidRPr="00A103D3">
              <w:rPr>
                <w:szCs w:val="21"/>
              </w:rPr>
              <w:t>7</w:t>
            </w:r>
            <w:r w:rsidRPr="00A103D3">
              <w:rPr>
                <w:szCs w:val="21"/>
              </w:rPr>
              <w:t>日</w:t>
            </w:r>
            <w:r w:rsidR="006133CF" w:rsidRPr="00A103D3">
              <w:rPr>
                <w:szCs w:val="21"/>
              </w:rPr>
              <w:t>止</w:t>
            </w:r>
          </w:p>
          <w:p w:rsidR="006133CF" w:rsidRPr="00A103D3" w:rsidRDefault="006133CF" w:rsidP="007A293C">
            <w:pPr>
              <w:tabs>
                <w:tab w:val="left" w:pos="2517"/>
              </w:tabs>
              <w:overflowPunct w:val="0"/>
              <w:autoSpaceDE w:val="0"/>
              <w:autoSpaceDN w:val="0"/>
              <w:snapToGrid w:val="0"/>
              <w:jc w:val="right"/>
              <w:rPr>
                <w:szCs w:val="21"/>
              </w:rPr>
            </w:pPr>
            <w:r w:rsidRPr="00A103D3">
              <w:rPr>
                <w:szCs w:val="21"/>
              </w:rPr>
              <w:t>清算报告期间</w:t>
            </w:r>
          </w:p>
        </w:tc>
      </w:tr>
      <w:tr w:rsidR="006133CF" w:rsidRPr="00A103D3" w:rsidTr="00204805">
        <w:trPr>
          <w:trHeight w:val="340"/>
        </w:trPr>
        <w:tc>
          <w:tcPr>
            <w:tcW w:w="5812" w:type="dxa"/>
            <w:vAlign w:val="bottom"/>
          </w:tcPr>
          <w:p w:rsidR="006133CF" w:rsidRPr="00A103D3" w:rsidRDefault="006133CF" w:rsidP="00873B3C">
            <w:pPr>
              <w:overflowPunct w:val="0"/>
              <w:autoSpaceDE w:val="0"/>
              <w:autoSpaceDN w:val="0"/>
              <w:snapToGrid w:val="0"/>
              <w:ind w:left="34"/>
              <w:jc w:val="left"/>
              <w:rPr>
                <w:szCs w:val="21"/>
              </w:rPr>
            </w:pPr>
            <w:r w:rsidRPr="00A103D3">
              <w:rPr>
                <w:szCs w:val="21"/>
              </w:rPr>
              <w:t>一、清算收益</w:t>
            </w:r>
          </w:p>
        </w:tc>
        <w:tc>
          <w:tcPr>
            <w:tcW w:w="2664" w:type="dxa"/>
            <w:vAlign w:val="bottom"/>
          </w:tcPr>
          <w:p w:rsidR="006133CF" w:rsidRPr="00A103D3" w:rsidRDefault="006133CF" w:rsidP="00873B3C">
            <w:pPr>
              <w:overflowPunct w:val="0"/>
              <w:autoSpaceDE w:val="0"/>
              <w:autoSpaceDN w:val="0"/>
              <w:snapToGrid w:val="0"/>
              <w:jc w:val="right"/>
              <w:rPr>
                <w:szCs w:val="21"/>
              </w:rPr>
            </w:pPr>
          </w:p>
        </w:tc>
      </w:tr>
      <w:tr w:rsidR="006133CF" w:rsidRPr="00A103D3" w:rsidTr="00873B3C">
        <w:trPr>
          <w:trHeight w:val="80"/>
        </w:trPr>
        <w:tc>
          <w:tcPr>
            <w:tcW w:w="5812" w:type="dxa"/>
            <w:vAlign w:val="bottom"/>
          </w:tcPr>
          <w:p w:rsidR="006133CF" w:rsidRPr="00A103D3" w:rsidRDefault="006133CF" w:rsidP="00873B3C">
            <w:pPr>
              <w:overflowPunct w:val="0"/>
              <w:autoSpaceDE w:val="0"/>
              <w:autoSpaceDN w:val="0"/>
              <w:snapToGrid w:val="0"/>
              <w:ind w:left="459"/>
              <w:jc w:val="left"/>
              <w:rPr>
                <w:szCs w:val="21"/>
              </w:rPr>
            </w:pPr>
            <w:r w:rsidRPr="00A103D3">
              <w:rPr>
                <w:szCs w:val="21"/>
              </w:rPr>
              <w:t>1</w:t>
            </w:r>
            <w:r w:rsidRPr="00A103D3">
              <w:rPr>
                <w:szCs w:val="21"/>
              </w:rPr>
              <w:t>、利息收入（注</w:t>
            </w:r>
            <w:r w:rsidRPr="00A103D3">
              <w:rPr>
                <w:szCs w:val="21"/>
              </w:rPr>
              <w:t>1</w:t>
            </w:r>
            <w:r w:rsidRPr="00A103D3">
              <w:rPr>
                <w:szCs w:val="21"/>
              </w:rPr>
              <w:t>）</w:t>
            </w:r>
          </w:p>
        </w:tc>
        <w:tc>
          <w:tcPr>
            <w:tcW w:w="2664" w:type="dxa"/>
            <w:vAlign w:val="bottom"/>
          </w:tcPr>
          <w:p w:rsidR="006133CF" w:rsidRPr="00A103D3" w:rsidRDefault="00232474" w:rsidP="00873B3C">
            <w:pPr>
              <w:overflowPunct w:val="0"/>
              <w:autoSpaceDE w:val="0"/>
              <w:autoSpaceDN w:val="0"/>
              <w:snapToGrid w:val="0"/>
              <w:ind w:right="-24"/>
              <w:jc w:val="right"/>
              <w:rPr>
                <w:rFonts w:eastAsiaTheme="minorEastAsia"/>
                <w:szCs w:val="21"/>
              </w:rPr>
            </w:pPr>
            <w:r w:rsidRPr="00A103D3">
              <w:rPr>
                <w:rFonts w:eastAsiaTheme="minorEastAsia"/>
                <w:szCs w:val="21"/>
              </w:rPr>
              <w:t>338.42</w:t>
            </w:r>
          </w:p>
        </w:tc>
      </w:tr>
      <w:tr w:rsidR="006133CF" w:rsidRPr="00A103D3" w:rsidTr="00873B3C">
        <w:trPr>
          <w:trHeight w:val="80"/>
        </w:trPr>
        <w:tc>
          <w:tcPr>
            <w:tcW w:w="5812" w:type="dxa"/>
            <w:vAlign w:val="bottom"/>
          </w:tcPr>
          <w:p w:rsidR="006133CF" w:rsidRPr="00A103D3" w:rsidRDefault="006133CF" w:rsidP="00873B3C">
            <w:pPr>
              <w:overflowPunct w:val="0"/>
              <w:autoSpaceDE w:val="0"/>
              <w:autoSpaceDN w:val="0"/>
              <w:snapToGrid w:val="0"/>
              <w:ind w:left="459"/>
              <w:jc w:val="left"/>
              <w:rPr>
                <w:szCs w:val="21"/>
              </w:rPr>
            </w:pPr>
            <w:r w:rsidRPr="00A103D3">
              <w:rPr>
                <w:szCs w:val="21"/>
              </w:rPr>
              <w:t>2</w:t>
            </w:r>
            <w:r w:rsidRPr="00A103D3">
              <w:rPr>
                <w:szCs w:val="21"/>
              </w:rPr>
              <w:t>、处置交易性金融资产产生的净收益（注</w:t>
            </w:r>
            <w:r w:rsidRPr="00A103D3">
              <w:rPr>
                <w:szCs w:val="21"/>
              </w:rPr>
              <w:t>2</w:t>
            </w:r>
            <w:r w:rsidRPr="00A103D3">
              <w:rPr>
                <w:szCs w:val="21"/>
              </w:rPr>
              <w:t>）</w:t>
            </w:r>
          </w:p>
        </w:tc>
        <w:tc>
          <w:tcPr>
            <w:tcW w:w="2664" w:type="dxa"/>
            <w:vAlign w:val="bottom"/>
          </w:tcPr>
          <w:p w:rsidR="006133CF" w:rsidRPr="00A103D3" w:rsidRDefault="00003446">
            <w:pPr>
              <w:overflowPunct w:val="0"/>
              <w:autoSpaceDE w:val="0"/>
              <w:autoSpaceDN w:val="0"/>
              <w:snapToGrid w:val="0"/>
              <w:ind w:left="1026" w:right="-15"/>
              <w:jc w:val="right"/>
              <w:rPr>
                <w:rFonts w:eastAsiaTheme="minorEastAsia"/>
                <w:szCs w:val="21"/>
              </w:rPr>
            </w:pPr>
            <w:r w:rsidRPr="00A103D3">
              <w:rPr>
                <w:rFonts w:eastAsiaTheme="minorEastAsia"/>
                <w:szCs w:val="21"/>
              </w:rPr>
              <w:t>1,604.56</w:t>
            </w:r>
          </w:p>
        </w:tc>
      </w:tr>
      <w:tr w:rsidR="006133CF" w:rsidRPr="00A103D3" w:rsidTr="00873B3C">
        <w:trPr>
          <w:trHeight w:val="80"/>
        </w:trPr>
        <w:tc>
          <w:tcPr>
            <w:tcW w:w="5812" w:type="dxa"/>
            <w:vAlign w:val="bottom"/>
          </w:tcPr>
          <w:p w:rsidR="006133CF" w:rsidRPr="00A103D3" w:rsidRDefault="00232474" w:rsidP="00003446">
            <w:pPr>
              <w:overflowPunct w:val="0"/>
              <w:autoSpaceDE w:val="0"/>
              <w:autoSpaceDN w:val="0"/>
              <w:snapToGrid w:val="0"/>
              <w:ind w:left="459"/>
              <w:jc w:val="left"/>
              <w:rPr>
                <w:szCs w:val="21"/>
              </w:rPr>
            </w:pPr>
            <w:r w:rsidRPr="00A103D3">
              <w:rPr>
                <w:szCs w:val="21"/>
              </w:rPr>
              <w:t>3</w:t>
            </w:r>
            <w:r w:rsidRPr="00A103D3">
              <w:rPr>
                <w:szCs w:val="21"/>
              </w:rPr>
              <w:t>、</w:t>
            </w:r>
            <w:r w:rsidR="00003446" w:rsidRPr="00A103D3">
              <w:rPr>
                <w:szCs w:val="21"/>
              </w:rPr>
              <w:t>交易性债券利息收入</w:t>
            </w:r>
            <w:r w:rsidRPr="00A103D3">
              <w:rPr>
                <w:szCs w:val="21"/>
              </w:rPr>
              <w:t>（注</w:t>
            </w:r>
            <w:r w:rsidRPr="00A103D3">
              <w:rPr>
                <w:szCs w:val="21"/>
              </w:rPr>
              <w:t>3</w:t>
            </w:r>
            <w:r w:rsidRPr="00A103D3">
              <w:rPr>
                <w:szCs w:val="21"/>
              </w:rPr>
              <w:t>）</w:t>
            </w:r>
            <w:r w:rsidRPr="00A103D3">
              <w:rPr>
                <w:szCs w:val="21"/>
              </w:rPr>
              <w:t xml:space="preserve"> </w:t>
            </w:r>
          </w:p>
        </w:tc>
        <w:tc>
          <w:tcPr>
            <w:tcW w:w="2664" w:type="dxa"/>
            <w:vAlign w:val="bottom"/>
          </w:tcPr>
          <w:p w:rsidR="006133CF" w:rsidRPr="00A103D3" w:rsidRDefault="00003446" w:rsidP="00873B3C">
            <w:pPr>
              <w:overflowPunct w:val="0"/>
              <w:autoSpaceDE w:val="0"/>
              <w:autoSpaceDN w:val="0"/>
              <w:snapToGrid w:val="0"/>
              <w:ind w:left="1026" w:right="-15"/>
              <w:jc w:val="right"/>
              <w:rPr>
                <w:rFonts w:eastAsiaTheme="minorEastAsia"/>
                <w:szCs w:val="21"/>
              </w:rPr>
            </w:pPr>
            <w:r w:rsidRPr="00A103D3">
              <w:rPr>
                <w:rFonts w:eastAsiaTheme="minorEastAsia"/>
                <w:szCs w:val="21"/>
              </w:rPr>
              <w:t>34.85</w:t>
            </w:r>
          </w:p>
        </w:tc>
      </w:tr>
      <w:tr w:rsidR="003F27AD" w:rsidRPr="00A103D3" w:rsidTr="00873B3C">
        <w:trPr>
          <w:trHeight w:val="80"/>
        </w:trPr>
        <w:tc>
          <w:tcPr>
            <w:tcW w:w="5812" w:type="dxa"/>
            <w:vAlign w:val="bottom"/>
          </w:tcPr>
          <w:p w:rsidR="003F27AD" w:rsidRPr="00A103D3" w:rsidRDefault="003F27AD">
            <w:pPr>
              <w:overflowPunct w:val="0"/>
              <w:autoSpaceDE w:val="0"/>
              <w:autoSpaceDN w:val="0"/>
              <w:snapToGrid w:val="0"/>
              <w:ind w:left="459"/>
              <w:jc w:val="left"/>
              <w:rPr>
                <w:szCs w:val="21"/>
              </w:rPr>
            </w:pPr>
            <w:r w:rsidRPr="00A103D3">
              <w:rPr>
                <w:szCs w:val="21"/>
              </w:rPr>
              <w:t>4</w:t>
            </w:r>
            <w:r w:rsidRPr="00A103D3">
              <w:rPr>
                <w:szCs w:val="21"/>
              </w:rPr>
              <w:t>、股利收入</w:t>
            </w:r>
            <w:r w:rsidR="00A84B66" w:rsidRPr="00A103D3">
              <w:rPr>
                <w:szCs w:val="21"/>
              </w:rPr>
              <w:t>（注</w:t>
            </w:r>
            <w:r w:rsidR="00A84B66" w:rsidRPr="00A103D3">
              <w:rPr>
                <w:szCs w:val="21"/>
              </w:rPr>
              <w:t>4</w:t>
            </w:r>
            <w:r w:rsidR="00A84B66" w:rsidRPr="00A103D3">
              <w:rPr>
                <w:szCs w:val="21"/>
              </w:rPr>
              <w:t>）</w:t>
            </w:r>
          </w:p>
        </w:tc>
        <w:tc>
          <w:tcPr>
            <w:tcW w:w="2664" w:type="dxa"/>
            <w:vAlign w:val="bottom"/>
          </w:tcPr>
          <w:p w:rsidR="003F27AD" w:rsidRPr="00A103D3" w:rsidRDefault="003F27AD" w:rsidP="00873B3C">
            <w:pPr>
              <w:overflowPunct w:val="0"/>
              <w:autoSpaceDE w:val="0"/>
              <w:autoSpaceDN w:val="0"/>
              <w:snapToGrid w:val="0"/>
              <w:ind w:left="1026" w:right="-15"/>
              <w:jc w:val="right"/>
              <w:rPr>
                <w:rFonts w:eastAsiaTheme="minorEastAsia"/>
                <w:szCs w:val="21"/>
              </w:rPr>
            </w:pPr>
            <w:r w:rsidRPr="00A103D3">
              <w:rPr>
                <w:rFonts w:eastAsiaTheme="minorEastAsia"/>
                <w:szCs w:val="21"/>
              </w:rPr>
              <w:t>-19.13</w:t>
            </w:r>
          </w:p>
        </w:tc>
      </w:tr>
      <w:tr w:rsidR="006133CF" w:rsidRPr="00A103D3" w:rsidTr="00873B3C">
        <w:trPr>
          <w:trHeight w:val="80"/>
        </w:trPr>
        <w:tc>
          <w:tcPr>
            <w:tcW w:w="5812" w:type="dxa"/>
            <w:vAlign w:val="bottom"/>
          </w:tcPr>
          <w:p w:rsidR="006133CF" w:rsidRPr="00A103D3" w:rsidRDefault="006133CF" w:rsidP="00873B3C">
            <w:pPr>
              <w:overflowPunct w:val="0"/>
              <w:autoSpaceDE w:val="0"/>
              <w:autoSpaceDN w:val="0"/>
              <w:snapToGrid w:val="0"/>
              <w:jc w:val="left"/>
              <w:rPr>
                <w:szCs w:val="21"/>
              </w:rPr>
            </w:pPr>
            <w:r w:rsidRPr="00A103D3">
              <w:rPr>
                <w:szCs w:val="21"/>
              </w:rPr>
              <w:t>清算收入小计</w:t>
            </w:r>
          </w:p>
        </w:tc>
        <w:tc>
          <w:tcPr>
            <w:tcW w:w="2664" w:type="dxa"/>
            <w:vAlign w:val="bottom"/>
          </w:tcPr>
          <w:p w:rsidR="006133CF" w:rsidRPr="00A103D3" w:rsidRDefault="001B4D8D" w:rsidP="00873B3C">
            <w:pPr>
              <w:overflowPunct w:val="0"/>
              <w:autoSpaceDE w:val="0"/>
              <w:autoSpaceDN w:val="0"/>
              <w:snapToGrid w:val="0"/>
              <w:ind w:left="1026" w:right="-15"/>
              <w:jc w:val="right"/>
              <w:rPr>
                <w:rFonts w:eastAsiaTheme="minorEastAsia"/>
                <w:szCs w:val="21"/>
              </w:rPr>
            </w:pPr>
            <w:r w:rsidRPr="00A103D3">
              <w:rPr>
                <w:rFonts w:eastAsiaTheme="minorEastAsia"/>
                <w:szCs w:val="21"/>
              </w:rPr>
              <w:t>1,958.70</w:t>
            </w:r>
          </w:p>
        </w:tc>
      </w:tr>
      <w:tr w:rsidR="006133CF" w:rsidRPr="00A103D3" w:rsidTr="00873B3C">
        <w:trPr>
          <w:trHeight w:val="80"/>
        </w:trPr>
        <w:tc>
          <w:tcPr>
            <w:tcW w:w="5812" w:type="dxa"/>
            <w:vAlign w:val="bottom"/>
          </w:tcPr>
          <w:p w:rsidR="006133CF" w:rsidRPr="00A103D3" w:rsidRDefault="006133CF" w:rsidP="00873B3C">
            <w:pPr>
              <w:overflowPunct w:val="0"/>
              <w:autoSpaceDE w:val="0"/>
              <w:autoSpaceDN w:val="0"/>
              <w:snapToGrid w:val="0"/>
              <w:jc w:val="left"/>
              <w:rPr>
                <w:szCs w:val="21"/>
              </w:rPr>
            </w:pPr>
            <w:r w:rsidRPr="00A103D3">
              <w:rPr>
                <w:szCs w:val="21"/>
              </w:rPr>
              <w:t>二、清算费用</w:t>
            </w:r>
          </w:p>
        </w:tc>
        <w:tc>
          <w:tcPr>
            <w:tcW w:w="2664" w:type="dxa"/>
            <w:vAlign w:val="bottom"/>
          </w:tcPr>
          <w:p w:rsidR="006133CF" w:rsidRPr="00A103D3" w:rsidRDefault="006133CF" w:rsidP="00873B3C">
            <w:pPr>
              <w:overflowPunct w:val="0"/>
              <w:autoSpaceDE w:val="0"/>
              <w:autoSpaceDN w:val="0"/>
              <w:snapToGrid w:val="0"/>
              <w:ind w:left="1026" w:right="-15"/>
              <w:jc w:val="right"/>
              <w:rPr>
                <w:rFonts w:eastAsiaTheme="minorEastAsia"/>
                <w:szCs w:val="21"/>
              </w:rPr>
            </w:pPr>
          </w:p>
        </w:tc>
      </w:tr>
      <w:tr w:rsidR="006133CF" w:rsidRPr="00A103D3" w:rsidTr="00873B3C">
        <w:trPr>
          <w:trHeight w:val="80"/>
        </w:trPr>
        <w:tc>
          <w:tcPr>
            <w:tcW w:w="5812" w:type="dxa"/>
            <w:vAlign w:val="bottom"/>
          </w:tcPr>
          <w:p w:rsidR="006133CF" w:rsidRPr="00A103D3" w:rsidRDefault="006133CF">
            <w:pPr>
              <w:overflowPunct w:val="0"/>
              <w:autoSpaceDE w:val="0"/>
              <w:autoSpaceDN w:val="0"/>
              <w:snapToGrid w:val="0"/>
              <w:jc w:val="left"/>
              <w:rPr>
                <w:szCs w:val="21"/>
              </w:rPr>
            </w:pPr>
            <w:r w:rsidRPr="00A103D3">
              <w:rPr>
                <w:szCs w:val="21"/>
              </w:rPr>
              <w:t xml:space="preserve">        </w:t>
            </w:r>
            <w:r w:rsidR="00A84B66" w:rsidRPr="00A103D3">
              <w:rPr>
                <w:szCs w:val="21"/>
              </w:rPr>
              <w:t>1</w:t>
            </w:r>
            <w:r w:rsidRPr="00A103D3">
              <w:rPr>
                <w:szCs w:val="21"/>
              </w:rPr>
              <w:t>、其他费用（注</w:t>
            </w:r>
            <w:r w:rsidR="0069000C" w:rsidRPr="00A103D3">
              <w:rPr>
                <w:szCs w:val="21"/>
              </w:rPr>
              <w:t>5</w:t>
            </w:r>
            <w:r w:rsidRPr="00A103D3">
              <w:rPr>
                <w:szCs w:val="21"/>
              </w:rPr>
              <w:t>）</w:t>
            </w:r>
          </w:p>
        </w:tc>
        <w:tc>
          <w:tcPr>
            <w:tcW w:w="2664" w:type="dxa"/>
            <w:vAlign w:val="bottom"/>
          </w:tcPr>
          <w:p w:rsidR="006133CF" w:rsidRPr="00A103D3" w:rsidRDefault="0069000C" w:rsidP="00873B3C">
            <w:pPr>
              <w:overflowPunct w:val="0"/>
              <w:autoSpaceDE w:val="0"/>
              <w:autoSpaceDN w:val="0"/>
              <w:snapToGrid w:val="0"/>
              <w:ind w:left="1026" w:right="-15"/>
              <w:jc w:val="right"/>
              <w:rPr>
                <w:rFonts w:eastAsiaTheme="minorEastAsia"/>
                <w:szCs w:val="21"/>
              </w:rPr>
            </w:pPr>
            <w:r w:rsidRPr="00A103D3">
              <w:rPr>
                <w:rFonts w:eastAsiaTheme="minorEastAsia"/>
                <w:szCs w:val="21"/>
              </w:rPr>
              <w:t>20.00</w:t>
            </w:r>
          </w:p>
        </w:tc>
      </w:tr>
      <w:tr w:rsidR="006133CF" w:rsidRPr="00A103D3" w:rsidTr="00873B3C">
        <w:trPr>
          <w:trHeight w:val="80"/>
        </w:trPr>
        <w:tc>
          <w:tcPr>
            <w:tcW w:w="5812" w:type="dxa"/>
            <w:vAlign w:val="bottom"/>
          </w:tcPr>
          <w:p w:rsidR="006133CF" w:rsidRPr="00A103D3" w:rsidRDefault="006133CF" w:rsidP="00003446">
            <w:pPr>
              <w:overflowPunct w:val="0"/>
              <w:autoSpaceDE w:val="0"/>
              <w:autoSpaceDN w:val="0"/>
              <w:snapToGrid w:val="0"/>
              <w:jc w:val="left"/>
              <w:rPr>
                <w:szCs w:val="21"/>
              </w:rPr>
            </w:pPr>
            <w:r w:rsidRPr="00A103D3">
              <w:rPr>
                <w:szCs w:val="21"/>
              </w:rPr>
              <w:t>清算费用小计</w:t>
            </w:r>
          </w:p>
        </w:tc>
        <w:tc>
          <w:tcPr>
            <w:tcW w:w="2664" w:type="dxa"/>
            <w:vAlign w:val="bottom"/>
          </w:tcPr>
          <w:p w:rsidR="006133CF" w:rsidRPr="00A103D3" w:rsidRDefault="00032878" w:rsidP="00873B3C">
            <w:pPr>
              <w:overflowPunct w:val="0"/>
              <w:autoSpaceDE w:val="0"/>
              <w:autoSpaceDN w:val="0"/>
              <w:snapToGrid w:val="0"/>
              <w:ind w:left="1026" w:right="-15"/>
              <w:jc w:val="right"/>
              <w:rPr>
                <w:rFonts w:eastAsiaTheme="minorEastAsia"/>
                <w:szCs w:val="21"/>
              </w:rPr>
            </w:pPr>
            <w:r w:rsidRPr="00A103D3">
              <w:rPr>
                <w:rFonts w:eastAsiaTheme="minorEastAsia"/>
                <w:szCs w:val="21"/>
              </w:rPr>
              <w:t>20.00</w:t>
            </w:r>
          </w:p>
        </w:tc>
      </w:tr>
      <w:tr w:rsidR="006133CF" w:rsidRPr="00A103D3" w:rsidTr="00873B3C">
        <w:trPr>
          <w:trHeight w:val="80"/>
        </w:trPr>
        <w:tc>
          <w:tcPr>
            <w:tcW w:w="5812" w:type="dxa"/>
            <w:vAlign w:val="bottom"/>
          </w:tcPr>
          <w:p w:rsidR="006133CF" w:rsidRPr="00A103D3" w:rsidRDefault="006133CF" w:rsidP="00873B3C">
            <w:pPr>
              <w:overflowPunct w:val="0"/>
              <w:autoSpaceDE w:val="0"/>
              <w:autoSpaceDN w:val="0"/>
              <w:snapToGrid w:val="0"/>
              <w:jc w:val="left"/>
              <w:rPr>
                <w:szCs w:val="21"/>
              </w:rPr>
            </w:pPr>
            <w:r w:rsidRPr="00A103D3">
              <w:rPr>
                <w:szCs w:val="21"/>
              </w:rPr>
              <w:t>三、清算净收益</w:t>
            </w:r>
          </w:p>
        </w:tc>
        <w:tc>
          <w:tcPr>
            <w:tcW w:w="2664" w:type="dxa"/>
            <w:vAlign w:val="bottom"/>
          </w:tcPr>
          <w:p w:rsidR="006133CF" w:rsidRPr="00A103D3" w:rsidRDefault="0069000C" w:rsidP="00873B3C">
            <w:pPr>
              <w:overflowPunct w:val="0"/>
              <w:autoSpaceDE w:val="0"/>
              <w:autoSpaceDN w:val="0"/>
              <w:snapToGrid w:val="0"/>
              <w:ind w:left="1026" w:right="-15"/>
              <w:jc w:val="right"/>
              <w:rPr>
                <w:rFonts w:eastAsiaTheme="minorEastAsia"/>
                <w:szCs w:val="21"/>
              </w:rPr>
            </w:pPr>
            <w:r w:rsidRPr="00A103D3">
              <w:rPr>
                <w:rFonts w:eastAsiaTheme="minorEastAsia"/>
                <w:szCs w:val="21"/>
              </w:rPr>
              <w:t>1,938.70</w:t>
            </w:r>
          </w:p>
        </w:tc>
      </w:tr>
    </w:tbl>
    <w:p w:rsidR="006047F9" w:rsidRPr="00A103D3" w:rsidRDefault="00913BC3" w:rsidP="00A5019E">
      <w:pPr>
        <w:overflowPunct w:val="0"/>
        <w:spacing w:line="360" w:lineRule="auto"/>
        <w:ind w:firstLineChars="200" w:firstLine="420"/>
        <w:rPr>
          <w:rFonts w:eastAsiaTheme="majorEastAsia"/>
          <w:szCs w:val="21"/>
        </w:rPr>
      </w:pPr>
      <w:r w:rsidRPr="00A103D3">
        <w:rPr>
          <w:rFonts w:eastAsiaTheme="majorEastAsia"/>
          <w:szCs w:val="21"/>
        </w:rPr>
        <w:t>表中相关项目具体说明如下：</w:t>
      </w:r>
    </w:p>
    <w:p w:rsidR="009062F8" w:rsidRPr="00A103D3" w:rsidRDefault="009062F8" w:rsidP="009062F8">
      <w:pPr>
        <w:spacing w:line="360" w:lineRule="auto"/>
        <w:ind w:firstLineChars="200" w:firstLine="420"/>
        <w:rPr>
          <w:szCs w:val="21"/>
        </w:rPr>
      </w:pPr>
      <w:r w:rsidRPr="00A103D3">
        <w:rPr>
          <w:rFonts w:eastAsiaTheme="majorEastAsia"/>
          <w:szCs w:val="21"/>
        </w:rPr>
        <w:t>注</w:t>
      </w:r>
      <w:r w:rsidRPr="00A103D3">
        <w:rPr>
          <w:rFonts w:eastAsiaTheme="majorEastAsia"/>
          <w:szCs w:val="21"/>
        </w:rPr>
        <w:t>1</w:t>
      </w:r>
      <w:r w:rsidRPr="00A103D3">
        <w:rPr>
          <w:rFonts w:eastAsiaTheme="majorEastAsia"/>
          <w:szCs w:val="21"/>
        </w:rPr>
        <w:t>：</w:t>
      </w:r>
      <w:r w:rsidR="00003446" w:rsidRPr="00A103D3">
        <w:t>利息收入系以当前适用的利率计提的自</w:t>
      </w:r>
      <w:r w:rsidR="00003446" w:rsidRPr="00A103D3">
        <w:t xml:space="preserve"> 2024 </w:t>
      </w:r>
      <w:r w:rsidR="00003446" w:rsidRPr="00A103D3">
        <w:t>年</w:t>
      </w:r>
      <w:r w:rsidR="00003446" w:rsidRPr="00A103D3">
        <w:t xml:space="preserve"> 12</w:t>
      </w:r>
      <w:r w:rsidR="00003446" w:rsidRPr="00A103D3">
        <w:t>月</w:t>
      </w:r>
      <w:r w:rsidR="00003446" w:rsidRPr="00A103D3">
        <w:t xml:space="preserve">6 </w:t>
      </w:r>
      <w:r w:rsidR="00003446" w:rsidRPr="00A103D3">
        <w:t>日起至</w:t>
      </w:r>
      <w:r w:rsidR="00003446" w:rsidRPr="00A103D3">
        <w:t xml:space="preserve"> 2025 </w:t>
      </w:r>
      <w:r w:rsidR="00003446" w:rsidRPr="00A103D3">
        <w:t>年</w:t>
      </w:r>
      <w:r w:rsidR="00003446" w:rsidRPr="00A103D3">
        <w:t xml:space="preserve"> 1</w:t>
      </w:r>
      <w:r w:rsidR="00003446" w:rsidRPr="00A103D3">
        <w:t>月</w:t>
      </w:r>
      <w:r w:rsidR="00003446" w:rsidRPr="00A103D3">
        <w:t xml:space="preserve"> 7</w:t>
      </w:r>
      <w:r w:rsidR="00003446" w:rsidRPr="00A103D3">
        <w:t>日止清算报告期间的银行活期存款利息收入、结算备付金利息收入及存出保证金利息收入。</w:t>
      </w:r>
    </w:p>
    <w:p w:rsidR="0069000C" w:rsidRPr="00A103D3" w:rsidRDefault="0069000C" w:rsidP="00DB6620">
      <w:pPr>
        <w:spacing w:line="360" w:lineRule="auto"/>
        <w:ind w:firstLineChars="200" w:firstLine="420"/>
        <w:rPr>
          <w:szCs w:val="21"/>
        </w:rPr>
      </w:pPr>
      <w:r w:rsidRPr="00A103D3">
        <w:rPr>
          <w:szCs w:val="21"/>
        </w:rPr>
        <w:t>注</w:t>
      </w:r>
      <w:r w:rsidRPr="00A103D3">
        <w:rPr>
          <w:szCs w:val="21"/>
        </w:rPr>
        <w:t>2</w:t>
      </w:r>
      <w:r w:rsidRPr="00A103D3">
        <w:rPr>
          <w:szCs w:val="21"/>
        </w:rPr>
        <w:t>：</w:t>
      </w:r>
      <w:r w:rsidR="00DB6620" w:rsidRPr="00A103D3">
        <w:rPr>
          <w:szCs w:val="21"/>
        </w:rPr>
        <w:t>处置交易性金融资产产生的净收益系清算期间卖出股票、债券</w:t>
      </w:r>
      <w:r w:rsidR="00003446" w:rsidRPr="00A103D3">
        <w:rPr>
          <w:rFonts w:hint="eastAsia"/>
          <w:szCs w:val="21"/>
        </w:rPr>
        <w:t>成交</w:t>
      </w:r>
      <w:r w:rsidR="00DB6620" w:rsidRPr="00A103D3">
        <w:rPr>
          <w:rFonts w:hint="eastAsia"/>
          <w:szCs w:val="21"/>
        </w:rPr>
        <w:t>金额减去卖出股票、债券最后运作日的股票、债券</w:t>
      </w:r>
      <w:r w:rsidR="00364520" w:rsidRPr="00A103D3">
        <w:rPr>
          <w:rFonts w:hint="eastAsia"/>
          <w:szCs w:val="21"/>
        </w:rPr>
        <w:t>估值总额及</w:t>
      </w:r>
      <w:r w:rsidR="00DB6620" w:rsidRPr="00A103D3">
        <w:rPr>
          <w:rFonts w:hint="eastAsia"/>
          <w:szCs w:val="21"/>
        </w:rPr>
        <w:t>卖</w:t>
      </w:r>
      <w:r w:rsidR="00364520" w:rsidRPr="00A103D3">
        <w:rPr>
          <w:rFonts w:hint="eastAsia"/>
          <w:szCs w:val="21"/>
        </w:rPr>
        <w:t>出</w:t>
      </w:r>
      <w:r w:rsidR="00DB6620" w:rsidRPr="00A103D3">
        <w:rPr>
          <w:rFonts w:hint="eastAsia"/>
          <w:szCs w:val="21"/>
        </w:rPr>
        <w:t>股票</w:t>
      </w:r>
      <w:r w:rsidR="00003446" w:rsidRPr="00A103D3">
        <w:rPr>
          <w:rFonts w:hint="eastAsia"/>
          <w:szCs w:val="21"/>
        </w:rPr>
        <w:t>、债券</w:t>
      </w:r>
      <w:r w:rsidR="00DB6620" w:rsidRPr="00A103D3">
        <w:rPr>
          <w:rFonts w:hint="eastAsia"/>
          <w:szCs w:val="21"/>
        </w:rPr>
        <w:t>产生的交易费用后的差额</w:t>
      </w:r>
      <w:r w:rsidR="00DB6620" w:rsidRPr="00A103D3">
        <w:rPr>
          <w:szCs w:val="21"/>
        </w:rPr>
        <w:t>。</w:t>
      </w:r>
    </w:p>
    <w:p w:rsidR="0069000C" w:rsidRPr="00A103D3" w:rsidRDefault="0069000C" w:rsidP="0069000C">
      <w:pPr>
        <w:spacing w:line="360" w:lineRule="auto"/>
        <w:ind w:firstLineChars="200" w:firstLine="420"/>
        <w:rPr>
          <w:szCs w:val="21"/>
        </w:rPr>
      </w:pPr>
      <w:r w:rsidRPr="00A103D3">
        <w:rPr>
          <w:szCs w:val="21"/>
        </w:rPr>
        <w:t>注</w:t>
      </w:r>
      <w:r w:rsidRPr="00A103D3">
        <w:rPr>
          <w:szCs w:val="21"/>
        </w:rPr>
        <w:t>3</w:t>
      </w:r>
      <w:r w:rsidRPr="00A103D3">
        <w:rPr>
          <w:szCs w:val="21"/>
        </w:rPr>
        <w:t>：</w:t>
      </w:r>
      <w:r w:rsidR="00003446" w:rsidRPr="00A103D3">
        <w:rPr>
          <w:szCs w:val="21"/>
        </w:rPr>
        <w:t>交易性债券利息收入系清算期间持有的债券产生的利息收入。</w:t>
      </w:r>
    </w:p>
    <w:p w:rsidR="0069000C" w:rsidRPr="00A103D3" w:rsidRDefault="0069000C" w:rsidP="0069000C">
      <w:pPr>
        <w:spacing w:line="360" w:lineRule="auto"/>
        <w:ind w:firstLineChars="200" w:firstLine="420"/>
        <w:rPr>
          <w:szCs w:val="21"/>
        </w:rPr>
      </w:pPr>
      <w:r w:rsidRPr="00A103D3">
        <w:rPr>
          <w:rFonts w:eastAsiaTheme="majorEastAsia"/>
          <w:szCs w:val="21"/>
        </w:rPr>
        <w:t>注</w:t>
      </w:r>
      <w:r w:rsidRPr="00A103D3">
        <w:rPr>
          <w:rFonts w:eastAsiaTheme="majorEastAsia"/>
          <w:szCs w:val="21"/>
        </w:rPr>
        <w:t>4</w:t>
      </w:r>
      <w:r w:rsidRPr="00A103D3">
        <w:rPr>
          <w:rFonts w:eastAsiaTheme="majorEastAsia"/>
          <w:szCs w:val="21"/>
        </w:rPr>
        <w:t>：</w:t>
      </w:r>
      <w:r w:rsidR="0075664D" w:rsidRPr="00A103D3">
        <w:rPr>
          <w:szCs w:val="21"/>
        </w:rPr>
        <w:t xml:space="preserve"> </w:t>
      </w:r>
      <w:r w:rsidR="0075664D" w:rsidRPr="00A103D3">
        <w:rPr>
          <w:szCs w:val="21"/>
        </w:rPr>
        <w:t>股利收入系因红利补税冲减的股利收入金额</w:t>
      </w:r>
      <w:r w:rsidR="00DE356A" w:rsidRPr="00A103D3">
        <w:rPr>
          <w:szCs w:val="21"/>
        </w:rPr>
        <w:t>。</w:t>
      </w:r>
    </w:p>
    <w:p w:rsidR="0069000C" w:rsidRPr="00A103D3" w:rsidRDefault="0069000C">
      <w:pPr>
        <w:spacing w:line="360" w:lineRule="auto"/>
        <w:ind w:firstLineChars="200" w:firstLine="420"/>
        <w:rPr>
          <w:szCs w:val="21"/>
        </w:rPr>
      </w:pPr>
      <w:r w:rsidRPr="00A103D3">
        <w:rPr>
          <w:rFonts w:eastAsiaTheme="majorEastAsia"/>
          <w:szCs w:val="21"/>
        </w:rPr>
        <w:t>注</w:t>
      </w:r>
      <w:r w:rsidR="001C1E6E" w:rsidRPr="00A103D3">
        <w:rPr>
          <w:rFonts w:eastAsiaTheme="majorEastAsia"/>
          <w:szCs w:val="21"/>
        </w:rPr>
        <w:t>5</w:t>
      </w:r>
      <w:r w:rsidRPr="00A103D3">
        <w:rPr>
          <w:szCs w:val="21"/>
        </w:rPr>
        <w:t>：其他费用系清算期间产生的银行</w:t>
      </w:r>
      <w:r w:rsidR="00003446" w:rsidRPr="00A103D3">
        <w:rPr>
          <w:szCs w:val="21"/>
        </w:rPr>
        <w:t>手续费</w:t>
      </w:r>
      <w:r w:rsidR="00291382">
        <w:rPr>
          <w:rFonts w:hint="eastAsia"/>
          <w:szCs w:val="21"/>
        </w:rPr>
        <w:t>，</w:t>
      </w:r>
      <w:r w:rsidR="00003446" w:rsidRPr="00A103D3">
        <w:rPr>
          <w:szCs w:val="21"/>
        </w:rPr>
        <w:t>已于</w:t>
      </w:r>
      <w:r w:rsidR="00003446" w:rsidRPr="00A103D3">
        <w:rPr>
          <w:szCs w:val="21"/>
        </w:rPr>
        <w:t>2024</w:t>
      </w:r>
      <w:r w:rsidR="00003446" w:rsidRPr="00A103D3">
        <w:rPr>
          <w:szCs w:val="21"/>
        </w:rPr>
        <w:t>年</w:t>
      </w:r>
      <w:r w:rsidR="00003446" w:rsidRPr="00A103D3">
        <w:rPr>
          <w:szCs w:val="21"/>
        </w:rPr>
        <w:t>12</w:t>
      </w:r>
      <w:r w:rsidR="00003446" w:rsidRPr="00A103D3">
        <w:rPr>
          <w:szCs w:val="21"/>
        </w:rPr>
        <w:t>月</w:t>
      </w:r>
      <w:r w:rsidR="00003446" w:rsidRPr="00A103D3">
        <w:rPr>
          <w:szCs w:val="21"/>
        </w:rPr>
        <w:t>25</w:t>
      </w:r>
      <w:r w:rsidR="00003446" w:rsidRPr="00A103D3">
        <w:rPr>
          <w:szCs w:val="21"/>
        </w:rPr>
        <w:t>日全部支付</w:t>
      </w:r>
      <w:r w:rsidRPr="00A103D3">
        <w:rPr>
          <w:szCs w:val="21"/>
        </w:rPr>
        <w:t>。</w:t>
      </w:r>
    </w:p>
    <w:p w:rsidR="00414EA8" w:rsidRPr="00A103D3" w:rsidRDefault="00296416" w:rsidP="00A5019E">
      <w:pPr>
        <w:overflowPunct w:val="0"/>
        <w:spacing w:line="360" w:lineRule="auto"/>
        <w:ind w:firstLineChars="200" w:firstLine="480"/>
        <w:rPr>
          <w:rFonts w:eastAsiaTheme="majorEastAsia"/>
          <w:sz w:val="24"/>
        </w:rPr>
      </w:pPr>
      <w:r w:rsidRPr="00A103D3">
        <w:rPr>
          <w:rFonts w:eastAsiaTheme="majorEastAsia"/>
          <w:sz w:val="24"/>
        </w:rPr>
        <w:t>（</w:t>
      </w:r>
      <w:r w:rsidR="00050C40" w:rsidRPr="00A103D3">
        <w:rPr>
          <w:rFonts w:eastAsiaTheme="majorEastAsia"/>
          <w:sz w:val="24"/>
        </w:rPr>
        <w:t>五</w:t>
      </w:r>
      <w:r w:rsidRPr="00A103D3">
        <w:rPr>
          <w:rFonts w:eastAsiaTheme="majorEastAsia"/>
          <w:sz w:val="24"/>
        </w:rPr>
        <w:t>）</w:t>
      </w:r>
      <w:r w:rsidR="006D7145" w:rsidRPr="00A103D3">
        <w:rPr>
          <w:rFonts w:eastAsiaTheme="majorEastAsia"/>
          <w:sz w:val="24"/>
        </w:rPr>
        <w:t>截至</w:t>
      </w:r>
      <w:r w:rsidR="00903847" w:rsidRPr="00A103D3">
        <w:rPr>
          <w:rFonts w:eastAsiaTheme="majorEastAsia"/>
          <w:sz w:val="24"/>
        </w:rPr>
        <w:t>本次</w:t>
      </w:r>
      <w:r w:rsidR="006D7145" w:rsidRPr="00A103D3">
        <w:rPr>
          <w:rFonts w:eastAsiaTheme="majorEastAsia"/>
          <w:sz w:val="24"/>
        </w:rPr>
        <w:t>清算</w:t>
      </w:r>
      <w:r w:rsidR="0014744F" w:rsidRPr="00A103D3">
        <w:rPr>
          <w:rFonts w:eastAsiaTheme="majorEastAsia"/>
          <w:sz w:val="24"/>
        </w:rPr>
        <w:t>报告</w:t>
      </w:r>
      <w:r w:rsidR="006D7145" w:rsidRPr="00A103D3">
        <w:rPr>
          <w:rFonts w:eastAsiaTheme="majorEastAsia"/>
          <w:sz w:val="24"/>
        </w:rPr>
        <w:t>期结束日</w:t>
      </w:r>
      <w:r w:rsidR="00B97498" w:rsidRPr="00A103D3">
        <w:rPr>
          <w:rFonts w:eastAsiaTheme="majorEastAsia"/>
          <w:sz w:val="24"/>
        </w:rPr>
        <w:t>的剩余财</w:t>
      </w:r>
      <w:r w:rsidR="002E2E3D" w:rsidRPr="00A103D3">
        <w:rPr>
          <w:rFonts w:eastAsiaTheme="majorEastAsia"/>
          <w:sz w:val="24"/>
        </w:rPr>
        <w:t>产情况</w:t>
      </w:r>
    </w:p>
    <w:p w:rsidR="002E2E3D" w:rsidRPr="00A103D3" w:rsidRDefault="002E2E3D" w:rsidP="00A5019E">
      <w:pPr>
        <w:overflowPunct w:val="0"/>
        <w:spacing w:line="360" w:lineRule="auto"/>
        <w:ind w:rightChars="2" w:right="4"/>
        <w:jc w:val="right"/>
        <w:rPr>
          <w:rFonts w:eastAsiaTheme="majorEastAsia"/>
          <w:sz w:val="22"/>
          <w:szCs w:val="22"/>
        </w:rPr>
      </w:pPr>
      <w:r w:rsidRPr="00A103D3">
        <w:rPr>
          <w:rFonts w:eastAsiaTheme="majorEastAsia"/>
          <w:sz w:val="22"/>
          <w:szCs w:val="22"/>
        </w:rPr>
        <w:t>单位：人民币元</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7"/>
        <w:gridCol w:w="3117"/>
      </w:tblGrid>
      <w:tr w:rsidR="00681391" w:rsidRPr="00A103D3" w:rsidTr="009B36C8">
        <w:tc>
          <w:tcPr>
            <w:tcW w:w="5387" w:type="dxa"/>
          </w:tcPr>
          <w:p w:rsidR="006E7570" w:rsidRPr="00A103D3" w:rsidRDefault="006E7570" w:rsidP="00A5019E">
            <w:pPr>
              <w:overflowPunct w:val="0"/>
              <w:jc w:val="center"/>
              <w:rPr>
                <w:rFonts w:eastAsiaTheme="majorEastAsia"/>
                <w:szCs w:val="21"/>
              </w:rPr>
            </w:pPr>
            <w:r w:rsidRPr="00A103D3">
              <w:rPr>
                <w:rFonts w:eastAsiaTheme="majorEastAsia"/>
                <w:szCs w:val="21"/>
              </w:rPr>
              <w:t>项目</w:t>
            </w:r>
          </w:p>
        </w:tc>
        <w:tc>
          <w:tcPr>
            <w:tcW w:w="3117" w:type="dxa"/>
          </w:tcPr>
          <w:p w:rsidR="006E7570" w:rsidRPr="00A103D3" w:rsidRDefault="006E7570" w:rsidP="00A5019E">
            <w:pPr>
              <w:overflowPunct w:val="0"/>
              <w:jc w:val="right"/>
              <w:rPr>
                <w:rFonts w:eastAsiaTheme="majorEastAsia"/>
                <w:szCs w:val="21"/>
              </w:rPr>
            </w:pPr>
            <w:r w:rsidRPr="00A103D3">
              <w:rPr>
                <w:rFonts w:eastAsiaTheme="majorEastAsia"/>
                <w:szCs w:val="21"/>
              </w:rPr>
              <w:t>金额</w:t>
            </w:r>
          </w:p>
        </w:tc>
      </w:tr>
      <w:tr w:rsidR="00681391" w:rsidRPr="00A103D3" w:rsidTr="009B36C8">
        <w:tc>
          <w:tcPr>
            <w:tcW w:w="5387" w:type="dxa"/>
          </w:tcPr>
          <w:p w:rsidR="006E7570" w:rsidRPr="00A103D3" w:rsidRDefault="006E7570" w:rsidP="00A95AAB">
            <w:pPr>
              <w:overflowPunct w:val="0"/>
              <w:autoSpaceDE w:val="0"/>
              <w:autoSpaceDN w:val="0"/>
              <w:snapToGrid w:val="0"/>
              <w:rPr>
                <w:rFonts w:eastAsiaTheme="majorEastAsia"/>
                <w:szCs w:val="21"/>
              </w:rPr>
            </w:pPr>
            <w:r w:rsidRPr="00A103D3">
              <w:rPr>
                <w:rFonts w:eastAsiaTheme="majorEastAsia"/>
                <w:szCs w:val="21"/>
              </w:rPr>
              <w:t>一、最后运作日</w:t>
            </w:r>
            <w:r w:rsidR="00A95AAB" w:rsidRPr="00A103D3">
              <w:rPr>
                <w:rFonts w:eastAsiaTheme="majorEastAsia"/>
                <w:szCs w:val="21"/>
              </w:rPr>
              <w:t>2024</w:t>
            </w:r>
            <w:r w:rsidR="00A95AAB" w:rsidRPr="00A103D3">
              <w:rPr>
                <w:rFonts w:eastAsiaTheme="majorEastAsia"/>
                <w:szCs w:val="21"/>
              </w:rPr>
              <w:t>年</w:t>
            </w:r>
            <w:r w:rsidR="00A95AAB" w:rsidRPr="00A103D3">
              <w:rPr>
                <w:rFonts w:eastAsiaTheme="majorEastAsia"/>
                <w:szCs w:val="21"/>
              </w:rPr>
              <w:t>12</w:t>
            </w:r>
            <w:r w:rsidR="00A95AAB" w:rsidRPr="00A103D3">
              <w:rPr>
                <w:rFonts w:eastAsiaTheme="majorEastAsia"/>
                <w:szCs w:val="21"/>
              </w:rPr>
              <w:t>月</w:t>
            </w:r>
            <w:r w:rsidR="00A95AAB" w:rsidRPr="00A103D3">
              <w:rPr>
                <w:rFonts w:eastAsiaTheme="majorEastAsia"/>
                <w:szCs w:val="21"/>
              </w:rPr>
              <w:t>5</w:t>
            </w:r>
            <w:r w:rsidR="00960A26" w:rsidRPr="00A103D3">
              <w:rPr>
                <w:rFonts w:eastAsiaTheme="majorEastAsia"/>
                <w:szCs w:val="21"/>
              </w:rPr>
              <w:t>日</w:t>
            </w:r>
            <w:r w:rsidRPr="00A103D3">
              <w:rPr>
                <w:rFonts w:eastAsiaTheme="majorEastAsia"/>
                <w:szCs w:val="21"/>
              </w:rPr>
              <w:t>基金净资产</w:t>
            </w:r>
          </w:p>
        </w:tc>
        <w:tc>
          <w:tcPr>
            <w:tcW w:w="3117" w:type="dxa"/>
            <w:vAlign w:val="center"/>
          </w:tcPr>
          <w:p w:rsidR="0002737A" w:rsidRPr="00A103D3" w:rsidRDefault="00151A9B" w:rsidP="00A5019E">
            <w:pPr>
              <w:overflowPunct w:val="0"/>
              <w:jc w:val="right"/>
              <w:rPr>
                <w:rFonts w:eastAsiaTheme="minorEastAsia"/>
                <w:szCs w:val="21"/>
              </w:rPr>
            </w:pPr>
            <w:r w:rsidRPr="00A103D3">
              <w:rPr>
                <w:rFonts w:eastAsiaTheme="minorEastAsia"/>
                <w:szCs w:val="21"/>
              </w:rPr>
              <w:t>1,005,171.32</w:t>
            </w:r>
          </w:p>
        </w:tc>
      </w:tr>
      <w:tr w:rsidR="00681391" w:rsidRPr="00A103D3" w:rsidTr="009B36C8">
        <w:tc>
          <w:tcPr>
            <w:tcW w:w="5387" w:type="dxa"/>
          </w:tcPr>
          <w:p w:rsidR="00474CA9" w:rsidRPr="00A103D3" w:rsidRDefault="00474CA9" w:rsidP="00A5019E">
            <w:pPr>
              <w:overflowPunct w:val="0"/>
              <w:autoSpaceDE w:val="0"/>
              <w:autoSpaceDN w:val="0"/>
              <w:snapToGrid w:val="0"/>
              <w:rPr>
                <w:rFonts w:eastAsiaTheme="majorEastAsia"/>
                <w:szCs w:val="21"/>
              </w:rPr>
            </w:pPr>
            <w:r w:rsidRPr="00A103D3">
              <w:rPr>
                <w:rFonts w:eastAsiaTheme="majorEastAsia"/>
                <w:szCs w:val="21"/>
              </w:rPr>
              <w:t>减：最后运作日有效赎回、转换转出申请对应赎回款</w:t>
            </w:r>
          </w:p>
        </w:tc>
        <w:tc>
          <w:tcPr>
            <w:tcW w:w="3117" w:type="dxa"/>
            <w:vAlign w:val="center"/>
          </w:tcPr>
          <w:p w:rsidR="00474CA9" w:rsidRPr="00A103D3" w:rsidDel="00474CA9" w:rsidRDefault="00151A9B" w:rsidP="00A5019E">
            <w:pPr>
              <w:overflowPunct w:val="0"/>
              <w:jc w:val="right"/>
              <w:rPr>
                <w:rFonts w:eastAsiaTheme="minorEastAsia"/>
                <w:szCs w:val="21"/>
              </w:rPr>
            </w:pPr>
            <w:r w:rsidRPr="00A103D3">
              <w:rPr>
                <w:rFonts w:eastAsiaTheme="minorEastAsia"/>
                <w:szCs w:val="21"/>
              </w:rPr>
              <w:t>31,353.11</w:t>
            </w:r>
          </w:p>
        </w:tc>
      </w:tr>
      <w:tr w:rsidR="00681391" w:rsidRPr="00A103D3" w:rsidTr="009B36C8">
        <w:tc>
          <w:tcPr>
            <w:tcW w:w="5387" w:type="dxa"/>
          </w:tcPr>
          <w:p w:rsidR="003F79C4" w:rsidRPr="00A103D3" w:rsidRDefault="003F79C4" w:rsidP="00A5019E">
            <w:pPr>
              <w:overflowPunct w:val="0"/>
              <w:autoSpaceDE w:val="0"/>
              <w:autoSpaceDN w:val="0"/>
              <w:snapToGrid w:val="0"/>
              <w:rPr>
                <w:rFonts w:eastAsiaTheme="majorEastAsia"/>
                <w:szCs w:val="21"/>
              </w:rPr>
            </w:pPr>
            <w:r w:rsidRPr="00A103D3">
              <w:rPr>
                <w:rFonts w:eastAsiaTheme="majorEastAsia"/>
                <w:szCs w:val="21"/>
              </w:rPr>
              <w:t>加：清算报告期间净收益</w:t>
            </w:r>
          </w:p>
        </w:tc>
        <w:tc>
          <w:tcPr>
            <w:tcW w:w="3117" w:type="dxa"/>
            <w:vAlign w:val="center"/>
          </w:tcPr>
          <w:p w:rsidR="003F79C4" w:rsidRPr="00A103D3" w:rsidRDefault="00151A9B" w:rsidP="00A5019E">
            <w:pPr>
              <w:overflowPunct w:val="0"/>
              <w:jc w:val="right"/>
              <w:rPr>
                <w:rFonts w:eastAsiaTheme="minorEastAsia"/>
                <w:szCs w:val="21"/>
              </w:rPr>
            </w:pPr>
            <w:r w:rsidRPr="00A103D3">
              <w:rPr>
                <w:rFonts w:eastAsiaTheme="minorEastAsia"/>
                <w:szCs w:val="21"/>
              </w:rPr>
              <w:t>1,938.70</w:t>
            </w:r>
          </w:p>
        </w:tc>
      </w:tr>
      <w:tr w:rsidR="00681391" w:rsidRPr="00A103D3" w:rsidTr="009B36C8">
        <w:trPr>
          <w:trHeight w:val="101"/>
        </w:trPr>
        <w:tc>
          <w:tcPr>
            <w:tcW w:w="5387" w:type="dxa"/>
          </w:tcPr>
          <w:p w:rsidR="00C77420" w:rsidRPr="00A103D3" w:rsidRDefault="00C77420" w:rsidP="00204805">
            <w:pPr>
              <w:overflowPunct w:val="0"/>
              <w:autoSpaceDE w:val="0"/>
              <w:autoSpaceDN w:val="0"/>
              <w:snapToGrid w:val="0"/>
              <w:rPr>
                <w:rFonts w:eastAsiaTheme="majorEastAsia"/>
                <w:szCs w:val="21"/>
              </w:rPr>
            </w:pPr>
            <w:r w:rsidRPr="00A103D3">
              <w:rPr>
                <w:rFonts w:eastAsiaTheme="majorEastAsia"/>
                <w:szCs w:val="21"/>
              </w:rPr>
              <w:t>二、</w:t>
            </w:r>
            <w:r w:rsidR="00A95AAB" w:rsidRPr="00A103D3">
              <w:rPr>
                <w:rFonts w:eastAsiaTheme="majorEastAsia"/>
                <w:szCs w:val="21"/>
              </w:rPr>
              <w:t>2025</w:t>
            </w:r>
            <w:r w:rsidR="00A95AAB" w:rsidRPr="00A103D3">
              <w:rPr>
                <w:rFonts w:eastAsiaTheme="majorEastAsia"/>
                <w:szCs w:val="21"/>
              </w:rPr>
              <w:t>年</w:t>
            </w:r>
            <w:r w:rsidR="00A95AAB" w:rsidRPr="00A103D3">
              <w:rPr>
                <w:rFonts w:eastAsiaTheme="majorEastAsia"/>
                <w:szCs w:val="21"/>
              </w:rPr>
              <w:t>1</w:t>
            </w:r>
            <w:r w:rsidR="00A95AAB" w:rsidRPr="00A103D3">
              <w:rPr>
                <w:rFonts w:eastAsiaTheme="majorEastAsia"/>
                <w:szCs w:val="21"/>
              </w:rPr>
              <w:t>月</w:t>
            </w:r>
            <w:r w:rsidR="00A95AAB" w:rsidRPr="00A103D3">
              <w:rPr>
                <w:rFonts w:eastAsiaTheme="majorEastAsia"/>
                <w:szCs w:val="21"/>
              </w:rPr>
              <w:t>7</w:t>
            </w:r>
            <w:r w:rsidR="00A95AAB" w:rsidRPr="00A103D3">
              <w:rPr>
                <w:rFonts w:eastAsiaTheme="majorEastAsia"/>
                <w:szCs w:val="21"/>
              </w:rPr>
              <w:t>日</w:t>
            </w:r>
            <w:r w:rsidRPr="00A103D3">
              <w:rPr>
                <w:rFonts w:eastAsiaTheme="majorEastAsia"/>
                <w:szCs w:val="21"/>
              </w:rPr>
              <w:t>基金净资产</w:t>
            </w:r>
          </w:p>
        </w:tc>
        <w:tc>
          <w:tcPr>
            <w:tcW w:w="3117" w:type="dxa"/>
            <w:vAlign w:val="center"/>
          </w:tcPr>
          <w:p w:rsidR="0002737A" w:rsidRPr="00A103D3" w:rsidRDefault="00151A9B" w:rsidP="00A5019E">
            <w:pPr>
              <w:overflowPunct w:val="0"/>
              <w:jc w:val="right"/>
              <w:rPr>
                <w:rFonts w:eastAsiaTheme="minorEastAsia"/>
                <w:szCs w:val="21"/>
              </w:rPr>
            </w:pPr>
            <w:r w:rsidRPr="00A103D3">
              <w:rPr>
                <w:rFonts w:eastAsiaTheme="minorEastAsia"/>
                <w:szCs w:val="21"/>
              </w:rPr>
              <w:t>975,756.91</w:t>
            </w:r>
          </w:p>
        </w:tc>
      </w:tr>
    </w:tbl>
    <w:p w:rsidR="00E958C5" w:rsidRPr="00A103D3" w:rsidRDefault="00511F74" w:rsidP="00C84B78">
      <w:pPr>
        <w:overflowPunct w:val="0"/>
        <w:autoSpaceDE w:val="0"/>
        <w:autoSpaceDN w:val="0"/>
        <w:snapToGrid w:val="0"/>
        <w:spacing w:beforeLines="50" w:line="360" w:lineRule="auto"/>
        <w:ind w:leftChars="273" w:left="573" w:firstLineChars="200" w:firstLine="480"/>
        <w:rPr>
          <w:rFonts w:eastAsiaTheme="majorEastAsia"/>
          <w:kern w:val="0"/>
          <w:sz w:val="24"/>
          <w:lang w:bidi="th-TH"/>
        </w:rPr>
        <w:pPrChange w:id="8" w:author="ZHONGM" w:date="2025-01-16T00:02:00Z">
          <w:pPr>
            <w:overflowPunct w:val="0"/>
            <w:autoSpaceDE w:val="0"/>
            <w:autoSpaceDN w:val="0"/>
            <w:snapToGrid w:val="0"/>
            <w:spacing w:beforeLines="50" w:line="360" w:lineRule="auto"/>
            <w:ind w:leftChars="273" w:left="573" w:firstLineChars="200" w:firstLine="480"/>
          </w:pPr>
        </w:pPrChange>
      </w:pPr>
      <w:r w:rsidRPr="00A103D3">
        <w:rPr>
          <w:rFonts w:eastAsiaTheme="majorEastAsia"/>
          <w:sz w:val="24"/>
        </w:rPr>
        <w:t>截至</w:t>
      </w:r>
      <w:r w:rsidR="00F11A32" w:rsidRPr="00A103D3">
        <w:rPr>
          <w:rFonts w:eastAsiaTheme="majorEastAsia"/>
          <w:sz w:val="24"/>
        </w:rPr>
        <w:t>本基金</w:t>
      </w:r>
      <w:r w:rsidRPr="00A103D3">
        <w:rPr>
          <w:rFonts w:eastAsiaTheme="majorEastAsia"/>
          <w:sz w:val="24"/>
        </w:rPr>
        <w:t>清算</w:t>
      </w:r>
      <w:r w:rsidR="00127676" w:rsidRPr="00A103D3">
        <w:rPr>
          <w:rFonts w:eastAsiaTheme="majorEastAsia"/>
          <w:sz w:val="24"/>
        </w:rPr>
        <w:t>报告</w:t>
      </w:r>
      <w:r w:rsidRPr="00A103D3">
        <w:rPr>
          <w:rFonts w:eastAsiaTheme="majorEastAsia"/>
          <w:kern w:val="0"/>
          <w:sz w:val="24"/>
          <w:lang w:bidi="th-TH"/>
        </w:rPr>
        <w:t>期结束日</w:t>
      </w:r>
      <w:r w:rsidR="00A95AAB" w:rsidRPr="00A103D3">
        <w:rPr>
          <w:rFonts w:eastAsiaTheme="majorEastAsia"/>
          <w:kern w:val="0"/>
          <w:sz w:val="24"/>
          <w:lang w:bidi="th-TH"/>
        </w:rPr>
        <w:t>2025</w:t>
      </w:r>
      <w:r w:rsidR="00A95AAB" w:rsidRPr="00A103D3">
        <w:rPr>
          <w:rFonts w:eastAsiaTheme="majorEastAsia"/>
          <w:kern w:val="0"/>
          <w:sz w:val="24"/>
          <w:lang w:bidi="th-TH"/>
        </w:rPr>
        <w:t>年</w:t>
      </w:r>
      <w:r w:rsidR="00A95AAB" w:rsidRPr="00A103D3">
        <w:rPr>
          <w:rFonts w:eastAsiaTheme="majorEastAsia"/>
          <w:kern w:val="0"/>
          <w:sz w:val="24"/>
          <w:lang w:bidi="th-TH"/>
        </w:rPr>
        <w:t>1</w:t>
      </w:r>
      <w:r w:rsidR="00A95AAB" w:rsidRPr="00A103D3">
        <w:rPr>
          <w:rFonts w:eastAsiaTheme="majorEastAsia"/>
          <w:kern w:val="0"/>
          <w:sz w:val="24"/>
          <w:lang w:bidi="th-TH"/>
        </w:rPr>
        <w:t>月</w:t>
      </w:r>
      <w:r w:rsidR="00A95AAB" w:rsidRPr="00A103D3">
        <w:rPr>
          <w:rFonts w:eastAsiaTheme="majorEastAsia"/>
          <w:kern w:val="0"/>
          <w:sz w:val="24"/>
          <w:lang w:bidi="th-TH"/>
        </w:rPr>
        <w:t>7</w:t>
      </w:r>
      <w:r w:rsidR="00A95AAB" w:rsidRPr="00A103D3">
        <w:rPr>
          <w:rFonts w:eastAsiaTheme="majorEastAsia"/>
          <w:kern w:val="0"/>
          <w:sz w:val="24"/>
          <w:lang w:bidi="th-TH"/>
        </w:rPr>
        <w:t>日</w:t>
      </w:r>
      <w:r w:rsidRPr="00A103D3">
        <w:rPr>
          <w:rFonts w:eastAsiaTheme="majorEastAsia"/>
          <w:kern w:val="0"/>
          <w:sz w:val="24"/>
          <w:lang w:bidi="th-TH"/>
        </w:rPr>
        <w:t>，本基金剩余</w:t>
      </w:r>
      <w:r w:rsidR="00E54CD1" w:rsidRPr="00A103D3">
        <w:rPr>
          <w:rFonts w:eastAsiaTheme="majorEastAsia"/>
          <w:kern w:val="0"/>
          <w:sz w:val="24"/>
          <w:lang w:bidi="th-TH"/>
        </w:rPr>
        <w:t>财</w:t>
      </w:r>
      <w:r w:rsidRPr="00A103D3">
        <w:rPr>
          <w:rFonts w:eastAsiaTheme="majorEastAsia"/>
          <w:kern w:val="0"/>
          <w:sz w:val="24"/>
          <w:lang w:bidi="th-TH"/>
        </w:rPr>
        <w:t>产为人民币</w:t>
      </w:r>
      <w:r w:rsidR="00151A9B" w:rsidRPr="00A103D3">
        <w:rPr>
          <w:rFonts w:eastAsiaTheme="minorEastAsia"/>
          <w:kern w:val="0"/>
          <w:sz w:val="24"/>
          <w:lang w:bidi="th-TH"/>
        </w:rPr>
        <w:t>975,756.91</w:t>
      </w:r>
      <w:r w:rsidR="00F778DA" w:rsidRPr="00A103D3">
        <w:rPr>
          <w:rFonts w:eastAsiaTheme="majorEastAsia"/>
          <w:kern w:val="0"/>
          <w:sz w:val="24"/>
          <w:lang w:bidi="th-TH"/>
        </w:rPr>
        <w:t>元</w:t>
      </w:r>
      <w:r w:rsidR="006667DC" w:rsidRPr="00A103D3">
        <w:rPr>
          <w:rFonts w:eastAsiaTheme="majorEastAsia"/>
          <w:kern w:val="0"/>
          <w:sz w:val="24"/>
          <w:lang w:bidi="th-TH"/>
        </w:rPr>
        <w:t>。</w:t>
      </w:r>
      <w:r w:rsidR="00F41EE3" w:rsidRPr="00A103D3">
        <w:rPr>
          <w:rFonts w:eastAsiaTheme="majorEastAsia"/>
          <w:kern w:val="0"/>
          <w:sz w:val="24"/>
          <w:lang w:bidi="th-TH"/>
        </w:rPr>
        <w:t>自清算</w:t>
      </w:r>
      <w:r w:rsidR="00F11A32" w:rsidRPr="00A103D3">
        <w:rPr>
          <w:rFonts w:eastAsiaTheme="majorEastAsia"/>
          <w:kern w:val="0"/>
          <w:sz w:val="24"/>
          <w:lang w:bidi="th-TH"/>
        </w:rPr>
        <w:t>报告</w:t>
      </w:r>
      <w:r w:rsidR="00F41EE3" w:rsidRPr="00A103D3">
        <w:rPr>
          <w:rFonts w:eastAsiaTheme="majorEastAsia"/>
          <w:kern w:val="0"/>
          <w:sz w:val="24"/>
          <w:lang w:bidi="th-TH"/>
        </w:rPr>
        <w:t>期结束日次日</w:t>
      </w:r>
      <w:r w:rsidR="00BA2FAF" w:rsidRPr="00A103D3">
        <w:rPr>
          <w:rFonts w:eastAsiaTheme="majorEastAsia"/>
          <w:kern w:val="0"/>
          <w:sz w:val="24"/>
          <w:lang w:bidi="th-TH"/>
        </w:rPr>
        <w:t>（</w:t>
      </w:r>
      <w:r w:rsidR="00A95AAB" w:rsidRPr="00A103D3">
        <w:rPr>
          <w:rFonts w:eastAsiaTheme="majorEastAsia"/>
          <w:kern w:val="0"/>
          <w:sz w:val="24"/>
          <w:lang w:bidi="th-TH"/>
        </w:rPr>
        <w:t>2025</w:t>
      </w:r>
      <w:r w:rsidR="00D23EA4" w:rsidRPr="00A103D3">
        <w:rPr>
          <w:rFonts w:eastAsiaTheme="majorEastAsia"/>
          <w:kern w:val="0"/>
          <w:sz w:val="24"/>
          <w:lang w:bidi="th-TH"/>
        </w:rPr>
        <w:t>年</w:t>
      </w:r>
      <w:r w:rsidR="00A95AAB" w:rsidRPr="00A103D3">
        <w:rPr>
          <w:rFonts w:eastAsiaTheme="majorEastAsia"/>
          <w:kern w:val="0"/>
          <w:sz w:val="24"/>
          <w:lang w:bidi="th-TH"/>
        </w:rPr>
        <w:t>1</w:t>
      </w:r>
      <w:r w:rsidR="00F41EE3" w:rsidRPr="00A103D3">
        <w:rPr>
          <w:rFonts w:eastAsiaTheme="majorEastAsia"/>
          <w:kern w:val="0"/>
          <w:sz w:val="24"/>
          <w:lang w:bidi="th-TH"/>
        </w:rPr>
        <w:t>月</w:t>
      </w:r>
      <w:r w:rsidR="00A95AAB" w:rsidRPr="00A103D3">
        <w:rPr>
          <w:rFonts w:eastAsiaTheme="majorEastAsia"/>
          <w:kern w:val="0"/>
          <w:sz w:val="24"/>
          <w:lang w:bidi="th-TH"/>
        </w:rPr>
        <w:t>8</w:t>
      </w:r>
      <w:r w:rsidR="00F41EE3" w:rsidRPr="00A103D3">
        <w:rPr>
          <w:rFonts w:eastAsiaTheme="majorEastAsia"/>
          <w:kern w:val="0"/>
          <w:sz w:val="24"/>
          <w:lang w:bidi="th-TH"/>
        </w:rPr>
        <w:t>日</w:t>
      </w:r>
      <w:r w:rsidR="00BA2FAF" w:rsidRPr="00A103D3">
        <w:rPr>
          <w:rFonts w:eastAsiaTheme="majorEastAsia"/>
          <w:kern w:val="0"/>
          <w:sz w:val="24"/>
          <w:lang w:bidi="th-TH"/>
        </w:rPr>
        <w:t>）</w:t>
      </w:r>
      <w:r w:rsidR="00F41EE3" w:rsidRPr="00A103D3">
        <w:rPr>
          <w:rFonts w:eastAsiaTheme="majorEastAsia"/>
          <w:kern w:val="0"/>
          <w:sz w:val="24"/>
          <w:lang w:bidi="th-TH"/>
        </w:rPr>
        <w:t>至</w:t>
      </w:r>
      <w:r w:rsidR="00903847" w:rsidRPr="00A103D3">
        <w:rPr>
          <w:rFonts w:eastAsiaTheme="majorEastAsia"/>
          <w:kern w:val="0"/>
          <w:sz w:val="24"/>
          <w:lang w:bidi="th-TH"/>
        </w:rPr>
        <w:t>本次</w:t>
      </w:r>
      <w:r w:rsidR="00F41EE3" w:rsidRPr="00A103D3">
        <w:rPr>
          <w:rFonts w:eastAsiaTheme="majorEastAsia"/>
          <w:kern w:val="0"/>
          <w:sz w:val="24"/>
          <w:lang w:bidi="th-TH"/>
        </w:rPr>
        <w:t>清算款划出前一日的银行存款</w:t>
      </w:r>
      <w:r w:rsidR="00122759" w:rsidRPr="00A103D3">
        <w:rPr>
          <w:rFonts w:eastAsiaTheme="majorEastAsia"/>
          <w:kern w:val="0"/>
          <w:sz w:val="24"/>
          <w:lang w:bidi="th-TH"/>
        </w:rPr>
        <w:t>等</w:t>
      </w:r>
      <w:r w:rsidR="00F41EE3" w:rsidRPr="00A103D3">
        <w:rPr>
          <w:rFonts w:eastAsiaTheme="majorEastAsia"/>
          <w:kern w:val="0"/>
          <w:sz w:val="24"/>
          <w:lang w:bidi="th-TH"/>
        </w:rPr>
        <w:t>产生的</w:t>
      </w:r>
      <w:r w:rsidR="00EE4A3B" w:rsidRPr="00A103D3">
        <w:rPr>
          <w:rFonts w:eastAsiaTheme="majorEastAsia"/>
          <w:kern w:val="0"/>
          <w:sz w:val="24"/>
          <w:lang w:bidi="th-TH"/>
        </w:rPr>
        <w:t>利息亦</w:t>
      </w:r>
      <w:r w:rsidR="00D83393" w:rsidRPr="00A103D3">
        <w:rPr>
          <w:rFonts w:eastAsiaTheme="majorEastAsia"/>
          <w:kern w:val="0"/>
          <w:sz w:val="24"/>
          <w:lang w:bidi="th-TH"/>
        </w:rPr>
        <w:t>归</w:t>
      </w:r>
      <w:r w:rsidR="005B3529" w:rsidRPr="00A103D3">
        <w:rPr>
          <w:rFonts w:eastAsiaTheme="majorEastAsia"/>
          <w:kern w:val="0"/>
          <w:sz w:val="24"/>
          <w:lang w:bidi="th-TH"/>
        </w:rPr>
        <w:t>基金份额持有人所有。</w:t>
      </w:r>
    </w:p>
    <w:p w:rsidR="00B42CD6" w:rsidRPr="00A103D3" w:rsidRDefault="0097630C" w:rsidP="00A5019E">
      <w:pPr>
        <w:overflowPunct w:val="0"/>
        <w:autoSpaceDE w:val="0"/>
        <w:autoSpaceDN w:val="0"/>
        <w:snapToGrid w:val="0"/>
        <w:spacing w:line="360" w:lineRule="auto"/>
        <w:ind w:leftChars="273" w:left="573" w:firstLineChars="200" w:firstLine="480"/>
        <w:rPr>
          <w:rFonts w:eastAsiaTheme="majorEastAsia"/>
          <w:bCs/>
          <w:sz w:val="24"/>
        </w:rPr>
      </w:pPr>
      <w:r w:rsidRPr="00A103D3">
        <w:rPr>
          <w:rFonts w:eastAsiaTheme="majorEastAsia"/>
          <w:bCs/>
          <w:sz w:val="24"/>
        </w:rPr>
        <w:t>（</w:t>
      </w:r>
      <w:r w:rsidR="00050C40" w:rsidRPr="00A103D3">
        <w:rPr>
          <w:rFonts w:eastAsiaTheme="majorEastAsia"/>
          <w:bCs/>
          <w:sz w:val="24"/>
        </w:rPr>
        <w:t>六</w:t>
      </w:r>
      <w:r w:rsidRPr="00A103D3">
        <w:rPr>
          <w:rFonts w:eastAsiaTheme="majorEastAsia"/>
          <w:bCs/>
          <w:sz w:val="24"/>
        </w:rPr>
        <w:t>）基金清算报告的告知</w:t>
      </w:r>
      <w:r w:rsidR="00B11A3F" w:rsidRPr="00A103D3">
        <w:rPr>
          <w:rFonts w:eastAsiaTheme="majorEastAsia"/>
          <w:bCs/>
          <w:sz w:val="24"/>
        </w:rPr>
        <w:t>及</w:t>
      </w:r>
      <w:r w:rsidR="006469C2" w:rsidRPr="00A103D3">
        <w:rPr>
          <w:rFonts w:eastAsiaTheme="majorEastAsia"/>
          <w:bCs/>
          <w:sz w:val="24"/>
        </w:rPr>
        <w:t>剩余</w:t>
      </w:r>
      <w:r w:rsidR="00B11A3F" w:rsidRPr="00A103D3">
        <w:rPr>
          <w:rFonts w:eastAsiaTheme="majorEastAsia"/>
          <w:bCs/>
          <w:sz w:val="24"/>
        </w:rPr>
        <w:t>财产分配</w:t>
      </w:r>
      <w:r w:rsidRPr="00A103D3">
        <w:rPr>
          <w:rFonts w:eastAsiaTheme="majorEastAsia"/>
          <w:bCs/>
          <w:sz w:val="24"/>
        </w:rPr>
        <w:t>安排</w:t>
      </w:r>
    </w:p>
    <w:p w:rsidR="0097630C" w:rsidRPr="00A103D3" w:rsidRDefault="0097630C" w:rsidP="00A5019E">
      <w:pPr>
        <w:overflowPunct w:val="0"/>
        <w:autoSpaceDE w:val="0"/>
        <w:autoSpaceDN w:val="0"/>
        <w:snapToGrid w:val="0"/>
        <w:spacing w:line="360" w:lineRule="auto"/>
        <w:ind w:leftChars="273" w:left="573" w:firstLineChars="200" w:firstLine="480"/>
        <w:rPr>
          <w:rFonts w:eastAsiaTheme="majorEastAsia"/>
          <w:bCs/>
          <w:sz w:val="24"/>
        </w:rPr>
      </w:pPr>
      <w:r w:rsidRPr="00A103D3">
        <w:rPr>
          <w:rFonts w:eastAsiaTheme="majorEastAsia"/>
          <w:bCs/>
          <w:sz w:val="24"/>
        </w:rPr>
        <w:t>本清算报告</w:t>
      </w:r>
      <w:r w:rsidR="00F767D5" w:rsidRPr="00A103D3">
        <w:rPr>
          <w:rFonts w:eastAsiaTheme="majorEastAsia"/>
          <w:bCs/>
          <w:sz w:val="24"/>
        </w:rPr>
        <w:t>已经基金托管人复核，</w:t>
      </w:r>
      <w:r w:rsidR="00323F33" w:rsidRPr="00A103D3">
        <w:rPr>
          <w:rFonts w:eastAsiaTheme="majorEastAsia"/>
          <w:bCs/>
          <w:sz w:val="24"/>
        </w:rPr>
        <w:t>将</w:t>
      </w:r>
      <w:r w:rsidR="006469C2" w:rsidRPr="00A103D3">
        <w:rPr>
          <w:rFonts w:eastAsiaTheme="majorEastAsia"/>
          <w:bCs/>
          <w:sz w:val="24"/>
        </w:rPr>
        <w:t>与会计师事务所出具的</w:t>
      </w:r>
      <w:r w:rsidR="00B4462A" w:rsidRPr="00A103D3">
        <w:rPr>
          <w:rFonts w:eastAsiaTheme="majorEastAsia"/>
          <w:bCs/>
          <w:sz w:val="24"/>
        </w:rPr>
        <w:t>清算</w:t>
      </w:r>
      <w:r w:rsidR="006469C2" w:rsidRPr="00A103D3">
        <w:rPr>
          <w:rFonts w:eastAsiaTheme="majorEastAsia"/>
          <w:bCs/>
          <w:sz w:val="24"/>
        </w:rPr>
        <w:t>审计报告、律师事务所出具的法律意见书一并</w:t>
      </w:r>
      <w:r w:rsidRPr="00A103D3">
        <w:rPr>
          <w:rFonts w:eastAsiaTheme="majorEastAsia"/>
          <w:bCs/>
          <w:sz w:val="24"/>
        </w:rPr>
        <w:t>报中国</w:t>
      </w:r>
      <w:r w:rsidR="007532E6" w:rsidRPr="00A103D3">
        <w:rPr>
          <w:rFonts w:eastAsiaTheme="majorEastAsia"/>
          <w:bCs/>
          <w:sz w:val="24"/>
        </w:rPr>
        <w:t>证监会</w:t>
      </w:r>
      <w:r w:rsidRPr="00A103D3">
        <w:rPr>
          <w:rFonts w:eastAsiaTheme="majorEastAsia"/>
          <w:bCs/>
          <w:sz w:val="24"/>
        </w:rPr>
        <w:t>备案后向基金份额持有人公告。</w:t>
      </w:r>
      <w:r w:rsidR="004B1F42" w:rsidRPr="00A103D3">
        <w:rPr>
          <w:rFonts w:eastAsiaTheme="majorEastAsia"/>
          <w:bCs/>
          <w:sz w:val="24"/>
        </w:rPr>
        <w:t>清算报告公告后，</w:t>
      </w:r>
      <w:r w:rsidR="00B11A3F" w:rsidRPr="00A103D3">
        <w:rPr>
          <w:rFonts w:eastAsiaTheme="majorEastAsia"/>
          <w:bCs/>
          <w:sz w:val="24"/>
        </w:rPr>
        <w:t>基金管理人将遵照法律法规、基金合同等规定及时进行</w:t>
      </w:r>
      <w:r w:rsidR="00F83EF2" w:rsidRPr="00A103D3">
        <w:rPr>
          <w:rFonts w:eastAsiaTheme="majorEastAsia"/>
          <w:bCs/>
          <w:sz w:val="24"/>
        </w:rPr>
        <w:t>剩余财产</w:t>
      </w:r>
      <w:r w:rsidR="00B11A3F" w:rsidRPr="00A103D3">
        <w:rPr>
          <w:rFonts w:eastAsiaTheme="majorEastAsia"/>
          <w:bCs/>
          <w:sz w:val="24"/>
        </w:rPr>
        <w:t>分配</w:t>
      </w:r>
      <w:r w:rsidR="00444C6B" w:rsidRPr="00A103D3">
        <w:rPr>
          <w:rFonts w:eastAsiaTheme="majorEastAsia"/>
          <w:bCs/>
          <w:sz w:val="24"/>
        </w:rPr>
        <w:t>。</w:t>
      </w:r>
    </w:p>
    <w:p w:rsidR="0097630C" w:rsidRPr="00A103D3" w:rsidRDefault="0097630C" w:rsidP="00A5019E">
      <w:pPr>
        <w:pStyle w:val="1"/>
        <w:overflowPunct w:val="0"/>
        <w:spacing w:before="100" w:after="100" w:line="360" w:lineRule="auto"/>
        <w:jc w:val="center"/>
        <w:rPr>
          <w:rStyle w:val="2CharCharChar"/>
          <w:rFonts w:ascii="Times New Roman" w:eastAsiaTheme="majorEastAsia" w:hAnsi="Times New Roman"/>
          <w:b/>
          <w:bCs w:val="0"/>
          <w:szCs w:val="24"/>
        </w:rPr>
      </w:pPr>
      <w:bookmarkStart w:id="9" w:name="_Toc447194472"/>
      <w:r w:rsidRPr="00A103D3">
        <w:rPr>
          <w:rStyle w:val="2CharCharChar"/>
          <w:rFonts w:ascii="Times New Roman" w:eastAsiaTheme="majorEastAsia" w:hAnsi="Times New Roman"/>
          <w:b/>
          <w:bCs w:val="0"/>
          <w:szCs w:val="24"/>
        </w:rPr>
        <w:t>五、备查文件</w:t>
      </w:r>
      <w:bookmarkEnd w:id="9"/>
    </w:p>
    <w:p w:rsidR="0097630C" w:rsidRPr="00A103D3" w:rsidRDefault="0097630C" w:rsidP="00A5019E">
      <w:pPr>
        <w:overflowPunct w:val="0"/>
        <w:autoSpaceDE w:val="0"/>
        <w:autoSpaceDN w:val="0"/>
        <w:snapToGrid w:val="0"/>
        <w:spacing w:line="360" w:lineRule="auto"/>
        <w:ind w:leftChars="273" w:left="573" w:firstLineChars="200" w:firstLine="480"/>
        <w:rPr>
          <w:rFonts w:eastAsiaTheme="majorEastAsia"/>
          <w:bCs/>
          <w:sz w:val="24"/>
        </w:rPr>
      </w:pPr>
      <w:r w:rsidRPr="00A103D3">
        <w:rPr>
          <w:rFonts w:eastAsiaTheme="majorEastAsia"/>
          <w:bCs/>
          <w:sz w:val="24"/>
        </w:rPr>
        <w:t>（一）备查文件目录</w:t>
      </w:r>
      <w:r w:rsidRPr="00A103D3">
        <w:rPr>
          <w:rFonts w:eastAsiaTheme="majorEastAsia"/>
          <w:bCs/>
          <w:sz w:val="24"/>
        </w:rPr>
        <w:t xml:space="preserve"> </w:t>
      </w:r>
    </w:p>
    <w:p w:rsidR="0097630C" w:rsidRPr="00206882" w:rsidRDefault="0097630C" w:rsidP="00A5019E">
      <w:pPr>
        <w:overflowPunct w:val="0"/>
        <w:autoSpaceDE w:val="0"/>
        <w:autoSpaceDN w:val="0"/>
        <w:snapToGrid w:val="0"/>
        <w:spacing w:line="360" w:lineRule="auto"/>
        <w:ind w:leftChars="273" w:left="573" w:firstLineChars="200" w:firstLine="480"/>
        <w:rPr>
          <w:rFonts w:eastAsiaTheme="majorEastAsia"/>
          <w:bCs/>
          <w:sz w:val="24"/>
        </w:rPr>
      </w:pPr>
      <w:r w:rsidRPr="00A103D3">
        <w:rPr>
          <w:rFonts w:eastAsiaTheme="majorEastAsia"/>
          <w:bCs/>
          <w:sz w:val="24"/>
        </w:rPr>
        <w:t>1</w:t>
      </w:r>
      <w:r w:rsidRPr="00A103D3">
        <w:rPr>
          <w:rFonts w:eastAsiaTheme="majorEastAsia"/>
          <w:bCs/>
          <w:sz w:val="24"/>
        </w:rPr>
        <w:t>、</w:t>
      </w:r>
      <w:r w:rsidR="00467FBE" w:rsidRPr="00A103D3">
        <w:rPr>
          <w:rFonts w:eastAsiaTheme="majorEastAsia"/>
          <w:bCs/>
          <w:sz w:val="24"/>
        </w:rPr>
        <w:t>《</w:t>
      </w:r>
      <w:r w:rsidR="00A95AAB" w:rsidRPr="00A103D3">
        <w:rPr>
          <w:rFonts w:eastAsiaTheme="majorEastAsia"/>
          <w:bCs/>
          <w:sz w:val="24"/>
        </w:rPr>
        <w:t>华夏新趋势灵活配置混合型证券投资基金</w:t>
      </w:r>
      <w:r w:rsidR="00960A26" w:rsidRPr="00206882">
        <w:rPr>
          <w:sz w:val="24"/>
        </w:rPr>
        <w:t>清算审计报告</w:t>
      </w:r>
      <w:r w:rsidR="00467FBE" w:rsidRPr="00206882">
        <w:rPr>
          <w:rFonts w:eastAsiaTheme="majorEastAsia"/>
          <w:bCs/>
          <w:sz w:val="24"/>
        </w:rPr>
        <w:t>》</w:t>
      </w:r>
    </w:p>
    <w:p w:rsidR="0097630C" w:rsidRPr="00A103D3" w:rsidRDefault="0097630C" w:rsidP="00A5019E">
      <w:pPr>
        <w:overflowPunct w:val="0"/>
        <w:autoSpaceDE w:val="0"/>
        <w:autoSpaceDN w:val="0"/>
        <w:snapToGrid w:val="0"/>
        <w:spacing w:line="360" w:lineRule="auto"/>
        <w:ind w:leftChars="273" w:left="573" w:firstLineChars="200" w:firstLine="480"/>
        <w:rPr>
          <w:rFonts w:eastAsiaTheme="majorEastAsia"/>
          <w:bCs/>
          <w:sz w:val="24"/>
        </w:rPr>
      </w:pPr>
      <w:r w:rsidRPr="00206882">
        <w:rPr>
          <w:rFonts w:eastAsiaTheme="majorEastAsia"/>
          <w:bCs/>
          <w:sz w:val="24"/>
        </w:rPr>
        <w:t>2</w:t>
      </w:r>
      <w:r w:rsidRPr="00206882">
        <w:rPr>
          <w:rFonts w:eastAsiaTheme="majorEastAsia"/>
          <w:bCs/>
          <w:sz w:val="24"/>
        </w:rPr>
        <w:t>、</w:t>
      </w:r>
      <w:r w:rsidR="002D19D6" w:rsidRPr="00206882">
        <w:rPr>
          <w:rFonts w:eastAsiaTheme="majorEastAsia"/>
          <w:bCs/>
          <w:sz w:val="24"/>
        </w:rPr>
        <w:t>《</w:t>
      </w:r>
      <w:r w:rsidR="00960A26" w:rsidRPr="00206882">
        <w:rPr>
          <w:bCs/>
          <w:sz w:val="24"/>
        </w:rPr>
        <w:t>北京市天元律师事务所关</w:t>
      </w:r>
      <w:r w:rsidR="00960A26" w:rsidRPr="00A103D3">
        <w:rPr>
          <w:bCs/>
          <w:sz w:val="24"/>
        </w:rPr>
        <w:t>于</w:t>
      </w:r>
      <w:r w:rsidR="00A95AAB" w:rsidRPr="00A103D3">
        <w:rPr>
          <w:rFonts w:eastAsiaTheme="majorEastAsia"/>
          <w:bCs/>
          <w:sz w:val="24"/>
        </w:rPr>
        <w:t>华夏新趋势灵活配置混合型证券投资基金</w:t>
      </w:r>
      <w:r w:rsidR="00CC2212" w:rsidRPr="00206882">
        <w:rPr>
          <w:rFonts w:eastAsiaTheme="majorEastAsia"/>
          <w:bCs/>
          <w:sz w:val="24"/>
        </w:rPr>
        <w:t>清算的法律意见</w:t>
      </w:r>
      <w:r w:rsidR="002D19D6" w:rsidRPr="00206882">
        <w:rPr>
          <w:rFonts w:eastAsiaTheme="majorEastAsia"/>
          <w:bCs/>
          <w:sz w:val="24"/>
        </w:rPr>
        <w:t>》</w:t>
      </w:r>
    </w:p>
    <w:p w:rsidR="0097630C" w:rsidRPr="00A103D3" w:rsidRDefault="0097630C" w:rsidP="00A5019E">
      <w:pPr>
        <w:overflowPunct w:val="0"/>
        <w:autoSpaceDE w:val="0"/>
        <w:autoSpaceDN w:val="0"/>
        <w:snapToGrid w:val="0"/>
        <w:spacing w:line="360" w:lineRule="auto"/>
        <w:ind w:leftChars="273" w:left="573" w:firstLineChars="200" w:firstLine="480"/>
        <w:rPr>
          <w:rFonts w:eastAsiaTheme="majorEastAsia"/>
          <w:bCs/>
          <w:sz w:val="24"/>
        </w:rPr>
      </w:pPr>
      <w:r w:rsidRPr="00A103D3">
        <w:rPr>
          <w:rFonts w:eastAsiaTheme="majorEastAsia"/>
          <w:bCs/>
          <w:sz w:val="24"/>
        </w:rPr>
        <w:t>（二）存放地点</w:t>
      </w:r>
    </w:p>
    <w:p w:rsidR="0097630C" w:rsidRPr="00A103D3" w:rsidRDefault="0097630C" w:rsidP="00A5019E">
      <w:pPr>
        <w:overflowPunct w:val="0"/>
        <w:autoSpaceDE w:val="0"/>
        <w:autoSpaceDN w:val="0"/>
        <w:snapToGrid w:val="0"/>
        <w:spacing w:line="360" w:lineRule="auto"/>
        <w:ind w:leftChars="273" w:left="573" w:firstLineChars="200" w:firstLine="480"/>
        <w:rPr>
          <w:rFonts w:eastAsiaTheme="majorEastAsia"/>
          <w:bCs/>
          <w:sz w:val="24"/>
        </w:rPr>
      </w:pPr>
      <w:r w:rsidRPr="00A103D3">
        <w:rPr>
          <w:rFonts w:eastAsiaTheme="majorEastAsia"/>
          <w:bCs/>
          <w:sz w:val="24"/>
        </w:rPr>
        <w:t>备查文件存放于基金管理人</w:t>
      </w:r>
      <w:r w:rsidR="00E764F1" w:rsidRPr="00A103D3">
        <w:rPr>
          <w:rFonts w:eastAsiaTheme="majorEastAsia"/>
          <w:bCs/>
          <w:sz w:val="24"/>
        </w:rPr>
        <w:t>、基金托管人</w:t>
      </w:r>
      <w:r w:rsidRPr="00A103D3">
        <w:rPr>
          <w:rFonts w:eastAsiaTheme="majorEastAsia"/>
          <w:bCs/>
          <w:sz w:val="24"/>
        </w:rPr>
        <w:t>处。</w:t>
      </w:r>
    </w:p>
    <w:p w:rsidR="0097630C" w:rsidRPr="00A103D3" w:rsidRDefault="0097630C" w:rsidP="00A5019E">
      <w:pPr>
        <w:overflowPunct w:val="0"/>
        <w:autoSpaceDE w:val="0"/>
        <w:autoSpaceDN w:val="0"/>
        <w:snapToGrid w:val="0"/>
        <w:spacing w:line="360" w:lineRule="auto"/>
        <w:ind w:leftChars="273" w:left="573" w:firstLineChars="200" w:firstLine="480"/>
        <w:rPr>
          <w:rFonts w:eastAsiaTheme="majorEastAsia"/>
          <w:bCs/>
          <w:sz w:val="24"/>
        </w:rPr>
      </w:pPr>
      <w:r w:rsidRPr="00A103D3">
        <w:rPr>
          <w:rFonts w:eastAsiaTheme="majorEastAsia"/>
          <w:bCs/>
          <w:sz w:val="24"/>
        </w:rPr>
        <w:t>（三）查阅方式</w:t>
      </w:r>
    </w:p>
    <w:p w:rsidR="0097630C" w:rsidRPr="00A103D3" w:rsidRDefault="0097630C" w:rsidP="00A5019E">
      <w:pPr>
        <w:overflowPunct w:val="0"/>
        <w:autoSpaceDE w:val="0"/>
        <w:autoSpaceDN w:val="0"/>
        <w:snapToGrid w:val="0"/>
        <w:spacing w:line="360" w:lineRule="auto"/>
        <w:ind w:leftChars="273" w:left="573" w:firstLineChars="200" w:firstLine="480"/>
        <w:rPr>
          <w:rFonts w:eastAsiaTheme="majorEastAsia"/>
          <w:bCs/>
          <w:sz w:val="24"/>
        </w:rPr>
      </w:pPr>
      <w:r w:rsidRPr="00A103D3">
        <w:rPr>
          <w:rFonts w:eastAsiaTheme="majorEastAsia"/>
          <w:bCs/>
          <w:sz w:val="24"/>
        </w:rPr>
        <w:t>投资者可在营业时间免费查阅备查文件。</w:t>
      </w:r>
    </w:p>
    <w:p w:rsidR="007735E5" w:rsidRPr="00A103D3" w:rsidRDefault="007735E5" w:rsidP="00A5019E">
      <w:pPr>
        <w:overflowPunct w:val="0"/>
        <w:autoSpaceDE w:val="0"/>
        <w:autoSpaceDN w:val="0"/>
        <w:snapToGrid w:val="0"/>
        <w:spacing w:line="360" w:lineRule="auto"/>
        <w:ind w:leftChars="273" w:left="573" w:firstLineChars="200" w:firstLine="480"/>
        <w:jc w:val="right"/>
        <w:rPr>
          <w:rFonts w:eastAsiaTheme="majorEastAsia"/>
          <w:sz w:val="24"/>
        </w:rPr>
      </w:pPr>
    </w:p>
    <w:p w:rsidR="00D60085" w:rsidRPr="00A103D3" w:rsidRDefault="00A95AAB" w:rsidP="001F7D05">
      <w:pPr>
        <w:overflowPunct w:val="0"/>
        <w:autoSpaceDE w:val="0"/>
        <w:autoSpaceDN w:val="0"/>
        <w:snapToGrid w:val="0"/>
        <w:spacing w:line="360" w:lineRule="auto"/>
        <w:ind w:leftChars="273" w:left="573" w:firstLineChars="200" w:firstLine="480"/>
        <w:jc w:val="right"/>
        <w:rPr>
          <w:rFonts w:eastAsiaTheme="majorEastAsia"/>
          <w:bCs/>
          <w:sz w:val="24"/>
        </w:rPr>
      </w:pPr>
      <w:r w:rsidRPr="00A103D3">
        <w:rPr>
          <w:rFonts w:eastAsiaTheme="majorEastAsia"/>
          <w:bCs/>
          <w:sz w:val="24"/>
        </w:rPr>
        <w:t>华夏新趋势灵活配置混合型证券投资基金</w:t>
      </w:r>
      <w:r w:rsidR="005C0942" w:rsidRPr="00A103D3">
        <w:rPr>
          <w:rFonts w:eastAsiaTheme="majorEastAsia"/>
          <w:bCs/>
          <w:sz w:val="24"/>
        </w:rPr>
        <w:t>基金财产清算组</w:t>
      </w:r>
    </w:p>
    <w:p w:rsidR="002E2E3D" w:rsidRPr="00A103D3" w:rsidRDefault="0040141F" w:rsidP="00A5019E">
      <w:pPr>
        <w:overflowPunct w:val="0"/>
        <w:autoSpaceDE w:val="0"/>
        <w:autoSpaceDN w:val="0"/>
        <w:snapToGrid w:val="0"/>
        <w:spacing w:line="360" w:lineRule="auto"/>
        <w:ind w:leftChars="273" w:left="573" w:firstLineChars="200" w:firstLine="480"/>
        <w:jc w:val="right"/>
        <w:rPr>
          <w:rFonts w:eastAsiaTheme="majorEastAsia"/>
          <w:sz w:val="24"/>
        </w:rPr>
      </w:pPr>
      <w:r w:rsidRPr="00A103D3">
        <w:rPr>
          <w:rFonts w:eastAsiaTheme="majorEastAsia"/>
          <w:sz w:val="24"/>
        </w:rPr>
        <w:t>二</w:t>
      </w:r>
      <w:r w:rsidR="00A103D3">
        <w:rPr>
          <w:rFonts w:hint="eastAsia"/>
          <w:color w:val="000000"/>
          <w:sz w:val="24"/>
        </w:rPr>
        <w:t>〇</w:t>
      </w:r>
      <w:r w:rsidRPr="00A103D3">
        <w:rPr>
          <w:rFonts w:eastAsiaTheme="majorEastAsia"/>
          <w:sz w:val="24"/>
        </w:rPr>
        <w:t>二</w:t>
      </w:r>
      <w:r w:rsidR="00960A26" w:rsidRPr="00A103D3">
        <w:rPr>
          <w:rFonts w:eastAsiaTheme="majorEastAsia"/>
          <w:sz w:val="24"/>
        </w:rPr>
        <w:t>五</w:t>
      </w:r>
      <w:r w:rsidRPr="00A103D3">
        <w:rPr>
          <w:rFonts w:eastAsiaTheme="majorEastAsia"/>
          <w:sz w:val="24"/>
        </w:rPr>
        <w:t>年</w:t>
      </w:r>
      <w:r w:rsidR="00204805" w:rsidRPr="00A103D3">
        <w:rPr>
          <w:rFonts w:eastAsiaTheme="majorEastAsia"/>
          <w:sz w:val="24"/>
        </w:rPr>
        <w:t>一</w:t>
      </w:r>
      <w:r w:rsidR="00E94EE5" w:rsidRPr="00A103D3">
        <w:rPr>
          <w:rFonts w:eastAsiaTheme="majorEastAsia"/>
          <w:sz w:val="24"/>
        </w:rPr>
        <w:t>月</w:t>
      </w:r>
      <w:r w:rsidR="00F663D5" w:rsidRPr="00A103D3">
        <w:rPr>
          <w:rFonts w:eastAsiaTheme="majorEastAsia"/>
          <w:sz w:val="24"/>
        </w:rPr>
        <w:t>十六</w:t>
      </w:r>
      <w:r w:rsidR="007735E5" w:rsidRPr="00A103D3">
        <w:rPr>
          <w:rFonts w:eastAsiaTheme="majorEastAsia"/>
          <w:sz w:val="24"/>
        </w:rPr>
        <w:t>日</w:t>
      </w:r>
    </w:p>
    <w:sectPr w:rsidR="002E2E3D" w:rsidRPr="00A103D3" w:rsidSect="00A5019E">
      <w:headerReference w:type="default" r:id="rId9"/>
      <w:footerReference w:type="default" r:id="rId10"/>
      <w:headerReference w:type="first" r:id="rId11"/>
      <w:pgSz w:w="11906" w:h="16838"/>
      <w:pgMar w:top="1247" w:right="1435" w:bottom="1247" w:left="1418" w:header="850" w:footer="851" w:gutter="0"/>
      <w:cols w:space="720"/>
      <w:titlePg/>
      <w:docGrid w:type="lines" w:linePitch="367" w:charSpace="1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4E1" w:rsidRDefault="00F464E1">
      <w:r>
        <w:separator/>
      </w:r>
    </w:p>
  </w:endnote>
  <w:endnote w:type="continuationSeparator" w:id="0">
    <w:p w:rsidR="00F464E1" w:rsidRDefault="00F46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2F8" w:rsidRDefault="004A27AB">
    <w:pPr>
      <w:pStyle w:val="a9"/>
      <w:jc w:val="center"/>
    </w:pPr>
    <w:r w:rsidRPr="004A27AB">
      <w:fldChar w:fldCharType="begin"/>
    </w:r>
    <w:r w:rsidR="009062F8">
      <w:instrText xml:space="preserve"> PAGE   \* MERGEFORMAT </w:instrText>
    </w:r>
    <w:r w:rsidRPr="004A27AB">
      <w:fldChar w:fldCharType="separate"/>
    </w:r>
    <w:r w:rsidR="00C84B78" w:rsidRPr="00C84B78">
      <w:rPr>
        <w:noProof/>
        <w:lang w:val="zh-CN"/>
      </w:rPr>
      <w:t>2</w:t>
    </w:r>
    <w:r>
      <w:rPr>
        <w:noProof/>
        <w:lang w:val="zh-CN"/>
      </w:rPr>
      <w:fldChar w:fldCharType="end"/>
    </w:r>
  </w:p>
  <w:p w:rsidR="009062F8" w:rsidRDefault="009062F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4E1" w:rsidRDefault="00F464E1">
      <w:r>
        <w:separator/>
      </w:r>
    </w:p>
  </w:footnote>
  <w:footnote w:type="continuationSeparator" w:id="0">
    <w:p w:rsidR="00F464E1" w:rsidRDefault="00F464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2F8" w:rsidRPr="00AC526B" w:rsidRDefault="00A95AAB" w:rsidP="003E6510">
    <w:pPr>
      <w:pStyle w:val="a8"/>
      <w:pBdr>
        <w:bottom w:val="single" w:sz="4" w:space="1" w:color="auto"/>
      </w:pBdr>
      <w:jc w:val="right"/>
      <w:rPr>
        <w:rFonts w:hAnsi="宋体"/>
        <w:bCs/>
        <w:color w:val="000000"/>
        <w:sz w:val="18"/>
        <w:szCs w:val="18"/>
      </w:rPr>
    </w:pPr>
    <w:r>
      <w:rPr>
        <w:rFonts w:hAnsi="宋体" w:hint="eastAsia"/>
        <w:bCs/>
        <w:noProof/>
        <w:color w:val="000000"/>
        <w:sz w:val="18"/>
        <w:szCs w:val="18"/>
      </w:rPr>
      <w:t>华夏新趋势灵活配置混合型证券投资基金</w:t>
    </w:r>
    <w:r w:rsidR="009062F8" w:rsidRPr="0098112D">
      <w:rPr>
        <w:rFonts w:hAnsi="宋体" w:hint="eastAsia"/>
        <w:bCs/>
        <w:color w:val="000000"/>
        <w:sz w:val="18"/>
        <w:szCs w:val="18"/>
      </w:rPr>
      <w:t>清算报告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9A1" w:rsidRDefault="00FC19A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85C"/>
    <w:multiLevelType w:val="hybridMultilevel"/>
    <w:tmpl w:val="1A9C3754"/>
    <w:lvl w:ilvl="0" w:tplc="EBE0B3B6">
      <w:start w:val="1"/>
      <w:numFmt w:val="decimal"/>
      <w:lvlText w:val="%1、"/>
      <w:lvlJc w:val="left"/>
      <w:pPr>
        <w:ind w:left="780" w:hanging="360"/>
      </w:pPr>
      <w:rPr>
        <w:rFonts w:ascii="Times New Roman" w:eastAsia="宋体" w:hAnsi="宋体"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47B0C49"/>
    <w:multiLevelType w:val="hybridMultilevel"/>
    <w:tmpl w:val="F3A2132A"/>
    <w:lvl w:ilvl="0" w:tplc="A96E6152">
      <w:start w:val="1"/>
      <w:numFmt w:val="decimal"/>
      <w:lvlText w:val="（%1）"/>
      <w:lvlJc w:val="left"/>
      <w:pPr>
        <w:ind w:left="987" w:hanging="420"/>
      </w:pPr>
      <w:rPr>
        <w:b w:val="0"/>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2">
    <w:nsid w:val="54771D3A"/>
    <w:multiLevelType w:val="hybridMultilevel"/>
    <w:tmpl w:val="2332A876"/>
    <w:lvl w:ilvl="0" w:tplc="3C585D78">
      <w:start w:val="1"/>
      <w:numFmt w:val="japaneseCounting"/>
      <w:lvlText w:val="%1、"/>
      <w:lvlJc w:val="left"/>
      <w:pPr>
        <w:ind w:left="720" w:hanging="720"/>
      </w:pPr>
      <w:rPr>
        <w:rFonts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4B5251B"/>
    <w:multiLevelType w:val="singleLevel"/>
    <w:tmpl w:val="54B5251B"/>
    <w:lvl w:ilvl="0">
      <w:start w:val="7"/>
      <w:numFmt w:val="decimal"/>
      <w:lvlText w:val="(%1)"/>
      <w:lvlJc w:val="left"/>
    </w:lvl>
  </w:abstractNum>
  <w:abstractNum w:abstractNumId="4">
    <w:nsid w:val="5C1B4DBB"/>
    <w:multiLevelType w:val="hybridMultilevel"/>
    <w:tmpl w:val="408E01E8"/>
    <w:lvl w:ilvl="0" w:tplc="B6F8FA4E">
      <w:start w:val="1"/>
      <w:numFmt w:val="decimal"/>
      <w:lvlText w:val="%1、"/>
      <w:lvlJc w:val="left"/>
      <w:pPr>
        <w:ind w:left="720" w:hanging="360"/>
      </w:pPr>
      <w:rPr>
        <w:rFonts w:hint="default"/>
        <w:color w:val="auto"/>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66BD30A5"/>
    <w:multiLevelType w:val="multilevel"/>
    <w:tmpl w:val="66BD30A5"/>
    <w:lvl w:ilvl="0">
      <w:start w:val="1"/>
      <w:numFmt w:val="decimal"/>
      <w:lvlText w:val="(%1)"/>
      <w:lvlJc w:val="left"/>
      <w:pPr>
        <w:ind w:left="1069" w:hanging="360"/>
      </w:pPr>
      <w:rPr>
        <w:rFonts w:ascii="Aria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701355E9"/>
    <w:multiLevelType w:val="hybridMultilevel"/>
    <w:tmpl w:val="453EE5BC"/>
    <w:lvl w:ilvl="0" w:tplc="B69891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720"/>
  <w:drawingGridHorizontalSpacing w:val="211"/>
  <w:drawingGridVerticalSpacing w:val="367"/>
  <w:characterSpacingControl w:val="doNotCompress"/>
  <w:doNotValidateAgainstSchema/>
  <w:doNotDemarcateInvalidXml/>
  <w:hdrShapeDefaults>
    <o:shapedefaults v:ext="edit" spidmax="40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useFELayout/>
  </w:compat>
  <w:rsids>
    <w:rsidRoot w:val="00A80CFF"/>
    <w:rsid w:val="0000061E"/>
    <w:rsid w:val="00000A38"/>
    <w:rsid w:val="00001D19"/>
    <w:rsid w:val="00001E37"/>
    <w:rsid w:val="000020D6"/>
    <w:rsid w:val="00002FA1"/>
    <w:rsid w:val="000032C8"/>
    <w:rsid w:val="00003446"/>
    <w:rsid w:val="00003F2D"/>
    <w:rsid w:val="000048BD"/>
    <w:rsid w:val="00004B67"/>
    <w:rsid w:val="00005DF8"/>
    <w:rsid w:val="000066C0"/>
    <w:rsid w:val="00006CC1"/>
    <w:rsid w:val="00006D30"/>
    <w:rsid w:val="00006D6C"/>
    <w:rsid w:val="0000716F"/>
    <w:rsid w:val="00007680"/>
    <w:rsid w:val="00007AB5"/>
    <w:rsid w:val="00007DC6"/>
    <w:rsid w:val="000107A8"/>
    <w:rsid w:val="00010BD2"/>
    <w:rsid w:val="0001137F"/>
    <w:rsid w:val="00011BF9"/>
    <w:rsid w:val="000120E6"/>
    <w:rsid w:val="00012A65"/>
    <w:rsid w:val="00012BA8"/>
    <w:rsid w:val="00012FCA"/>
    <w:rsid w:val="000140D6"/>
    <w:rsid w:val="00014281"/>
    <w:rsid w:val="00014C63"/>
    <w:rsid w:val="00015008"/>
    <w:rsid w:val="000153B0"/>
    <w:rsid w:val="00015966"/>
    <w:rsid w:val="00017D6B"/>
    <w:rsid w:val="00020343"/>
    <w:rsid w:val="00020526"/>
    <w:rsid w:val="0002068D"/>
    <w:rsid w:val="00020C40"/>
    <w:rsid w:val="00020CD3"/>
    <w:rsid w:val="0002189E"/>
    <w:rsid w:val="00021B0A"/>
    <w:rsid w:val="00021D40"/>
    <w:rsid w:val="00021E88"/>
    <w:rsid w:val="000220B0"/>
    <w:rsid w:val="0002272D"/>
    <w:rsid w:val="00022E2E"/>
    <w:rsid w:val="00023390"/>
    <w:rsid w:val="00023FFB"/>
    <w:rsid w:val="000244FC"/>
    <w:rsid w:val="00024A0A"/>
    <w:rsid w:val="00024D19"/>
    <w:rsid w:val="00025292"/>
    <w:rsid w:val="000254D4"/>
    <w:rsid w:val="00026022"/>
    <w:rsid w:val="000269A5"/>
    <w:rsid w:val="0002737A"/>
    <w:rsid w:val="000279DC"/>
    <w:rsid w:val="00027D40"/>
    <w:rsid w:val="00030891"/>
    <w:rsid w:val="00030FFF"/>
    <w:rsid w:val="000310D3"/>
    <w:rsid w:val="00031419"/>
    <w:rsid w:val="000314E0"/>
    <w:rsid w:val="00031826"/>
    <w:rsid w:val="00031BC8"/>
    <w:rsid w:val="00031F26"/>
    <w:rsid w:val="00031F9F"/>
    <w:rsid w:val="00032474"/>
    <w:rsid w:val="00032878"/>
    <w:rsid w:val="00032896"/>
    <w:rsid w:val="00032968"/>
    <w:rsid w:val="00032E93"/>
    <w:rsid w:val="00033E98"/>
    <w:rsid w:val="0003434C"/>
    <w:rsid w:val="00034449"/>
    <w:rsid w:val="00034716"/>
    <w:rsid w:val="00034D2C"/>
    <w:rsid w:val="00034D74"/>
    <w:rsid w:val="00034D77"/>
    <w:rsid w:val="00036062"/>
    <w:rsid w:val="00036765"/>
    <w:rsid w:val="000369F9"/>
    <w:rsid w:val="00036E5B"/>
    <w:rsid w:val="00036E69"/>
    <w:rsid w:val="000370FF"/>
    <w:rsid w:val="000371F0"/>
    <w:rsid w:val="00037D37"/>
    <w:rsid w:val="00037EFC"/>
    <w:rsid w:val="000401D1"/>
    <w:rsid w:val="0004152B"/>
    <w:rsid w:val="00041942"/>
    <w:rsid w:val="00042232"/>
    <w:rsid w:val="0004236A"/>
    <w:rsid w:val="00042669"/>
    <w:rsid w:val="00042E3C"/>
    <w:rsid w:val="000431BC"/>
    <w:rsid w:val="0004329B"/>
    <w:rsid w:val="000437DF"/>
    <w:rsid w:val="000443FE"/>
    <w:rsid w:val="000448F0"/>
    <w:rsid w:val="000451BF"/>
    <w:rsid w:val="000464D7"/>
    <w:rsid w:val="00046C18"/>
    <w:rsid w:val="00046C8E"/>
    <w:rsid w:val="0004700B"/>
    <w:rsid w:val="000472B7"/>
    <w:rsid w:val="00047527"/>
    <w:rsid w:val="0004790E"/>
    <w:rsid w:val="0004797C"/>
    <w:rsid w:val="00047E14"/>
    <w:rsid w:val="00047F5B"/>
    <w:rsid w:val="00050A85"/>
    <w:rsid w:val="00050C40"/>
    <w:rsid w:val="00051A5D"/>
    <w:rsid w:val="00052D32"/>
    <w:rsid w:val="00052E2B"/>
    <w:rsid w:val="0005311D"/>
    <w:rsid w:val="000533A1"/>
    <w:rsid w:val="0005353C"/>
    <w:rsid w:val="0005437E"/>
    <w:rsid w:val="000544BA"/>
    <w:rsid w:val="00054DD3"/>
    <w:rsid w:val="00055402"/>
    <w:rsid w:val="00055BDC"/>
    <w:rsid w:val="000571E6"/>
    <w:rsid w:val="000577DE"/>
    <w:rsid w:val="00057973"/>
    <w:rsid w:val="000602E4"/>
    <w:rsid w:val="00060881"/>
    <w:rsid w:val="00060C0C"/>
    <w:rsid w:val="000617D7"/>
    <w:rsid w:val="0006246B"/>
    <w:rsid w:val="00063B84"/>
    <w:rsid w:val="00063EC4"/>
    <w:rsid w:val="00064170"/>
    <w:rsid w:val="000641B2"/>
    <w:rsid w:val="00064766"/>
    <w:rsid w:val="00064858"/>
    <w:rsid w:val="00064FD2"/>
    <w:rsid w:val="000650F0"/>
    <w:rsid w:val="00065192"/>
    <w:rsid w:val="000657E7"/>
    <w:rsid w:val="00065929"/>
    <w:rsid w:val="00065C7B"/>
    <w:rsid w:val="00066E03"/>
    <w:rsid w:val="0006702A"/>
    <w:rsid w:val="0006718A"/>
    <w:rsid w:val="00067394"/>
    <w:rsid w:val="000674FC"/>
    <w:rsid w:val="0006763A"/>
    <w:rsid w:val="000678C4"/>
    <w:rsid w:val="00067901"/>
    <w:rsid w:val="000704B5"/>
    <w:rsid w:val="0007095B"/>
    <w:rsid w:val="0007156E"/>
    <w:rsid w:val="000716A0"/>
    <w:rsid w:val="000719B6"/>
    <w:rsid w:val="000725AB"/>
    <w:rsid w:val="000734EC"/>
    <w:rsid w:val="00073CC8"/>
    <w:rsid w:val="00073D4F"/>
    <w:rsid w:val="000740B2"/>
    <w:rsid w:val="000746F3"/>
    <w:rsid w:val="00075002"/>
    <w:rsid w:val="000754D7"/>
    <w:rsid w:val="00075892"/>
    <w:rsid w:val="00076152"/>
    <w:rsid w:val="00076D57"/>
    <w:rsid w:val="00076D94"/>
    <w:rsid w:val="00077822"/>
    <w:rsid w:val="00077EFF"/>
    <w:rsid w:val="0008130B"/>
    <w:rsid w:val="000824E5"/>
    <w:rsid w:val="00082F12"/>
    <w:rsid w:val="00083782"/>
    <w:rsid w:val="00083820"/>
    <w:rsid w:val="000838DE"/>
    <w:rsid w:val="00083D40"/>
    <w:rsid w:val="000846EE"/>
    <w:rsid w:val="000846F6"/>
    <w:rsid w:val="00084859"/>
    <w:rsid w:val="00084F78"/>
    <w:rsid w:val="0008500D"/>
    <w:rsid w:val="000860CB"/>
    <w:rsid w:val="000861E6"/>
    <w:rsid w:val="000864C5"/>
    <w:rsid w:val="00086893"/>
    <w:rsid w:val="000877CE"/>
    <w:rsid w:val="000900BC"/>
    <w:rsid w:val="00090C4B"/>
    <w:rsid w:val="00091288"/>
    <w:rsid w:val="00092322"/>
    <w:rsid w:val="0009329F"/>
    <w:rsid w:val="0009347F"/>
    <w:rsid w:val="000936A0"/>
    <w:rsid w:val="00093A9D"/>
    <w:rsid w:val="00093BD0"/>
    <w:rsid w:val="000940DF"/>
    <w:rsid w:val="00094B25"/>
    <w:rsid w:val="00094B35"/>
    <w:rsid w:val="000953C7"/>
    <w:rsid w:val="00096284"/>
    <w:rsid w:val="00096430"/>
    <w:rsid w:val="0009696F"/>
    <w:rsid w:val="0009720F"/>
    <w:rsid w:val="00097AD1"/>
    <w:rsid w:val="00097D22"/>
    <w:rsid w:val="000A0527"/>
    <w:rsid w:val="000A10BC"/>
    <w:rsid w:val="000A1FCB"/>
    <w:rsid w:val="000A229F"/>
    <w:rsid w:val="000A2567"/>
    <w:rsid w:val="000A2568"/>
    <w:rsid w:val="000A2BB3"/>
    <w:rsid w:val="000A3A06"/>
    <w:rsid w:val="000A4006"/>
    <w:rsid w:val="000A599E"/>
    <w:rsid w:val="000A5BD6"/>
    <w:rsid w:val="000A638E"/>
    <w:rsid w:val="000A63AD"/>
    <w:rsid w:val="000A6488"/>
    <w:rsid w:val="000A73F5"/>
    <w:rsid w:val="000A7EA4"/>
    <w:rsid w:val="000B1037"/>
    <w:rsid w:val="000B2253"/>
    <w:rsid w:val="000B2707"/>
    <w:rsid w:val="000B2F3D"/>
    <w:rsid w:val="000B2F90"/>
    <w:rsid w:val="000B316B"/>
    <w:rsid w:val="000B359C"/>
    <w:rsid w:val="000B399E"/>
    <w:rsid w:val="000B429C"/>
    <w:rsid w:val="000B4329"/>
    <w:rsid w:val="000B45F8"/>
    <w:rsid w:val="000B4F95"/>
    <w:rsid w:val="000B54F2"/>
    <w:rsid w:val="000B5641"/>
    <w:rsid w:val="000B660A"/>
    <w:rsid w:val="000B710A"/>
    <w:rsid w:val="000B73D4"/>
    <w:rsid w:val="000C00CA"/>
    <w:rsid w:val="000C0502"/>
    <w:rsid w:val="000C1077"/>
    <w:rsid w:val="000C187F"/>
    <w:rsid w:val="000C2E5B"/>
    <w:rsid w:val="000C2EAD"/>
    <w:rsid w:val="000C39F6"/>
    <w:rsid w:val="000C4238"/>
    <w:rsid w:val="000C57B5"/>
    <w:rsid w:val="000C69D0"/>
    <w:rsid w:val="000D0B59"/>
    <w:rsid w:val="000D0C67"/>
    <w:rsid w:val="000D1173"/>
    <w:rsid w:val="000D1634"/>
    <w:rsid w:val="000D1729"/>
    <w:rsid w:val="000D1745"/>
    <w:rsid w:val="000D1AEB"/>
    <w:rsid w:val="000D2842"/>
    <w:rsid w:val="000D292A"/>
    <w:rsid w:val="000D5392"/>
    <w:rsid w:val="000D6043"/>
    <w:rsid w:val="000D63E4"/>
    <w:rsid w:val="000D7266"/>
    <w:rsid w:val="000D74EE"/>
    <w:rsid w:val="000D7A26"/>
    <w:rsid w:val="000E04C8"/>
    <w:rsid w:val="000E1D39"/>
    <w:rsid w:val="000E1E2A"/>
    <w:rsid w:val="000E253C"/>
    <w:rsid w:val="000E3337"/>
    <w:rsid w:val="000E3620"/>
    <w:rsid w:val="000E3F7E"/>
    <w:rsid w:val="000E498A"/>
    <w:rsid w:val="000E4E50"/>
    <w:rsid w:val="000E50B5"/>
    <w:rsid w:val="000E60AC"/>
    <w:rsid w:val="000E6E0E"/>
    <w:rsid w:val="000E7121"/>
    <w:rsid w:val="000E72B2"/>
    <w:rsid w:val="000E7D73"/>
    <w:rsid w:val="000E7E53"/>
    <w:rsid w:val="000E7EC9"/>
    <w:rsid w:val="000F0116"/>
    <w:rsid w:val="000F0E7B"/>
    <w:rsid w:val="000F172A"/>
    <w:rsid w:val="000F1A54"/>
    <w:rsid w:val="000F1E05"/>
    <w:rsid w:val="000F21E9"/>
    <w:rsid w:val="000F2BC7"/>
    <w:rsid w:val="000F301A"/>
    <w:rsid w:val="000F3525"/>
    <w:rsid w:val="000F44A4"/>
    <w:rsid w:val="000F45D8"/>
    <w:rsid w:val="000F4649"/>
    <w:rsid w:val="000F4BA4"/>
    <w:rsid w:val="000F54C1"/>
    <w:rsid w:val="000F56B9"/>
    <w:rsid w:val="000F59B8"/>
    <w:rsid w:val="000F5DAB"/>
    <w:rsid w:val="000F5E97"/>
    <w:rsid w:val="000F6087"/>
    <w:rsid w:val="000F759D"/>
    <w:rsid w:val="000F7ECC"/>
    <w:rsid w:val="00100929"/>
    <w:rsid w:val="00100A36"/>
    <w:rsid w:val="00101188"/>
    <w:rsid w:val="00101A6F"/>
    <w:rsid w:val="00102342"/>
    <w:rsid w:val="001029CC"/>
    <w:rsid w:val="00103503"/>
    <w:rsid w:val="00104E61"/>
    <w:rsid w:val="00104F1E"/>
    <w:rsid w:val="00105C42"/>
    <w:rsid w:val="00105CE8"/>
    <w:rsid w:val="001062B0"/>
    <w:rsid w:val="00106ED0"/>
    <w:rsid w:val="00107F4E"/>
    <w:rsid w:val="00107F80"/>
    <w:rsid w:val="0011023F"/>
    <w:rsid w:val="00110C59"/>
    <w:rsid w:val="00111355"/>
    <w:rsid w:val="00111919"/>
    <w:rsid w:val="00112431"/>
    <w:rsid w:val="00112C6A"/>
    <w:rsid w:val="00112EE2"/>
    <w:rsid w:val="00112F1A"/>
    <w:rsid w:val="00113355"/>
    <w:rsid w:val="00113BD4"/>
    <w:rsid w:val="00113C04"/>
    <w:rsid w:val="0011470C"/>
    <w:rsid w:val="0011557E"/>
    <w:rsid w:val="001156C3"/>
    <w:rsid w:val="00116043"/>
    <w:rsid w:val="00117B3A"/>
    <w:rsid w:val="00117EA9"/>
    <w:rsid w:val="00120F24"/>
    <w:rsid w:val="001210DD"/>
    <w:rsid w:val="00121E48"/>
    <w:rsid w:val="00122003"/>
    <w:rsid w:val="00122759"/>
    <w:rsid w:val="00122E81"/>
    <w:rsid w:val="00122F7B"/>
    <w:rsid w:val="00124404"/>
    <w:rsid w:val="001253D0"/>
    <w:rsid w:val="00125BF4"/>
    <w:rsid w:val="0012605E"/>
    <w:rsid w:val="00127676"/>
    <w:rsid w:val="00127761"/>
    <w:rsid w:val="00130D2E"/>
    <w:rsid w:val="00131485"/>
    <w:rsid w:val="00131495"/>
    <w:rsid w:val="0013204D"/>
    <w:rsid w:val="0013264E"/>
    <w:rsid w:val="0013319B"/>
    <w:rsid w:val="00133685"/>
    <w:rsid w:val="00134148"/>
    <w:rsid w:val="00135579"/>
    <w:rsid w:val="001355AE"/>
    <w:rsid w:val="00135CA4"/>
    <w:rsid w:val="00135F6D"/>
    <w:rsid w:val="00136200"/>
    <w:rsid w:val="00136421"/>
    <w:rsid w:val="001373CA"/>
    <w:rsid w:val="00137D71"/>
    <w:rsid w:val="001406F8"/>
    <w:rsid w:val="00140D65"/>
    <w:rsid w:val="00140DA3"/>
    <w:rsid w:val="00140E3A"/>
    <w:rsid w:val="001411E0"/>
    <w:rsid w:val="00141BE9"/>
    <w:rsid w:val="0014248F"/>
    <w:rsid w:val="00142CE3"/>
    <w:rsid w:val="0014325F"/>
    <w:rsid w:val="00143721"/>
    <w:rsid w:val="00143973"/>
    <w:rsid w:val="00146101"/>
    <w:rsid w:val="001467B0"/>
    <w:rsid w:val="001469C4"/>
    <w:rsid w:val="00146A11"/>
    <w:rsid w:val="001470E6"/>
    <w:rsid w:val="0014726D"/>
    <w:rsid w:val="0014744F"/>
    <w:rsid w:val="001478C5"/>
    <w:rsid w:val="00150032"/>
    <w:rsid w:val="001507BE"/>
    <w:rsid w:val="00150890"/>
    <w:rsid w:val="00150B20"/>
    <w:rsid w:val="00151764"/>
    <w:rsid w:val="001518CF"/>
    <w:rsid w:val="00151A9B"/>
    <w:rsid w:val="001521FE"/>
    <w:rsid w:val="00152D72"/>
    <w:rsid w:val="001535B8"/>
    <w:rsid w:val="00153DEA"/>
    <w:rsid w:val="00153E88"/>
    <w:rsid w:val="0015446B"/>
    <w:rsid w:val="001553C5"/>
    <w:rsid w:val="00156092"/>
    <w:rsid w:val="001563D9"/>
    <w:rsid w:val="00156B7B"/>
    <w:rsid w:val="00157B83"/>
    <w:rsid w:val="00160E7A"/>
    <w:rsid w:val="00160EE0"/>
    <w:rsid w:val="00161CD5"/>
    <w:rsid w:val="00166787"/>
    <w:rsid w:val="00166961"/>
    <w:rsid w:val="001670A5"/>
    <w:rsid w:val="001674F5"/>
    <w:rsid w:val="00167F97"/>
    <w:rsid w:val="00167FF8"/>
    <w:rsid w:val="001700E9"/>
    <w:rsid w:val="001709C4"/>
    <w:rsid w:val="00170B3E"/>
    <w:rsid w:val="00170D7A"/>
    <w:rsid w:val="00170E48"/>
    <w:rsid w:val="00171C67"/>
    <w:rsid w:val="00171FCC"/>
    <w:rsid w:val="00172314"/>
    <w:rsid w:val="0017256A"/>
    <w:rsid w:val="0017341B"/>
    <w:rsid w:val="00173470"/>
    <w:rsid w:val="00173AD1"/>
    <w:rsid w:val="00173F5A"/>
    <w:rsid w:val="00174D78"/>
    <w:rsid w:val="00175AE1"/>
    <w:rsid w:val="00176890"/>
    <w:rsid w:val="00177117"/>
    <w:rsid w:val="001775AD"/>
    <w:rsid w:val="00180086"/>
    <w:rsid w:val="00180BF4"/>
    <w:rsid w:val="00181C10"/>
    <w:rsid w:val="00181D58"/>
    <w:rsid w:val="00183238"/>
    <w:rsid w:val="00183D3D"/>
    <w:rsid w:val="00184CD3"/>
    <w:rsid w:val="001859ED"/>
    <w:rsid w:val="00185EBB"/>
    <w:rsid w:val="00186433"/>
    <w:rsid w:val="0018646A"/>
    <w:rsid w:val="00186797"/>
    <w:rsid w:val="00186B03"/>
    <w:rsid w:val="00191D9B"/>
    <w:rsid w:val="0019214B"/>
    <w:rsid w:val="00192324"/>
    <w:rsid w:val="001923E9"/>
    <w:rsid w:val="001925B6"/>
    <w:rsid w:val="00192BB0"/>
    <w:rsid w:val="00192C4E"/>
    <w:rsid w:val="0019316A"/>
    <w:rsid w:val="00193294"/>
    <w:rsid w:val="00194025"/>
    <w:rsid w:val="00194447"/>
    <w:rsid w:val="001944A9"/>
    <w:rsid w:val="00194771"/>
    <w:rsid w:val="001949EB"/>
    <w:rsid w:val="00194C47"/>
    <w:rsid w:val="00194FFC"/>
    <w:rsid w:val="0019579B"/>
    <w:rsid w:val="00195C4C"/>
    <w:rsid w:val="00196C3C"/>
    <w:rsid w:val="00196E1B"/>
    <w:rsid w:val="00197AA3"/>
    <w:rsid w:val="001A0240"/>
    <w:rsid w:val="001A0397"/>
    <w:rsid w:val="001A0680"/>
    <w:rsid w:val="001A0E93"/>
    <w:rsid w:val="001A1396"/>
    <w:rsid w:val="001A1DF3"/>
    <w:rsid w:val="001A3661"/>
    <w:rsid w:val="001A3F51"/>
    <w:rsid w:val="001A40C8"/>
    <w:rsid w:val="001A412B"/>
    <w:rsid w:val="001A44EB"/>
    <w:rsid w:val="001A6146"/>
    <w:rsid w:val="001A6E37"/>
    <w:rsid w:val="001A7AE4"/>
    <w:rsid w:val="001A7B95"/>
    <w:rsid w:val="001B064B"/>
    <w:rsid w:val="001B107D"/>
    <w:rsid w:val="001B11A2"/>
    <w:rsid w:val="001B12E1"/>
    <w:rsid w:val="001B20BF"/>
    <w:rsid w:val="001B2216"/>
    <w:rsid w:val="001B2D83"/>
    <w:rsid w:val="001B32D4"/>
    <w:rsid w:val="001B35F3"/>
    <w:rsid w:val="001B42FF"/>
    <w:rsid w:val="001B4D8D"/>
    <w:rsid w:val="001B4F1A"/>
    <w:rsid w:val="001B598D"/>
    <w:rsid w:val="001B5BED"/>
    <w:rsid w:val="001B5BF3"/>
    <w:rsid w:val="001B6D3B"/>
    <w:rsid w:val="001B7FB2"/>
    <w:rsid w:val="001C05E1"/>
    <w:rsid w:val="001C0874"/>
    <w:rsid w:val="001C1573"/>
    <w:rsid w:val="001C1594"/>
    <w:rsid w:val="001C1E6E"/>
    <w:rsid w:val="001C30A1"/>
    <w:rsid w:val="001C5136"/>
    <w:rsid w:val="001C5386"/>
    <w:rsid w:val="001C5C70"/>
    <w:rsid w:val="001C68DC"/>
    <w:rsid w:val="001C6A16"/>
    <w:rsid w:val="001C7350"/>
    <w:rsid w:val="001D07D8"/>
    <w:rsid w:val="001D18BA"/>
    <w:rsid w:val="001D1EE9"/>
    <w:rsid w:val="001D271E"/>
    <w:rsid w:val="001D29AE"/>
    <w:rsid w:val="001D2AF1"/>
    <w:rsid w:val="001D4120"/>
    <w:rsid w:val="001D5104"/>
    <w:rsid w:val="001D514B"/>
    <w:rsid w:val="001D549D"/>
    <w:rsid w:val="001D5BE7"/>
    <w:rsid w:val="001D6DDF"/>
    <w:rsid w:val="001D738F"/>
    <w:rsid w:val="001D77A9"/>
    <w:rsid w:val="001D7860"/>
    <w:rsid w:val="001D7BE8"/>
    <w:rsid w:val="001D7FD2"/>
    <w:rsid w:val="001E037B"/>
    <w:rsid w:val="001E05F0"/>
    <w:rsid w:val="001E0B80"/>
    <w:rsid w:val="001E1F25"/>
    <w:rsid w:val="001E2440"/>
    <w:rsid w:val="001E2A7E"/>
    <w:rsid w:val="001E327C"/>
    <w:rsid w:val="001E3303"/>
    <w:rsid w:val="001E35D9"/>
    <w:rsid w:val="001E3E51"/>
    <w:rsid w:val="001E41CF"/>
    <w:rsid w:val="001E42C8"/>
    <w:rsid w:val="001E4883"/>
    <w:rsid w:val="001E4898"/>
    <w:rsid w:val="001E4EA9"/>
    <w:rsid w:val="001E5371"/>
    <w:rsid w:val="001E54A7"/>
    <w:rsid w:val="001E57E9"/>
    <w:rsid w:val="001E643D"/>
    <w:rsid w:val="001E6639"/>
    <w:rsid w:val="001E71EF"/>
    <w:rsid w:val="001E75DD"/>
    <w:rsid w:val="001E7644"/>
    <w:rsid w:val="001E76E0"/>
    <w:rsid w:val="001E7903"/>
    <w:rsid w:val="001E7FF8"/>
    <w:rsid w:val="001F023A"/>
    <w:rsid w:val="001F0765"/>
    <w:rsid w:val="001F07E5"/>
    <w:rsid w:val="001F0944"/>
    <w:rsid w:val="001F1034"/>
    <w:rsid w:val="001F10E2"/>
    <w:rsid w:val="001F112E"/>
    <w:rsid w:val="001F1579"/>
    <w:rsid w:val="001F1A79"/>
    <w:rsid w:val="001F2291"/>
    <w:rsid w:val="001F2E33"/>
    <w:rsid w:val="001F3AE8"/>
    <w:rsid w:val="001F481F"/>
    <w:rsid w:val="001F504C"/>
    <w:rsid w:val="001F52B7"/>
    <w:rsid w:val="001F545D"/>
    <w:rsid w:val="001F5851"/>
    <w:rsid w:val="001F5E17"/>
    <w:rsid w:val="001F62B7"/>
    <w:rsid w:val="001F65F6"/>
    <w:rsid w:val="001F7B8D"/>
    <w:rsid w:val="001F7D05"/>
    <w:rsid w:val="00200037"/>
    <w:rsid w:val="00200440"/>
    <w:rsid w:val="00200E5C"/>
    <w:rsid w:val="00201799"/>
    <w:rsid w:val="00202030"/>
    <w:rsid w:val="0020203D"/>
    <w:rsid w:val="002020A2"/>
    <w:rsid w:val="002024AF"/>
    <w:rsid w:val="002028A9"/>
    <w:rsid w:val="00202E61"/>
    <w:rsid w:val="002031C4"/>
    <w:rsid w:val="0020329C"/>
    <w:rsid w:val="0020359B"/>
    <w:rsid w:val="00204641"/>
    <w:rsid w:val="0020477D"/>
    <w:rsid w:val="00204805"/>
    <w:rsid w:val="00204935"/>
    <w:rsid w:val="00204DED"/>
    <w:rsid w:val="00205F3A"/>
    <w:rsid w:val="002060EB"/>
    <w:rsid w:val="00206882"/>
    <w:rsid w:val="00207129"/>
    <w:rsid w:val="002074F9"/>
    <w:rsid w:val="0021111A"/>
    <w:rsid w:val="00212024"/>
    <w:rsid w:val="002126BA"/>
    <w:rsid w:val="00212C51"/>
    <w:rsid w:val="0021326A"/>
    <w:rsid w:val="00213E72"/>
    <w:rsid w:val="0021648F"/>
    <w:rsid w:val="00216E62"/>
    <w:rsid w:val="00217709"/>
    <w:rsid w:val="00217A96"/>
    <w:rsid w:val="0022087A"/>
    <w:rsid w:val="00220C6C"/>
    <w:rsid w:val="0022153F"/>
    <w:rsid w:val="00221E28"/>
    <w:rsid w:val="0022216B"/>
    <w:rsid w:val="002221DF"/>
    <w:rsid w:val="002222F2"/>
    <w:rsid w:val="002226C3"/>
    <w:rsid w:val="00223147"/>
    <w:rsid w:val="00223588"/>
    <w:rsid w:val="00224132"/>
    <w:rsid w:val="002248C0"/>
    <w:rsid w:val="00225666"/>
    <w:rsid w:val="00225BAB"/>
    <w:rsid w:val="00225ECA"/>
    <w:rsid w:val="00226012"/>
    <w:rsid w:val="00227150"/>
    <w:rsid w:val="0022770E"/>
    <w:rsid w:val="00227900"/>
    <w:rsid w:val="00227AF0"/>
    <w:rsid w:val="00227FEE"/>
    <w:rsid w:val="00230240"/>
    <w:rsid w:val="00230943"/>
    <w:rsid w:val="0023163C"/>
    <w:rsid w:val="002318BD"/>
    <w:rsid w:val="00232101"/>
    <w:rsid w:val="00232474"/>
    <w:rsid w:val="00232FAE"/>
    <w:rsid w:val="00233379"/>
    <w:rsid w:val="00233E08"/>
    <w:rsid w:val="002340D8"/>
    <w:rsid w:val="0023430E"/>
    <w:rsid w:val="00234590"/>
    <w:rsid w:val="00234E2B"/>
    <w:rsid w:val="00234F4C"/>
    <w:rsid w:val="0023609E"/>
    <w:rsid w:val="00236645"/>
    <w:rsid w:val="00236668"/>
    <w:rsid w:val="002368F4"/>
    <w:rsid w:val="00236D59"/>
    <w:rsid w:val="002375F9"/>
    <w:rsid w:val="00237CA1"/>
    <w:rsid w:val="00237DEA"/>
    <w:rsid w:val="00237EB0"/>
    <w:rsid w:val="00240208"/>
    <w:rsid w:val="002406B8"/>
    <w:rsid w:val="002409DE"/>
    <w:rsid w:val="00240E98"/>
    <w:rsid w:val="00241851"/>
    <w:rsid w:val="002424A9"/>
    <w:rsid w:val="00242610"/>
    <w:rsid w:val="002428CB"/>
    <w:rsid w:val="00242ADB"/>
    <w:rsid w:val="00242EEC"/>
    <w:rsid w:val="00245A08"/>
    <w:rsid w:val="00245FCB"/>
    <w:rsid w:val="0024735B"/>
    <w:rsid w:val="00247A3B"/>
    <w:rsid w:val="00247D06"/>
    <w:rsid w:val="002501CA"/>
    <w:rsid w:val="0025022F"/>
    <w:rsid w:val="00250AA7"/>
    <w:rsid w:val="00250FB9"/>
    <w:rsid w:val="00253C9C"/>
    <w:rsid w:val="0025464C"/>
    <w:rsid w:val="0025519F"/>
    <w:rsid w:val="00255346"/>
    <w:rsid w:val="00255A5F"/>
    <w:rsid w:val="00255C82"/>
    <w:rsid w:val="00256389"/>
    <w:rsid w:val="0025688A"/>
    <w:rsid w:val="002570F0"/>
    <w:rsid w:val="00257785"/>
    <w:rsid w:val="0025779E"/>
    <w:rsid w:val="00257BC7"/>
    <w:rsid w:val="0026059D"/>
    <w:rsid w:val="00260CB4"/>
    <w:rsid w:val="00261748"/>
    <w:rsid w:val="00261841"/>
    <w:rsid w:val="00262769"/>
    <w:rsid w:val="00262821"/>
    <w:rsid w:val="002633D3"/>
    <w:rsid w:val="00265324"/>
    <w:rsid w:val="00265C4B"/>
    <w:rsid w:val="002661DE"/>
    <w:rsid w:val="002677F3"/>
    <w:rsid w:val="00267AFD"/>
    <w:rsid w:val="00270751"/>
    <w:rsid w:val="00272422"/>
    <w:rsid w:val="002724AE"/>
    <w:rsid w:val="002725E2"/>
    <w:rsid w:val="00272B09"/>
    <w:rsid w:val="00272FD6"/>
    <w:rsid w:val="002744FE"/>
    <w:rsid w:val="00274D92"/>
    <w:rsid w:val="002755F1"/>
    <w:rsid w:val="00275763"/>
    <w:rsid w:val="00275976"/>
    <w:rsid w:val="00275C52"/>
    <w:rsid w:val="00275F08"/>
    <w:rsid w:val="0027697A"/>
    <w:rsid w:val="00276B1F"/>
    <w:rsid w:val="00276D43"/>
    <w:rsid w:val="002800A3"/>
    <w:rsid w:val="0028071F"/>
    <w:rsid w:val="002811A0"/>
    <w:rsid w:val="002812F5"/>
    <w:rsid w:val="002831CE"/>
    <w:rsid w:val="00283474"/>
    <w:rsid w:val="00283940"/>
    <w:rsid w:val="00284888"/>
    <w:rsid w:val="00284D2A"/>
    <w:rsid w:val="0028504E"/>
    <w:rsid w:val="002856C1"/>
    <w:rsid w:val="00286203"/>
    <w:rsid w:val="0028663D"/>
    <w:rsid w:val="002867DB"/>
    <w:rsid w:val="002869B4"/>
    <w:rsid w:val="00287021"/>
    <w:rsid w:val="00287286"/>
    <w:rsid w:val="00287560"/>
    <w:rsid w:val="00287A99"/>
    <w:rsid w:val="0029017E"/>
    <w:rsid w:val="002904A6"/>
    <w:rsid w:val="00291382"/>
    <w:rsid w:val="002918EE"/>
    <w:rsid w:val="00292ACD"/>
    <w:rsid w:val="0029412E"/>
    <w:rsid w:val="002942D1"/>
    <w:rsid w:val="002944C4"/>
    <w:rsid w:val="0029475E"/>
    <w:rsid w:val="00294C2F"/>
    <w:rsid w:val="00294EF9"/>
    <w:rsid w:val="00294FF4"/>
    <w:rsid w:val="0029571C"/>
    <w:rsid w:val="00295B87"/>
    <w:rsid w:val="00295DBB"/>
    <w:rsid w:val="002962B1"/>
    <w:rsid w:val="00296416"/>
    <w:rsid w:val="0029678D"/>
    <w:rsid w:val="0029686C"/>
    <w:rsid w:val="00297043"/>
    <w:rsid w:val="00297256"/>
    <w:rsid w:val="002A05D8"/>
    <w:rsid w:val="002A16D0"/>
    <w:rsid w:val="002A2BA2"/>
    <w:rsid w:val="002A2C02"/>
    <w:rsid w:val="002A309C"/>
    <w:rsid w:val="002A30E6"/>
    <w:rsid w:val="002A3532"/>
    <w:rsid w:val="002A3F10"/>
    <w:rsid w:val="002A43D9"/>
    <w:rsid w:val="002A4B9B"/>
    <w:rsid w:val="002A4C20"/>
    <w:rsid w:val="002A53D4"/>
    <w:rsid w:val="002A552A"/>
    <w:rsid w:val="002A5783"/>
    <w:rsid w:val="002A5C65"/>
    <w:rsid w:val="002A616D"/>
    <w:rsid w:val="002A6C3C"/>
    <w:rsid w:val="002A7017"/>
    <w:rsid w:val="002A7458"/>
    <w:rsid w:val="002A75F0"/>
    <w:rsid w:val="002A77ED"/>
    <w:rsid w:val="002A7862"/>
    <w:rsid w:val="002B0986"/>
    <w:rsid w:val="002B0D70"/>
    <w:rsid w:val="002B3284"/>
    <w:rsid w:val="002B35F4"/>
    <w:rsid w:val="002B3A31"/>
    <w:rsid w:val="002B3E2D"/>
    <w:rsid w:val="002B45AB"/>
    <w:rsid w:val="002B486D"/>
    <w:rsid w:val="002B4CEE"/>
    <w:rsid w:val="002B4D38"/>
    <w:rsid w:val="002B5F55"/>
    <w:rsid w:val="002B6513"/>
    <w:rsid w:val="002B6EAE"/>
    <w:rsid w:val="002B7BF5"/>
    <w:rsid w:val="002C1F04"/>
    <w:rsid w:val="002C1FBF"/>
    <w:rsid w:val="002C2713"/>
    <w:rsid w:val="002C27B0"/>
    <w:rsid w:val="002C2A2E"/>
    <w:rsid w:val="002C2BCF"/>
    <w:rsid w:val="002C33A1"/>
    <w:rsid w:val="002C381D"/>
    <w:rsid w:val="002C3F56"/>
    <w:rsid w:val="002C6B5C"/>
    <w:rsid w:val="002C6F48"/>
    <w:rsid w:val="002C6FA1"/>
    <w:rsid w:val="002C72FC"/>
    <w:rsid w:val="002C7ACA"/>
    <w:rsid w:val="002D082C"/>
    <w:rsid w:val="002D08BE"/>
    <w:rsid w:val="002D08DC"/>
    <w:rsid w:val="002D0E1D"/>
    <w:rsid w:val="002D1535"/>
    <w:rsid w:val="002D19D6"/>
    <w:rsid w:val="002D1C25"/>
    <w:rsid w:val="002D1C4E"/>
    <w:rsid w:val="002D1E37"/>
    <w:rsid w:val="002D2704"/>
    <w:rsid w:val="002D350E"/>
    <w:rsid w:val="002D3798"/>
    <w:rsid w:val="002D424B"/>
    <w:rsid w:val="002D4B51"/>
    <w:rsid w:val="002D4B7A"/>
    <w:rsid w:val="002D4BAD"/>
    <w:rsid w:val="002D5359"/>
    <w:rsid w:val="002D6191"/>
    <w:rsid w:val="002D62AA"/>
    <w:rsid w:val="002D6356"/>
    <w:rsid w:val="002D689D"/>
    <w:rsid w:val="002D6DE6"/>
    <w:rsid w:val="002D6EBD"/>
    <w:rsid w:val="002D7012"/>
    <w:rsid w:val="002D76C6"/>
    <w:rsid w:val="002D78EC"/>
    <w:rsid w:val="002D7D28"/>
    <w:rsid w:val="002E1044"/>
    <w:rsid w:val="002E155C"/>
    <w:rsid w:val="002E2238"/>
    <w:rsid w:val="002E22A5"/>
    <w:rsid w:val="002E24D7"/>
    <w:rsid w:val="002E2E3D"/>
    <w:rsid w:val="002E35A3"/>
    <w:rsid w:val="002E36E9"/>
    <w:rsid w:val="002E3E26"/>
    <w:rsid w:val="002E3FCE"/>
    <w:rsid w:val="002E528F"/>
    <w:rsid w:val="002E529E"/>
    <w:rsid w:val="002E5CBC"/>
    <w:rsid w:val="002E6C38"/>
    <w:rsid w:val="002E6EC1"/>
    <w:rsid w:val="002E6ED0"/>
    <w:rsid w:val="002E789C"/>
    <w:rsid w:val="002E7FD1"/>
    <w:rsid w:val="002F0335"/>
    <w:rsid w:val="002F0423"/>
    <w:rsid w:val="002F085E"/>
    <w:rsid w:val="002F1562"/>
    <w:rsid w:val="002F1958"/>
    <w:rsid w:val="002F1E20"/>
    <w:rsid w:val="002F2BC8"/>
    <w:rsid w:val="002F2CB2"/>
    <w:rsid w:val="002F3685"/>
    <w:rsid w:val="002F398E"/>
    <w:rsid w:val="002F450E"/>
    <w:rsid w:val="002F5907"/>
    <w:rsid w:val="002F6447"/>
    <w:rsid w:val="002F6800"/>
    <w:rsid w:val="002F69CB"/>
    <w:rsid w:val="00300C6F"/>
    <w:rsid w:val="0030195B"/>
    <w:rsid w:val="00302C91"/>
    <w:rsid w:val="00302FF7"/>
    <w:rsid w:val="003036E3"/>
    <w:rsid w:val="0030473A"/>
    <w:rsid w:val="00305015"/>
    <w:rsid w:val="003060CF"/>
    <w:rsid w:val="00306385"/>
    <w:rsid w:val="00306AF8"/>
    <w:rsid w:val="00307A31"/>
    <w:rsid w:val="003104B0"/>
    <w:rsid w:val="00310620"/>
    <w:rsid w:val="00310789"/>
    <w:rsid w:val="00310F1E"/>
    <w:rsid w:val="00311604"/>
    <w:rsid w:val="00311A43"/>
    <w:rsid w:val="00311EE3"/>
    <w:rsid w:val="00312399"/>
    <w:rsid w:val="003127DF"/>
    <w:rsid w:val="00312950"/>
    <w:rsid w:val="00312984"/>
    <w:rsid w:val="00312CF3"/>
    <w:rsid w:val="00312F2B"/>
    <w:rsid w:val="00313621"/>
    <w:rsid w:val="00313791"/>
    <w:rsid w:val="00313E18"/>
    <w:rsid w:val="00313E42"/>
    <w:rsid w:val="00314027"/>
    <w:rsid w:val="00314A1B"/>
    <w:rsid w:val="003157AC"/>
    <w:rsid w:val="00315A89"/>
    <w:rsid w:val="00315B11"/>
    <w:rsid w:val="00315E6C"/>
    <w:rsid w:val="00315E92"/>
    <w:rsid w:val="0031693A"/>
    <w:rsid w:val="00317BAD"/>
    <w:rsid w:val="00320398"/>
    <w:rsid w:val="00320E8E"/>
    <w:rsid w:val="00322199"/>
    <w:rsid w:val="003222CD"/>
    <w:rsid w:val="00322C37"/>
    <w:rsid w:val="00322E4A"/>
    <w:rsid w:val="0032350F"/>
    <w:rsid w:val="0032361D"/>
    <w:rsid w:val="00323A09"/>
    <w:rsid w:val="00323DA3"/>
    <w:rsid w:val="00323F33"/>
    <w:rsid w:val="003240A9"/>
    <w:rsid w:val="003245C8"/>
    <w:rsid w:val="003261CC"/>
    <w:rsid w:val="003267B5"/>
    <w:rsid w:val="00326938"/>
    <w:rsid w:val="00326972"/>
    <w:rsid w:val="00326B7B"/>
    <w:rsid w:val="00327A84"/>
    <w:rsid w:val="0033098A"/>
    <w:rsid w:val="00331034"/>
    <w:rsid w:val="003319D6"/>
    <w:rsid w:val="00332050"/>
    <w:rsid w:val="003322FA"/>
    <w:rsid w:val="0033258D"/>
    <w:rsid w:val="00332697"/>
    <w:rsid w:val="00332CE4"/>
    <w:rsid w:val="00333CAD"/>
    <w:rsid w:val="003343C8"/>
    <w:rsid w:val="00335069"/>
    <w:rsid w:val="00336379"/>
    <w:rsid w:val="003366C5"/>
    <w:rsid w:val="0033750F"/>
    <w:rsid w:val="00340434"/>
    <w:rsid w:val="00340436"/>
    <w:rsid w:val="00341298"/>
    <w:rsid w:val="003412B3"/>
    <w:rsid w:val="00341A3A"/>
    <w:rsid w:val="00341BBE"/>
    <w:rsid w:val="00342002"/>
    <w:rsid w:val="0034237A"/>
    <w:rsid w:val="0034262D"/>
    <w:rsid w:val="00342855"/>
    <w:rsid w:val="0034420E"/>
    <w:rsid w:val="0034446F"/>
    <w:rsid w:val="003461A7"/>
    <w:rsid w:val="003477F2"/>
    <w:rsid w:val="00347C02"/>
    <w:rsid w:val="0035018A"/>
    <w:rsid w:val="00350399"/>
    <w:rsid w:val="00350518"/>
    <w:rsid w:val="00350D06"/>
    <w:rsid w:val="00350D83"/>
    <w:rsid w:val="003512F9"/>
    <w:rsid w:val="003518C6"/>
    <w:rsid w:val="00351C9F"/>
    <w:rsid w:val="00351F80"/>
    <w:rsid w:val="003527BD"/>
    <w:rsid w:val="00352A91"/>
    <w:rsid w:val="00352D12"/>
    <w:rsid w:val="00354673"/>
    <w:rsid w:val="00355155"/>
    <w:rsid w:val="0035578B"/>
    <w:rsid w:val="003557C0"/>
    <w:rsid w:val="00356516"/>
    <w:rsid w:val="00356E0D"/>
    <w:rsid w:val="00357234"/>
    <w:rsid w:val="003578F3"/>
    <w:rsid w:val="00357BA4"/>
    <w:rsid w:val="003602E9"/>
    <w:rsid w:val="003608FB"/>
    <w:rsid w:val="0036099B"/>
    <w:rsid w:val="00360C03"/>
    <w:rsid w:val="00361382"/>
    <w:rsid w:val="00362994"/>
    <w:rsid w:val="00363CEF"/>
    <w:rsid w:val="00364520"/>
    <w:rsid w:val="003645A6"/>
    <w:rsid w:val="00365086"/>
    <w:rsid w:val="00365750"/>
    <w:rsid w:val="00365B9C"/>
    <w:rsid w:val="00365C1B"/>
    <w:rsid w:val="003662E7"/>
    <w:rsid w:val="00366482"/>
    <w:rsid w:val="003668DC"/>
    <w:rsid w:val="003669DB"/>
    <w:rsid w:val="00366B31"/>
    <w:rsid w:val="00367556"/>
    <w:rsid w:val="003678EA"/>
    <w:rsid w:val="003679C9"/>
    <w:rsid w:val="00370543"/>
    <w:rsid w:val="00370ED3"/>
    <w:rsid w:val="0037147D"/>
    <w:rsid w:val="00371A52"/>
    <w:rsid w:val="003721BA"/>
    <w:rsid w:val="00372B01"/>
    <w:rsid w:val="003734E0"/>
    <w:rsid w:val="00373642"/>
    <w:rsid w:val="00374727"/>
    <w:rsid w:val="00374B69"/>
    <w:rsid w:val="00375183"/>
    <w:rsid w:val="00375AB3"/>
    <w:rsid w:val="00375C69"/>
    <w:rsid w:val="00375D63"/>
    <w:rsid w:val="00376B10"/>
    <w:rsid w:val="00376D1F"/>
    <w:rsid w:val="00376D7C"/>
    <w:rsid w:val="00376EE5"/>
    <w:rsid w:val="00376F23"/>
    <w:rsid w:val="003771A3"/>
    <w:rsid w:val="0037738F"/>
    <w:rsid w:val="003813B4"/>
    <w:rsid w:val="003822C0"/>
    <w:rsid w:val="00382E8E"/>
    <w:rsid w:val="003832CF"/>
    <w:rsid w:val="003834D1"/>
    <w:rsid w:val="00383B68"/>
    <w:rsid w:val="00383F68"/>
    <w:rsid w:val="00384337"/>
    <w:rsid w:val="0038466F"/>
    <w:rsid w:val="00384883"/>
    <w:rsid w:val="00384E03"/>
    <w:rsid w:val="003855C6"/>
    <w:rsid w:val="00385A85"/>
    <w:rsid w:val="00385E9F"/>
    <w:rsid w:val="00386395"/>
    <w:rsid w:val="003865E6"/>
    <w:rsid w:val="0038663C"/>
    <w:rsid w:val="00386C0B"/>
    <w:rsid w:val="00386F30"/>
    <w:rsid w:val="00386F85"/>
    <w:rsid w:val="0038732B"/>
    <w:rsid w:val="00387878"/>
    <w:rsid w:val="00387FF6"/>
    <w:rsid w:val="00390753"/>
    <w:rsid w:val="00390A32"/>
    <w:rsid w:val="00391CD6"/>
    <w:rsid w:val="00392477"/>
    <w:rsid w:val="003924CD"/>
    <w:rsid w:val="00392D0F"/>
    <w:rsid w:val="003936E8"/>
    <w:rsid w:val="00393C5E"/>
    <w:rsid w:val="00395831"/>
    <w:rsid w:val="00396272"/>
    <w:rsid w:val="00396F54"/>
    <w:rsid w:val="003A0065"/>
    <w:rsid w:val="003A0280"/>
    <w:rsid w:val="003A0B7A"/>
    <w:rsid w:val="003A0CB1"/>
    <w:rsid w:val="003A0CC9"/>
    <w:rsid w:val="003A0D84"/>
    <w:rsid w:val="003A101E"/>
    <w:rsid w:val="003A2570"/>
    <w:rsid w:val="003A26CC"/>
    <w:rsid w:val="003A2917"/>
    <w:rsid w:val="003A2A0E"/>
    <w:rsid w:val="003A2AF4"/>
    <w:rsid w:val="003A2FE5"/>
    <w:rsid w:val="003A3307"/>
    <w:rsid w:val="003A3D57"/>
    <w:rsid w:val="003A4650"/>
    <w:rsid w:val="003A48AF"/>
    <w:rsid w:val="003A5579"/>
    <w:rsid w:val="003A57E6"/>
    <w:rsid w:val="003A6C23"/>
    <w:rsid w:val="003A6CE2"/>
    <w:rsid w:val="003A7845"/>
    <w:rsid w:val="003A7DD7"/>
    <w:rsid w:val="003B0A65"/>
    <w:rsid w:val="003B175D"/>
    <w:rsid w:val="003B2791"/>
    <w:rsid w:val="003B2CE7"/>
    <w:rsid w:val="003B2E4F"/>
    <w:rsid w:val="003B40DF"/>
    <w:rsid w:val="003B49F3"/>
    <w:rsid w:val="003B4A3D"/>
    <w:rsid w:val="003B4E23"/>
    <w:rsid w:val="003B4F1B"/>
    <w:rsid w:val="003B4FEE"/>
    <w:rsid w:val="003B50EA"/>
    <w:rsid w:val="003B5C89"/>
    <w:rsid w:val="003B5FC4"/>
    <w:rsid w:val="003B67FE"/>
    <w:rsid w:val="003B753F"/>
    <w:rsid w:val="003B7554"/>
    <w:rsid w:val="003B770E"/>
    <w:rsid w:val="003B7758"/>
    <w:rsid w:val="003B7C20"/>
    <w:rsid w:val="003C089A"/>
    <w:rsid w:val="003C0E08"/>
    <w:rsid w:val="003C1664"/>
    <w:rsid w:val="003C1893"/>
    <w:rsid w:val="003C451A"/>
    <w:rsid w:val="003C5271"/>
    <w:rsid w:val="003C5807"/>
    <w:rsid w:val="003C5A13"/>
    <w:rsid w:val="003C61A3"/>
    <w:rsid w:val="003C6306"/>
    <w:rsid w:val="003C6DF0"/>
    <w:rsid w:val="003C750B"/>
    <w:rsid w:val="003C7D4D"/>
    <w:rsid w:val="003C7FF9"/>
    <w:rsid w:val="003D012F"/>
    <w:rsid w:val="003D0603"/>
    <w:rsid w:val="003D0713"/>
    <w:rsid w:val="003D09D0"/>
    <w:rsid w:val="003D1313"/>
    <w:rsid w:val="003D1533"/>
    <w:rsid w:val="003D184C"/>
    <w:rsid w:val="003D21D5"/>
    <w:rsid w:val="003D2BA5"/>
    <w:rsid w:val="003D37CB"/>
    <w:rsid w:val="003D48A9"/>
    <w:rsid w:val="003D4D89"/>
    <w:rsid w:val="003D54FF"/>
    <w:rsid w:val="003D5CC1"/>
    <w:rsid w:val="003D5E9F"/>
    <w:rsid w:val="003D601D"/>
    <w:rsid w:val="003D6052"/>
    <w:rsid w:val="003E03E7"/>
    <w:rsid w:val="003E044E"/>
    <w:rsid w:val="003E10B6"/>
    <w:rsid w:val="003E21E7"/>
    <w:rsid w:val="003E28CC"/>
    <w:rsid w:val="003E33FE"/>
    <w:rsid w:val="003E3513"/>
    <w:rsid w:val="003E48E0"/>
    <w:rsid w:val="003E5EB7"/>
    <w:rsid w:val="003E600C"/>
    <w:rsid w:val="003E6510"/>
    <w:rsid w:val="003E6781"/>
    <w:rsid w:val="003E69E3"/>
    <w:rsid w:val="003E7432"/>
    <w:rsid w:val="003E7CE9"/>
    <w:rsid w:val="003F0372"/>
    <w:rsid w:val="003F05B4"/>
    <w:rsid w:val="003F0D20"/>
    <w:rsid w:val="003F1997"/>
    <w:rsid w:val="003F1EAA"/>
    <w:rsid w:val="003F2546"/>
    <w:rsid w:val="003F27AD"/>
    <w:rsid w:val="003F4304"/>
    <w:rsid w:val="003F4458"/>
    <w:rsid w:val="003F5188"/>
    <w:rsid w:val="003F5741"/>
    <w:rsid w:val="003F5D5D"/>
    <w:rsid w:val="003F66DD"/>
    <w:rsid w:val="003F687C"/>
    <w:rsid w:val="003F6A7B"/>
    <w:rsid w:val="003F72B7"/>
    <w:rsid w:val="003F79C4"/>
    <w:rsid w:val="003F7B51"/>
    <w:rsid w:val="004001D6"/>
    <w:rsid w:val="00400399"/>
    <w:rsid w:val="00400457"/>
    <w:rsid w:val="0040079F"/>
    <w:rsid w:val="00401084"/>
    <w:rsid w:val="004013A6"/>
    <w:rsid w:val="0040141F"/>
    <w:rsid w:val="00402A4A"/>
    <w:rsid w:val="00403752"/>
    <w:rsid w:val="00403AAE"/>
    <w:rsid w:val="00403AEA"/>
    <w:rsid w:val="00403FDA"/>
    <w:rsid w:val="00404933"/>
    <w:rsid w:val="00404D62"/>
    <w:rsid w:val="004052BA"/>
    <w:rsid w:val="00406A4D"/>
    <w:rsid w:val="00406E35"/>
    <w:rsid w:val="00407781"/>
    <w:rsid w:val="00407C00"/>
    <w:rsid w:val="004102AE"/>
    <w:rsid w:val="004116D2"/>
    <w:rsid w:val="00411C06"/>
    <w:rsid w:val="00412D91"/>
    <w:rsid w:val="00414DCB"/>
    <w:rsid w:val="00414EA8"/>
    <w:rsid w:val="00415103"/>
    <w:rsid w:val="00415716"/>
    <w:rsid w:val="00415813"/>
    <w:rsid w:val="00416540"/>
    <w:rsid w:val="00416942"/>
    <w:rsid w:val="00416B6B"/>
    <w:rsid w:val="00416B9C"/>
    <w:rsid w:val="00416CD8"/>
    <w:rsid w:val="00416FB5"/>
    <w:rsid w:val="00417718"/>
    <w:rsid w:val="00417A00"/>
    <w:rsid w:val="0042034A"/>
    <w:rsid w:val="004203A9"/>
    <w:rsid w:val="00421D2A"/>
    <w:rsid w:val="004228A5"/>
    <w:rsid w:val="00422F63"/>
    <w:rsid w:val="00423655"/>
    <w:rsid w:val="00423700"/>
    <w:rsid w:val="004237D1"/>
    <w:rsid w:val="0042444F"/>
    <w:rsid w:val="00424A39"/>
    <w:rsid w:val="004250FA"/>
    <w:rsid w:val="00425F90"/>
    <w:rsid w:val="00426994"/>
    <w:rsid w:val="00427AD6"/>
    <w:rsid w:val="00430166"/>
    <w:rsid w:val="004303B5"/>
    <w:rsid w:val="004305BB"/>
    <w:rsid w:val="00430729"/>
    <w:rsid w:val="004310E6"/>
    <w:rsid w:val="00431FCD"/>
    <w:rsid w:val="00432BBC"/>
    <w:rsid w:val="00432D2D"/>
    <w:rsid w:val="00433944"/>
    <w:rsid w:val="004339BD"/>
    <w:rsid w:val="00433B56"/>
    <w:rsid w:val="00433E35"/>
    <w:rsid w:val="004341DE"/>
    <w:rsid w:val="004343D9"/>
    <w:rsid w:val="00434712"/>
    <w:rsid w:val="00434C3E"/>
    <w:rsid w:val="00434DE7"/>
    <w:rsid w:val="00435BC8"/>
    <w:rsid w:val="004362E5"/>
    <w:rsid w:val="00436DDA"/>
    <w:rsid w:val="00436F35"/>
    <w:rsid w:val="004370BC"/>
    <w:rsid w:val="0043787F"/>
    <w:rsid w:val="00437BD7"/>
    <w:rsid w:val="004402C4"/>
    <w:rsid w:val="004405A6"/>
    <w:rsid w:val="00440C16"/>
    <w:rsid w:val="00442384"/>
    <w:rsid w:val="0044299D"/>
    <w:rsid w:val="00442A09"/>
    <w:rsid w:val="00442F4D"/>
    <w:rsid w:val="00443031"/>
    <w:rsid w:val="0044431D"/>
    <w:rsid w:val="00444C6B"/>
    <w:rsid w:val="0044587D"/>
    <w:rsid w:val="00445A38"/>
    <w:rsid w:val="00445AB0"/>
    <w:rsid w:val="00445C19"/>
    <w:rsid w:val="00446B97"/>
    <w:rsid w:val="00446CBD"/>
    <w:rsid w:val="00450266"/>
    <w:rsid w:val="0045059B"/>
    <w:rsid w:val="004506BD"/>
    <w:rsid w:val="004508E6"/>
    <w:rsid w:val="004511D5"/>
    <w:rsid w:val="004521D3"/>
    <w:rsid w:val="00453412"/>
    <w:rsid w:val="00453B21"/>
    <w:rsid w:val="004542FC"/>
    <w:rsid w:val="004551D4"/>
    <w:rsid w:val="00455B6F"/>
    <w:rsid w:val="004565B3"/>
    <w:rsid w:val="00461486"/>
    <w:rsid w:val="00461AEA"/>
    <w:rsid w:val="00462DC2"/>
    <w:rsid w:val="004648F6"/>
    <w:rsid w:val="00465351"/>
    <w:rsid w:val="00465AB6"/>
    <w:rsid w:val="00467B77"/>
    <w:rsid w:val="00467F17"/>
    <w:rsid w:val="00467FBE"/>
    <w:rsid w:val="00471ABA"/>
    <w:rsid w:val="00472629"/>
    <w:rsid w:val="00472658"/>
    <w:rsid w:val="00472E4D"/>
    <w:rsid w:val="00473A30"/>
    <w:rsid w:val="00473C95"/>
    <w:rsid w:val="00473D93"/>
    <w:rsid w:val="00474016"/>
    <w:rsid w:val="00474119"/>
    <w:rsid w:val="0047426A"/>
    <w:rsid w:val="00474CA9"/>
    <w:rsid w:val="00474CB3"/>
    <w:rsid w:val="00474E64"/>
    <w:rsid w:val="004771E8"/>
    <w:rsid w:val="00477242"/>
    <w:rsid w:val="00477371"/>
    <w:rsid w:val="004779AE"/>
    <w:rsid w:val="00480303"/>
    <w:rsid w:val="00480619"/>
    <w:rsid w:val="004809A8"/>
    <w:rsid w:val="00480B0E"/>
    <w:rsid w:val="004814DF"/>
    <w:rsid w:val="0048291F"/>
    <w:rsid w:val="00482B22"/>
    <w:rsid w:val="00482F5A"/>
    <w:rsid w:val="00483249"/>
    <w:rsid w:val="0048344C"/>
    <w:rsid w:val="00483620"/>
    <w:rsid w:val="00483881"/>
    <w:rsid w:val="00483B7F"/>
    <w:rsid w:val="00483BD1"/>
    <w:rsid w:val="00483BF0"/>
    <w:rsid w:val="00484E5B"/>
    <w:rsid w:val="00485583"/>
    <w:rsid w:val="00485A64"/>
    <w:rsid w:val="00485D44"/>
    <w:rsid w:val="00486D0A"/>
    <w:rsid w:val="0048745D"/>
    <w:rsid w:val="004876EB"/>
    <w:rsid w:val="004879F4"/>
    <w:rsid w:val="004903C0"/>
    <w:rsid w:val="00490A49"/>
    <w:rsid w:val="00490E3F"/>
    <w:rsid w:val="00491588"/>
    <w:rsid w:val="00491B9E"/>
    <w:rsid w:val="00491F82"/>
    <w:rsid w:val="00492282"/>
    <w:rsid w:val="00492AFC"/>
    <w:rsid w:val="00494433"/>
    <w:rsid w:val="00494CAB"/>
    <w:rsid w:val="004958A4"/>
    <w:rsid w:val="0049622E"/>
    <w:rsid w:val="00496CE0"/>
    <w:rsid w:val="004A011D"/>
    <w:rsid w:val="004A094A"/>
    <w:rsid w:val="004A0AFB"/>
    <w:rsid w:val="004A0D6A"/>
    <w:rsid w:val="004A27AB"/>
    <w:rsid w:val="004A3262"/>
    <w:rsid w:val="004A353A"/>
    <w:rsid w:val="004A3C87"/>
    <w:rsid w:val="004A3D22"/>
    <w:rsid w:val="004A3DC3"/>
    <w:rsid w:val="004A43B7"/>
    <w:rsid w:val="004A51E1"/>
    <w:rsid w:val="004A52A6"/>
    <w:rsid w:val="004A5710"/>
    <w:rsid w:val="004A6812"/>
    <w:rsid w:val="004A7E2B"/>
    <w:rsid w:val="004A7F42"/>
    <w:rsid w:val="004B000B"/>
    <w:rsid w:val="004B013F"/>
    <w:rsid w:val="004B150E"/>
    <w:rsid w:val="004B154C"/>
    <w:rsid w:val="004B1F42"/>
    <w:rsid w:val="004B20CF"/>
    <w:rsid w:val="004B298B"/>
    <w:rsid w:val="004B302C"/>
    <w:rsid w:val="004B325B"/>
    <w:rsid w:val="004B4517"/>
    <w:rsid w:val="004B4BE4"/>
    <w:rsid w:val="004B546A"/>
    <w:rsid w:val="004B5922"/>
    <w:rsid w:val="004B59F2"/>
    <w:rsid w:val="004B62A2"/>
    <w:rsid w:val="004B63C9"/>
    <w:rsid w:val="004B63EC"/>
    <w:rsid w:val="004B64ED"/>
    <w:rsid w:val="004B7497"/>
    <w:rsid w:val="004B751A"/>
    <w:rsid w:val="004C0588"/>
    <w:rsid w:val="004C0677"/>
    <w:rsid w:val="004C06E8"/>
    <w:rsid w:val="004C1640"/>
    <w:rsid w:val="004C2111"/>
    <w:rsid w:val="004C2277"/>
    <w:rsid w:val="004C249F"/>
    <w:rsid w:val="004C2876"/>
    <w:rsid w:val="004C3CA4"/>
    <w:rsid w:val="004C49D1"/>
    <w:rsid w:val="004C4E8D"/>
    <w:rsid w:val="004C5113"/>
    <w:rsid w:val="004C51E5"/>
    <w:rsid w:val="004C5278"/>
    <w:rsid w:val="004C56CA"/>
    <w:rsid w:val="004C5833"/>
    <w:rsid w:val="004C70D3"/>
    <w:rsid w:val="004C73E7"/>
    <w:rsid w:val="004C7F05"/>
    <w:rsid w:val="004D0C07"/>
    <w:rsid w:val="004D1020"/>
    <w:rsid w:val="004D13D5"/>
    <w:rsid w:val="004D19B5"/>
    <w:rsid w:val="004D25F6"/>
    <w:rsid w:val="004D3552"/>
    <w:rsid w:val="004D3BE7"/>
    <w:rsid w:val="004D3F36"/>
    <w:rsid w:val="004D4929"/>
    <w:rsid w:val="004D6927"/>
    <w:rsid w:val="004D77DD"/>
    <w:rsid w:val="004D7D96"/>
    <w:rsid w:val="004E0352"/>
    <w:rsid w:val="004E0955"/>
    <w:rsid w:val="004E0B33"/>
    <w:rsid w:val="004E112A"/>
    <w:rsid w:val="004E113D"/>
    <w:rsid w:val="004E16AC"/>
    <w:rsid w:val="004E1781"/>
    <w:rsid w:val="004E1B62"/>
    <w:rsid w:val="004E364F"/>
    <w:rsid w:val="004E429F"/>
    <w:rsid w:val="004E4EC1"/>
    <w:rsid w:val="004E61C4"/>
    <w:rsid w:val="004E6E64"/>
    <w:rsid w:val="004E6EBB"/>
    <w:rsid w:val="004E7199"/>
    <w:rsid w:val="004E7685"/>
    <w:rsid w:val="004E7D7D"/>
    <w:rsid w:val="004E7E75"/>
    <w:rsid w:val="004F018C"/>
    <w:rsid w:val="004F0CEA"/>
    <w:rsid w:val="004F1045"/>
    <w:rsid w:val="004F1080"/>
    <w:rsid w:val="004F1144"/>
    <w:rsid w:val="004F14BB"/>
    <w:rsid w:val="004F1822"/>
    <w:rsid w:val="004F32A2"/>
    <w:rsid w:val="004F380B"/>
    <w:rsid w:val="004F3AF6"/>
    <w:rsid w:val="004F3B80"/>
    <w:rsid w:val="004F46EA"/>
    <w:rsid w:val="004F52CF"/>
    <w:rsid w:val="004F5BDA"/>
    <w:rsid w:val="004F5DE5"/>
    <w:rsid w:val="004F5E62"/>
    <w:rsid w:val="004F6138"/>
    <w:rsid w:val="004F6D89"/>
    <w:rsid w:val="004F739C"/>
    <w:rsid w:val="004F75FE"/>
    <w:rsid w:val="004F76E2"/>
    <w:rsid w:val="0050004B"/>
    <w:rsid w:val="005007DD"/>
    <w:rsid w:val="0050165A"/>
    <w:rsid w:val="00501983"/>
    <w:rsid w:val="00501C19"/>
    <w:rsid w:val="0050237D"/>
    <w:rsid w:val="00502610"/>
    <w:rsid w:val="00502B76"/>
    <w:rsid w:val="00502C30"/>
    <w:rsid w:val="00502C9A"/>
    <w:rsid w:val="00502E63"/>
    <w:rsid w:val="005031CC"/>
    <w:rsid w:val="00503247"/>
    <w:rsid w:val="00503957"/>
    <w:rsid w:val="00503A89"/>
    <w:rsid w:val="00504144"/>
    <w:rsid w:val="0050552B"/>
    <w:rsid w:val="00505C83"/>
    <w:rsid w:val="00506009"/>
    <w:rsid w:val="005065B2"/>
    <w:rsid w:val="005069E5"/>
    <w:rsid w:val="00506FFB"/>
    <w:rsid w:val="00507243"/>
    <w:rsid w:val="00507394"/>
    <w:rsid w:val="0050744C"/>
    <w:rsid w:val="005075E1"/>
    <w:rsid w:val="00507CD0"/>
    <w:rsid w:val="00511AA5"/>
    <w:rsid w:val="00511C56"/>
    <w:rsid w:val="00511E07"/>
    <w:rsid w:val="00511F74"/>
    <w:rsid w:val="005136BB"/>
    <w:rsid w:val="00514373"/>
    <w:rsid w:val="0051469E"/>
    <w:rsid w:val="005148CA"/>
    <w:rsid w:val="00514BD6"/>
    <w:rsid w:val="00514FFA"/>
    <w:rsid w:val="005158FD"/>
    <w:rsid w:val="0051597B"/>
    <w:rsid w:val="00515F4F"/>
    <w:rsid w:val="00516132"/>
    <w:rsid w:val="00516587"/>
    <w:rsid w:val="00516D14"/>
    <w:rsid w:val="00516F9E"/>
    <w:rsid w:val="00516FE4"/>
    <w:rsid w:val="00516FF9"/>
    <w:rsid w:val="00517766"/>
    <w:rsid w:val="005202FB"/>
    <w:rsid w:val="00520C5C"/>
    <w:rsid w:val="00520F0A"/>
    <w:rsid w:val="0052159E"/>
    <w:rsid w:val="00521817"/>
    <w:rsid w:val="005218CD"/>
    <w:rsid w:val="00522DAF"/>
    <w:rsid w:val="0052319B"/>
    <w:rsid w:val="00523292"/>
    <w:rsid w:val="005243CC"/>
    <w:rsid w:val="005250BC"/>
    <w:rsid w:val="00525289"/>
    <w:rsid w:val="0052543D"/>
    <w:rsid w:val="005254F6"/>
    <w:rsid w:val="00525ACF"/>
    <w:rsid w:val="00525AF2"/>
    <w:rsid w:val="00525D25"/>
    <w:rsid w:val="00525E5B"/>
    <w:rsid w:val="005267B2"/>
    <w:rsid w:val="00526858"/>
    <w:rsid w:val="00526CB8"/>
    <w:rsid w:val="00527285"/>
    <w:rsid w:val="005279AB"/>
    <w:rsid w:val="00530898"/>
    <w:rsid w:val="005309A7"/>
    <w:rsid w:val="00531DA9"/>
    <w:rsid w:val="0053317B"/>
    <w:rsid w:val="0053406F"/>
    <w:rsid w:val="005344A2"/>
    <w:rsid w:val="00534EB3"/>
    <w:rsid w:val="00535AE0"/>
    <w:rsid w:val="0053612F"/>
    <w:rsid w:val="005365E4"/>
    <w:rsid w:val="0053694F"/>
    <w:rsid w:val="00536BC1"/>
    <w:rsid w:val="00537B82"/>
    <w:rsid w:val="005416E4"/>
    <w:rsid w:val="00541C18"/>
    <w:rsid w:val="00541FD5"/>
    <w:rsid w:val="00542C15"/>
    <w:rsid w:val="00542EC9"/>
    <w:rsid w:val="00542F55"/>
    <w:rsid w:val="005430F8"/>
    <w:rsid w:val="00543511"/>
    <w:rsid w:val="00543D9A"/>
    <w:rsid w:val="00544366"/>
    <w:rsid w:val="005443BD"/>
    <w:rsid w:val="00544818"/>
    <w:rsid w:val="00544BA8"/>
    <w:rsid w:val="0054535F"/>
    <w:rsid w:val="005462A4"/>
    <w:rsid w:val="005463DE"/>
    <w:rsid w:val="00547144"/>
    <w:rsid w:val="005473CA"/>
    <w:rsid w:val="00547F8E"/>
    <w:rsid w:val="0055042B"/>
    <w:rsid w:val="0055061C"/>
    <w:rsid w:val="0055088F"/>
    <w:rsid w:val="00550FCA"/>
    <w:rsid w:val="005510CA"/>
    <w:rsid w:val="005512AE"/>
    <w:rsid w:val="005519AC"/>
    <w:rsid w:val="00552222"/>
    <w:rsid w:val="00553226"/>
    <w:rsid w:val="00553702"/>
    <w:rsid w:val="005541BC"/>
    <w:rsid w:val="00554458"/>
    <w:rsid w:val="005544ED"/>
    <w:rsid w:val="005550B8"/>
    <w:rsid w:val="00555808"/>
    <w:rsid w:val="00555C1E"/>
    <w:rsid w:val="00555CCD"/>
    <w:rsid w:val="00555E4B"/>
    <w:rsid w:val="00556202"/>
    <w:rsid w:val="005562E7"/>
    <w:rsid w:val="005562F8"/>
    <w:rsid w:val="0055663A"/>
    <w:rsid w:val="0055668A"/>
    <w:rsid w:val="005568B4"/>
    <w:rsid w:val="00556AE3"/>
    <w:rsid w:val="00556D35"/>
    <w:rsid w:val="00556D95"/>
    <w:rsid w:val="00556FA5"/>
    <w:rsid w:val="0055701E"/>
    <w:rsid w:val="005571EC"/>
    <w:rsid w:val="0056018F"/>
    <w:rsid w:val="005609B2"/>
    <w:rsid w:val="00560A3A"/>
    <w:rsid w:val="00561145"/>
    <w:rsid w:val="0056115E"/>
    <w:rsid w:val="005617FA"/>
    <w:rsid w:val="005625E1"/>
    <w:rsid w:val="00562932"/>
    <w:rsid w:val="00562A86"/>
    <w:rsid w:val="00562DE2"/>
    <w:rsid w:val="00562E02"/>
    <w:rsid w:val="0056347A"/>
    <w:rsid w:val="00563B53"/>
    <w:rsid w:val="005640C8"/>
    <w:rsid w:val="005650DE"/>
    <w:rsid w:val="005655D1"/>
    <w:rsid w:val="00567B18"/>
    <w:rsid w:val="0057035D"/>
    <w:rsid w:val="00570D35"/>
    <w:rsid w:val="00571017"/>
    <w:rsid w:val="005717E4"/>
    <w:rsid w:val="00571F5A"/>
    <w:rsid w:val="005721FF"/>
    <w:rsid w:val="00572DDC"/>
    <w:rsid w:val="005734BC"/>
    <w:rsid w:val="0057385F"/>
    <w:rsid w:val="00573A9D"/>
    <w:rsid w:val="00576A4E"/>
    <w:rsid w:val="00576C50"/>
    <w:rsid w:val="005773BB"/>
    <w:rsid w:val="005775FA"/>
    <w:rsid w:val="0057771A"/>
    <w:rsid w:val="00577F21"/>
    <w:rsid w:val="0058007A"/>
    <w:rsid w:val="0058049C"/>
    <w:rsid w:val="005804F6"/>
    <w:rsid w:val="0058071D"/>
    <w:rsid w:val="00580A10"/>
    <w:rsid w:val="00581C65"/>
    <w:rsid w:val="005827B2"/>
    <w:rsid w:val="00582C05"/>
    <w:rsid w:val="00583083"/>
    <w:rsid w:val="00583C22"/>
    <w:rsid w:val="00584A49"/>
    <w:rsid w:val="00585015"/>
    <w:rsid w:val="00585413"/>
    <w:rsid w:val="00585920"/>
    <w:rsid w:val="005859C3"/>
    <w:rsid w:val="00585E37"/>
    <w:rsid w:val="00586031"/>
    <w:rsid w:val="00586277"/>
    <w:rsid w:val="005863BB"/>
    <w:rsid w:val="00586B85"/>
    <w:rsid w:val="00586BE4"/>
    <w:rsid w:val="00590548"/>
    <w:rsid w:val="00590ADB"/>
    <w:rsid w:val="00590DD8"/>
    <w:rsid w:val="00590DE7"/>
    <w:rsid w:val="00590E0B"/>
    <w:rsid w:val="0059197E"/>
    <w:rsid w:val="00591CD5"/>
    <w:rsid w:val="00592C86"/>
    <w:rsid w:val="00592D1D"/>
    <w:rsid w:val="00593242"/>
    <w:rsid w:val="00593628"/>
    <w:rsid w:val="00593F87"/>
    <w:rsid w:val="0059470E"/>
    <w:rsid w:val="005951C4"/>
    <w:rsid w:val="00595D63"/>
    <w:rsid w:val="00595D64"/>
    <w:rsid w:val="00596938"/>
    <w:rsid w:val="00596AD8"/>
    <w:rsid w:val="00596DBF"/>
    <w:rsid w:val="00597343"/>
    <w:rsid w:val="00597A7A"/>
    <w:rsid w:val="00597EA5"/>
    <w:rsid w:val="00597ED2"/>
    <w:rsid w:val="005A00B2"/>
    <w:rsid w:val="005A104C"/>
    <w:rsid w:val="005A1250"/>
    <w:rsid w:val="005A1D42"/>
    <w:rsid w:val="005A3284"/>
    <w:rsid w:val="005A3488"/>
    <w:rsid w:val="005A3ABB"/>
    <w:rsid w:val="005A3C82"/>
    <w:rsid w:val="005A417A"/>
    <w:rsid w:val="005A46CD"/>
    <w:rsid w:val="005A4B61"/>
    <w:rsid w:val="005A4D8F"/>
    <w:rsid w:val="005A5695"/>
    <w:rsid w:val="005A5FF6"/>
    <w:rsid w:val="005A6C10"/>
    <w:rsid w:val="005A6CCA"/>
    <w:rsid w:val="005A6E43"/>
    <w:rsid w:val="005A6EDA"/>
    <w:rsid w:val="005A7AA9"/>
    <w:rsid w:val="005A7B59"/>
    <w:rsid w:val="005A7EED"/>
    <w:rsid w:val="005B0E48"/>
    <w:rsid w:val="005B1491"/>
    <w:rsid w:val="005B149D"/>
    <w:rsid w:val="005B28AA"/>
    <w:rsid w:val="005B2908"/>
    <w:rsid w:val="005B29BD"/>
    <w:rsid w:val="005B2B41"/>
    <w:rsid w:val="005B307D"/>
    <w:rsid w:val="005B348A"/>
    <w:rsid w:val="005B3529"/>
    <w:rsid w:val="005B41FE"/>
    <w:rsid w:val="005B451E"/>
    <w:rsid w:val="005B53FD"/>
    <w:rsid w:val="005B6531"/>
    <w:rsid w:val="005B68B5"/>
    <w:rsid w:val="005B71DA"/>
    <w:rsid w:val="005B7229"/>
    <w:rsid w:val="005C04AC"/>
    <w:rsid w:val="005C07E3"/>
    <w:rsid w:val="005C0826"/>
    <w:rsid w:val="005C0942"/>
    <w:rsid w:val="005C0AF2"/>
    <w:rsid w:val="005C0DD5"/>
    <w:rsid w:val="005C10F4"/>
    <w:rsid w:val="005C1A18"/>
    <w:rsid w:val="005C1BC0"/>
    <w:rsid w:val="005C2690"/>
    <w:rsid w:val="005C2891"/>
    <w:rsid w:val="005C2AFF"/>
    <w:rsid w:val="005C2F39"/>
    <w:rsid w:val="005C3179"/>
    <w:rsid w:val="005C3808"/>
    <w:rsid w:val="005C3FF2"/>
    <w:rsid w:val="005C424D"/>
    <w:rsid w:val="005C4B7E"/>
    <w:rsid w:val="005C4D32"/>
    <w:rsid w:val="005C5C0D"/>
    <w:rsid w:val="005C61BD"/>
    <w:rsid w:val="005C6363"/>
    <w:rsid w:val="005C7BE2"/>
    <w:rsid w:val="005D0B2A"/>
    <w:rsid w:val="005D129D"/>
    <w:rsid w:val="005D16F3"/>
    <w:rsid w:val="005D1D6C"/>
    <w:rsid w:val="005D2014"/>
    <w:rsid w:val="005D2A2D"/>
    <w:rsid w:val="005D3186"/>
    <w:rsid w:val="005D32F0"/>
    <w:rsid w:val="005D362E"/>
    <w:rsid w:val="005D432B"/>
    <w:rsid w:val="005D5736"/>
    <w:rsid w:val="005D6080"/>
    <w:rsid w:val="005D67F7"/>
    <w:rsid w:val="005D6D42"/>
    <w:rsid w:val="005D7300"/>
    <w:rsid w:val="005D7824"/>
    <w:rsid w:val="005E0CC7"/>
    <w:rsid w:val="005E1170"/>
    <w:rsid w:val="005E1772"/>
    <w:rsid w:val="005E1893"/>
    <w:rsid w:val="005E1BF7"/>
    <w:rsid w:val="005E1EC8"/>
    <w:rsid w:val="005E2084"/>
    <w:rsid w:val="005E21FB"/>
    <w:rsid w:val="005E22D8"/>
    <w:rsid w:val="005E2734"/>
    <w:rsid w:val="005E2F7E"/>
    <w:rsid w:val="005E596E"/>
    <w:rsid w:val="005E5BD9"/>
    <w:rsid w:val="005E60E1"/>
    <w:rsid w:val="005E69A8"/>
    <w:rsid w:val="005E7001"/>
    <w:rsid w:val="005E7232"/>
    <w:rsid w:val="005F042C"/>
    <w:rsid w:val="005F0762"/>
    <w:rsid w:val="005F0E10"/>
    <w:rsid w:val="005F1115"/>
    <w:rsid w:val="005F252E"/>
    <w:rsid w:val="005F271D"/>
    <w:rsid w:val="005F284F"/>
    <w:rsid w:val="005F2E6B"/>
    <w:rsid w:val="005F309E"/>
    <w:rsid w:val="005F3DE9"/>
    <w:rsid w:val="005F43DA"/>
    <w:rsid w:val="005F4483"/>
    <w:rsid w:val="005F44AF"/>
    <w:rsid w:val="005F45F0"/>
    <w:rsid w:val="005F68CC"/>
    <w:rsid w:val="005F77F4"/>
    <w:rsid w:val="00600200"/>
    <w:rsid w:val="00600D66"/>
    <w:rsid w:val="0060119F"/>
    <w:rsid w:val="00601FA4"/>
    <w:rsid w:val="00602244"/>
    <w:rsid w:val="00602E1C"/>
    <w:rsid w:val="0060310C"/>
    <w:rsid w:val="00603282"/>
    <w:rsid w:val="00603E15"/>
    <w:rsid w:val="00604612"/>
    <w:rsid w:val="006047F9"/>
    <w:rsid w:val="00604F51"/>
    <w:rsid w:val="00605244"/>
    <w:rsid w:val="00605B7D"/>
    <w:rsid w:val="0060605B"/>
    <w:rsid w:val="00606F19"/>
    <w:rsid w:val="00607A7E"/>
    <w:rsid w:val="0061018E"/>
    <w:rsid w:val="00611E2E"/>
    <w:rsid w:val="00611E4A"/>
    <w:rsid w:val="00611EA0"/>
    <w:rsid w:val="0061203F"/>
    <w:rsid w:val="00612452"/>
    <w:rsid w:val="00612726"/>
    <w:rsid w:val="00612E7F"/>
    <w:rsid w:val="006133CF"/>
    <w:rsid w:val="00613898"/>
    <w:rsid w:val="00613C0A"/>
    <w:rsid w:val="00613C44"/>
    <w:rsid w:val="006166A2"/>
    <w:rsid w:val="00617197"/>
    <w:rsid w:val="0061724A"/>
    <w:rsid w:val="00617427"/>
    <w:rsid w:val="006202D2"/>
    <w:rsid w:val="00621038"/>
    <w:rsid w:val="006220BF"/>
    <w:rsid w:val="00622189"/>
    <w:rsid w:val="00622B32"/>
    <w:rsid w:val="00622DA1"/>
    <w:rsid w:val="00622F72"/>
    <w:rsid w:val="006235B0"/>
    <w:rsid w:val="00623690"/>
    <w:rsid w:val="00624F2D"/>
    <w:rsid w:val="0062541C"/>
    <w:rsid w:val="006266AE"/>
    <w:rsid w:val="006277B3"/>
    <w:rsid w:val="006279BC"/>
    <w:rsid w:val="00627A12"/>
    <w:rsid w:val="00627E5A"/>
    <w:rsid w:val="00630102"/>
    <w:rsid w:val="00630A46"/>
    <w:rsid w:val="00630A7D"/>
    <w:rsid w:val="00630CBE"/>
    <w:rsid w:val="00631839"/>
    <w:rsid w:val="00631DEA"/>
    <w:rsid w:val="006324EA"/>
    <w:rsid w:val="0063254A"/>
    <w:rsid w:val="00632FDD"/>
    <w:rsid w:val="00633210"/>
    <w:rsid w:val="00634433"/>
    <w:rsid w:val="00634B2F"/>
    <w:rsid w:val="00634C02"/>
    <w:rsid w:val="00635818"/>
    <w:rsid w:val="00635A2F"/>
    <w:rsid w:val="00635B14"/>
    <w:rsid w:val="00636C4C"/>
    <w:rsid w:val="00637022"/>
    <w:rsid w:val="0063745F"/>
    <w:rsid w:val="00637B61"/>
    <w:rsid w:val="006402F0"/>
    <w:rsid w:val="00640362"/>
    <w:rsid w:val="00641E0B"/>
    <w:rsid w:val="00643091"/>
    <w:rsid w:val="0064389B"/>
    <w:rsid w:val="00643E64"/>
    <w:rsid w:val="00644ACA"/>
    <w:rsid w:val="00645E3B"/>
    <w:rsid w:val="00645F5A"/>
    <w:rsid w:val="006469C2"/>
    <w:rsid w:val="00647357"/>
    <w:rsid w:val="006477BF"/>
    <w:rsid w:val="006502A9"/>
    <w:rsid w:val="006509C7"/>
    <w:rsid w:val="006514D4"/>
    <w:rsid w:val="00651C77"/>
    <w:rsid w:val="006527E5"/>
    <w:rsid w:val="00652B2D"/>
    <w:rsid w:val="00652BDB"/>
    <w:rsid w:val="00653291"/>
    <w:rsid w:val="00653430"/>
    <w:rsid w:val="00653AEE"/>
    <w:rsid w:val="00653B98"/>
    <w:rsid w:val="00653FA9"/>
    <w:rsid w:val="006546D8"/>
    <w:rsid w:val="00654D78"/>
    <w:rsid w:val="006555F4"/>
    <w:rsid w:val="00655EC8"/>
    <w:rsid w:val="00656009"/>
    <w:rsid w:val="006567B2"/>
    <w:rsid w:val="0065701C"/>
    <w:rsid w:val="0065738A"/>
    <w:rsid w:val="006578C8"/>
    <w:rsid w:val="006578DA"/>
    <w:rsid w:val="00660528"/>
    <w:rsid w:val="006610BF"/>
    <w:rsid w:val="006626F1"/>
    <w:rsid w:val="00662A86"/>
    <w:rsid w:val="00663419"/>
    <w:rsid w:val="006639B1"/>
    <w:rsid w:val="00663BA6"/>
    <w:rsid w:val="006640F9"/>
    <w:rsid w:val="006646EF"/>
    <w:rsid w:val="00664A94"/>
    <w:rsid w:val="006650D3"/>
    <w:rsid w:val="006666A5"/>
    <w:rsid w:val="006667DC"/>
    <w:rsid w:val="00666BBE"/>
    <w:rsid w:val="00666DA6"/>
    <w:rsid w:val="00667D1A"/>
    <w:rsid w:val="00667E41"/>
    <w:rsid w:val="0067016A"/>
    <w:rsid w:val="006701DA"/>
    <w:rsid w:val="0067058F"/>
    <w:rsid w:val="00672048"/>
    <w:rsid w:val="0067369B"/>
    <w:rsid w:val="00675AA1"/>
    <w:rsid w:val="00675CF7"/>
    <w:rsid w:val="00676215"/>
    <w:rsid w:val="00676C7D"/>
    <w:rsid w:val="006771A3"/>
    <w:rsid w:val="0068094A"/>
    <w:rsid w:val="00680A5F"/>
    <w:rsid w:val="00681391"/>
    <w:rsid w:val="00681FDF"/>
    <w:rsid w:val="006824AC"/>
    <w:rsid w:val="00683C9E"/>
    <w:rsid w:val="00683FE5"/>
    <w:rsid w:val="00685BD4"/>
    <w:rsid w:val="00685E31"/>
    <w:rsid w:val="0068763A"/>
    <w:rsid w:val="006876DC"/>
    <w:rsid w:val="0069000C"/>
    <w:rsid w:val="00691204"/>
    <w:rsid w:val="00691818"/>
    <w:rsid w:val="00691930"/>
    <w:rsid w:val="00691D6E"/>
    <w:rsid w:val="00694586"/>
    <w:rsid w:val="0069499B"/>
    <w:rsid w:val="006961BA"/>
    <w:rsid w:val="006967BC"/>
    <w:rsid w:val="00696E00"/>
    <w:rsid w:val="00696EA6"/>
    <w:rsid w:val="006973D9"/>
    <w:rsid w:val="006977D2"/>
    <w:rsid w:val="006977DD"/>
    <w:rsid w:val="006A1A61"/>
    <w:rsid w:val="006A1A81"/>
    <w:rsid w:val="006A2AD4"/>
    <w:rsid w:val="006A3565"/>
    <w:rsid w:val="006A36D9"/>
    <w:rsid w:val="006A38C5"/>
    <w:rsid w:val="006A4A5D"/>
    <w:rsid w:val="006A5280"/>
    <w:rsid w:val="006A58D6"/>
    <w:rsid w:val="006A6EBD"/>
    <w:rsid w:val="006A7165"/>
    <w:rsid w:val="006A738E"/>
    <w:rsid w:val="006A7E2E"/>
    <w:rsid w:val="006B0312"/>
    <w:rsid w:val="006B06EF"/>
    <w:rsid w:val="006B0A48"/>
    <w:rsid w:val="006B0F3C"/>
    <w:rsid w:val="006B1438"/>
    <w:rsid w:val="006B271E"/>
    <w:rsid w:val="006B2D9A"/>
    <w:rsid w:val="006B2E62"/>
    <w:rsid w:val="006B38C3"/>
    <w:rsid w:val="006B38EE"/>
    <w:rsid w:val="006B42FF"/>
    <w:rsid w:val="006B461D"/>
    <w:rsid w:val="006B4EBE"/>
    <w:rsid w:val="006B5072"/>
    <w:rsid w:val="006B5D2F"/>
    <w:rsid w:val="006B61B5"/>
    <w:rsid w:val="006B6276"/>
    <w:rsid w:val="006B6B80"/>
    <w:rsid w:val="006B78C1"/>
    <w:rsid w:val="006C04A3"/>
    <w:rsid w:val="006C18CB"/>
    <w:rsid w:val="006C195A"/>
    <w:rsid w:val="006C1B22"/>
    <w:rsid w:val="006C2424"/>
    <w:rsid w:val="006C2C2C"/>
    <w:rsid w:val="006C3B92"/>
    <w:rsid w:val="006C53F1"/>
    <w:rsid w:val="006C58E0"/>
    <w:rsid w:val="006C6C29"/>
    <w:rsid w:val="006C6D78"/>
    <w:rsid w:val="006C7044"/>
    <w:rsid w:val="006C716E"/>
    <w:rsid w:val="006C77B5"/>
    <w:rsid w:val="006D0731"/>
    <w:rsid w:val="006D1646"/>
    <w:rsid w:val="006D1818"/>
    <w:rsid w:val="006D248F"/>
    <w:rsid w:val="006D2B46"/>
    <w:rsid w:val="006D380D"/>
    <w:rsid w:val="006D383D"/>
    <w:rsid w:val="006D404A"/>
    <w:rsid w:val="006D41C4"/>
    <w:rsid w:val="006D4357"/>
    <w:rsid w:val="006D439A"/>
    <w:rsid w:val="006D47D3"/>
    <w:rsid w:val="006D4920"/>
    <w:rsid w:val="006D4BD7"/>
    <w:rsid w:val="006D4F2A"/>
    <w:rsid w:val="006D5749"/>
    <w:rsid w:val="006D5EAE"/>
    <w:rsid w:val="006D5EE8"/>
    <w:rsid w:val="006D669D"/>
    <w:rsid w:val="006D680F"/>
    <w:rsid w:val="006D69B7"/>
    <w:rsid w:val="006D6F20"/>
    <w:rsid w:val="006D7145"/>
    <w:rsid w:val="006D7CA9"/>
    <w:rsid w:val="006D7EE8"/>
    <w:rsid w:val="006E121C"/>
    <w:rsid w:val="006E1278"/>
    <w:rsid w:val="006E12BF"/>
    <w:rsid w:val="006E1430"/>
    <w:rsid w:val="006E1D3D"/>
    <w:rsid w:val="006E21AF"/>
    <w:rsid w:val="006E2C00"/>
    <w:rsid w:val="006E3384"/>
    <w:rsid w:val="006E33DA"/>
    <w:rsid w:val="006E3802"/>
    <w:rsid w:val="006E456D"/>
    <w:rsid w:val="006E4979"/>
    <w:rsid w:val="006E5DEE"/>
    <w:rsid w:val="006E6695"/>
    <w:rsid w:val="006E66C3"/>
    <w:rsid w:val="006E67C9"/>
    <w:rsid w:val="006E6876"/>
    <w:rsid w:val="006E7570"/>
    <w:rsid w:val="006E7F69"/>
    <w:rsid w:val="006F0425"/>
    <w:rsid w:val="006F0CD7"/>
    <w:rsid w:val="006F0ED9"/>
    <w:rsid w:val="006F1552"/>
    <w:rsid w:val="006F179F"/>
    <w:rsid w:val="006F1A43"/>
    <w:rsid w:val="006F21D4"/>
    <w:rsid w:val="006F2404"/>
    <w:rsid w:val="006F273A"/>
    <w:rsid w:val="006F3137"/>
    <w:rsid w:val="006F4DE7"/>
    <w:rsid w:val="006F5208"/>
    <w:rsid w:val="006F5499"/>
    <w:rsid w:val="006F55F6"/>
    <w:rsid w:val="006F5742"/>
    <w:rsid w:val="006F577D"/>
    <w:rsid w:val="006F5ED9"/>
    <w:rsid w:val="006F5FD0"/>
    <w:rsid w:val="006F69BC"/>
    <w:rsid w:val="006F6E22"/>
    <w:rsid w:val="00700569"/>
    <w:rsid w:val="00701222"/>
    <w:rsid w:val="0070147C"/>
    <w:rsid w:val="00701C17"/>
    <w:rsid w:val="007023AA"/>
    <w:rsid w:val="00703322"/>
    <w:rsid w:val="007034ED"/>
    <w:rsid w:val="007036B1"/>
    <w:rsid w:val="00704767"/>
    <w:rsid w:val="0070477B"/>
    <w:rsid w:val="007047AB"/>
    <w:rsid w:val="0070659C"/>
    <w:rsid w:val="00706A92"/>
    <w:rsid w:val="00706E54"/>
    <w:rsid w:val="00707965"/>
    <w:rsid w:val="00707D66"/>
    <w:rsid w:val="00707EEE"/>
    <w:rsid w:val="007122B4"/>
    <w:rsid w:val="007124DA"/>
    <w:rsid w:val="00712D20"/>
    <w:rsid w:val="00713C8E"/>
    <w:rsid w:val="00714002"/>
    <w:rsid w:val="0071431A"/>
    <w:rsid w:val="007151D6"/>
    <w:rsid w:val="007151EF"/>
    <w:rsid w:val="00715E14"/>
    <w:rsid w:val="00715FD7"/>
    <w:rsid w:val="007163E2"/>
    <w:rsid w:val="007174FD"/>
    <w:rsid w:val="007175B0"/>
    <w:rsid w:val="00721B0D"/>
    <w:rsid w:val="00722163"/>
    <w:rsid w:val="007236FF"/>
    <w:rsid w:val="00723708"/>
    <w:rsid w:val="00724AFB"/>
    <w:rsid w:val="0072670E"/>
    <w:rsid w:val="00727337"/>
    <w:rsid w:val="0072738B"/>
    <w:rsid w:val="007301C3"/>
    <w:rsid w:val="007310E4"/>
    <w:rsid w:val="00731C45"/>
    <w:rsid w:val="00731F50"/>
    <w:rsid w:val="007323D7"/>
    <w:rsid w:val="007335E7"/>
    <w:rsid w:val="00733A6C"/>
    <w:rsid w:val="00733BF1"/>
    <w:rsid w:val="00734448"/>
    <w:rsid w:val="00734983"/>
    <w:rsid w:val="00734B7A"/>
    <w:rsid w:val="00734C38"/>
    <w:rsid w:val="00734DC5"/>
    <w:rsid w:val="00734E3E"/>
    <w:rsid w:val="00735CD1"/>
    <w:rsid w:val="00735DE9"/>
    <w:rsid w:val="00735F2A"/>
    <w:rsid w:val="00736163"/>
    <w:rsid w:val="00736822"/>
    <w:rsid w:val="0073720B"/>
    <w:rsid w:val="007378AD"/>
    <w:rsid w:val="007404B4"/>
    <w:rsid w:val="00740937"/>
    <w:rsid w:val="00740A5F"/>
    <w:rsid w:val="00741F7E"/>
    <w:rsid w:val="0074291A"/>
    <w:rsid w:val="00742E01"/>
    <w:rsid w:val="00743B94"/>
    <w:rsid w:val="00743D2B"/>
    <w:rsid w:val="00744E1D"/>
    <w:rsid w:val="00745592"/>
    <w:rsid w:val="007478C3"/>
    <w:rsid w:val="00750452"/>
    <w:rsid w:val="00750F79"/>
    <w:rsid w:val="00751256"/>
    <w:rsid w:val="00751356"/>
    <w:rsid w:val="007514D5"/>
    <w:rsid w:val="00751DA7"/>
    <w:rsid w:val="0075297B"/>
    <w:rsid w:val="007532E6"/>
    <w:rsid w:val="007538FF"/>
    <w:rsid w:val="007546EF"/>
    <w:rsid w:val="00755602"/>
    <w:rsid w:val="007559AF"/>
    <w:rsid w:val="00755C68"/>
    <w:rsid w:val="00755F4D"/>
    <w:rsid w:val="0075664D"/>
    <w:rsid w:val="007567AE"/>
    <w:rsid w:val="00756E11"/>
    <w:rsid w:val="00756F70"/>
    <w:rsid w:val="00756FB4"/>
    <w:rsid w:val="00757A8A"/>
    <w:rsid w:val="00760237"/>
    <w:rsid w:val="007605C9"/>
    <w:rsid w:val="007610FB"/>
    <w:rsid w:val="007611A1"/>
    <w:rsid w:val="00761634"/>
    <w:rsid w:val="007621CE"/>
    <w:rsid w:val="007623BC"/>
    <w:rsid w:val="007625EF"/>
    <w:rsid w:val="00762770"/>
    <w:rsid w:val="007630E5"/>
    <w:rsid w:val="007631AA"/>
    <w:rsid w:val="007631EC"/>
    <w:rsid w:val="0076450F"/>
    <w:rsid w:val="00765A50"/>
    <w:rsid w:val="00766025"/>
    <w:rsid w:val="00766430"/>
    <w:rsid w:val="0076648A"/>
    <w:rsid w:val="00766808"/>
    <w:rsid w:val="00766B7F"/>
    <w:rsid w:val="00766FDD"/>
    <w:rsid w:val="0077011B"/>
    <w:rsid w:val="007709CD"/>
    <w:rsid w:val="00770D4A"/>
    <w:rsid w:val="00770D90"/>
    <w:rsid w:val="007711FB"/>
    <w:rsid w:val="007714AB"/>
    <w:rsid w:val="00772402"/>
    <w:rsid w:val="0077255F"/>
    <w:rsid w:val="0077351A"/>
    <w:rsid w:val="007735E5"/>
    <w:rsid w:val="00773C22"/>
    <w:rsid w:val="00774045"/>
    <w:rsid w:val="007743DC"/>
    <w:rsid w:val="0077485A"/>
    <w:rsid w:val="00775059"/>
    <w:rsid w:val="00775331"/>
    <w:rsid w:val="00775C14"/>
    <w:rsid w:val="00775DCB"/>
    <w:rsid w:val="00776A0D"/>
    <w:rsid w:val="00776ED6"/>
    <w:rsid w:val="007777AC"/>
    <w:rsid w:val="00777C57"/>
    <w:rsid w:val="00777D4D"/>
    <w:rsid w:val="007805E1"/>
    <w:rsid w:val="00780DC8"/>
    <w:rsid w:val="007818E9"/>
    <w:rsid w:val="007834D7"/>
    <w:rsid w:val="00783E8F"/>
    <w:rsid w:val="0078499D"/>
    <w:rsid w:val="00784A50"/>
    <w:rsid w:val="00784CBE"/>
    <w:rsid w:val="00784E92"/>
    <w:rsid w:val="00784FF3"/>
    <w:rsid w:val="007858AD"/>
    <w:rsid w:val="00785D45"/>
    <w:rsid w:val="0078761E"/>
    <w:rsid w:val="007878F4"/>
    <w:rsid w:val="0079039E"/>
    <w:rsid w:val="00790421"/>
    <w:rsid w:val="0079075C"/>
    <w:rsid w:val="0079122E"/>
    <w:rsid w:val="00792978"/>
    <w:rsid w:val="00792E53"/>
    <w:rsid w:val="0079312D"/>
    <w:rsid w:val="007935E9"/>
    <w:rsid w:val="0079361E"/>
    <w:rsid w:val="007941A9"/>
    <w:rsid w:val="007946AE"/>
    <w:rsid w:val="00794C70"/>
    <w:rsid w:val="00794F23"/>
    <w:rsid w:val="00794F5C"/>
    <w:rsid w:val="007956FF"/>
    <w:rsid w:val="00795C13"/>
    <w:rsid w:val="007A04D6"/>
    <w:rsid w:val="007A1E43"/>
    <w:rsid w:val="007A2372"/>
    <w:rsid w:val="007A25B7"/>
    <w:rsid w:val="007A262B"/>
    <w:rsid w:val="007A293C"/>
    <w:rsid w:val="007A29DA"/>
    <w:rsid w:val="007A2FFE"/>
    <w:rsid w:val="007A30EC"/>
    <w:rsid w:val="007A314F"/>
    <w:rsid w:val="007A3BB8"/>
    <w:rsid w:val="007A45AC"/>
    <w:rsid w:val="007A47A2"/>
    <w:rsid w:val="007A4980"/>
    <w:rsid w:val="007A4EAD"/>
    <w:rsid w:val="007A5AB9"/>
    <w:rsid w:val="007A7507"/>
    <w:rsid w:val="007B03FD"/>
    <w:rsid w:val="007B087C"/>
    <w:rsid w:val="007B16AA"/>
    <w:rsid w:val="007B293B"/>
    <w:rsid w:val="007B2E58"/>
    <w:rsid w:val="007B301A"/>
    <w:rsid w:val="007B3661"/>
    <w:rsid w:val="007B39DE"/>
    <w:rsid w:val="007B3C04"/>
    <w:rsid w:val="007B42D3"/>
    <w:rsid w:val="007B4813"/>
    <w:rsid w:val="007B4A54"/>
    <w:rsid w:val="007B65E7"/>
    <w:rsid w:val="007B78CC"/>
    <w:rsid w:val="007B7D4B"/>
    <w:rsid w:val="007C072A"/>
    <w:rsid w:val="007C0FF1"/>
    <w:rsid w:val="007C1C2D"/>
    <w:rsid w:val="007C1D70"/>
    <w:rsid w:val="007C22D6"/>
    <w:rsid w:val="007C28FF"/>
    <w:rsid w:val="007C31A5"/>
    <w:rsid w:val="007C3C5C"/>
    <w:rsid w:val="007C3FCA"/>
    <w:rsid w:val="007C46FC"/>
    <w:rsid w:val="007C558F"/>
    <w:rsid w:val="007C5F3D"/>
    <w:rsid w:val="007C5FA2"/>
    <w:rsid w:val="007C6AD6"/>
    <w:rsid w:val="007D020E"/>
    <w:rsid w:val="007D105B"/>
    <w:rsid w:val="007D1C9D"/>
    <w:rsid w:val="007D2257"/>
    <w:rsid w:val="007D3432"/>
    <w:rsid w:val="007D41AD"/>
    <w:rsid w:val="007D5C6F"/>
    <w:rsid w:val="007D642D"/>
    <w:rsid w:val="007D652F"/>
    <w:rsid w:val="007D65F4"/>
    <w:rsid w:val="007D700F"/>
    <w:rsid w:val="007D7091"/>
    <w:rsid w:val="007D7A4F"/>
    <w:rsid w:val="007D7CEE"/>
    <w:rsid w:val="007E03CB"/>
    <w:rsid w:val="007E0DED"/>
    <w:rsid w:val="007E17EF"/>
    <w:rsid w:val="007E1A18"/>
    <w:rsid w:val="007E25A1"/>
    <w:rsid w:val="007E2E66"/>
    <w:rsid w:val="007E3856"/>
    <w:rsid w:val="007E3C8F"/>
    <w:rsid w:val="007E3EAB"/>
    <w:rsid w:val="007E4865"/>
    <w:rsid w:val="007E59D9"/>
    <w:rsid w:val="007E6C6A"/>
    <w:rsid w:val="007E7436"/>
    <w:rsid w:val="007F0639"/>
    <w:rsid w:val="007F10BB"/>
    <w:rsid w:val="007F144A"/>
    <w:rsid w:val="007F182F"/>
    <w:rsid w:val="007F24EA"/>
    <w:rsid w:val="007F2897"/>
    <w:rsid w:val="007F2BB1"/>
    <w:rsid w:val="007F2E2F"/>
    <w:rsid w:val="007F3936"/>
    <w:rsid w:val="007F3BC1"/>
    <w:rsid w:val="007F40B2"/>
    <w:rsid w:val="007F436F"/>
    <w:rsid w:val="007F47A6"/>
    <w:rsid w:val="007F4961"/>
    <w:rsid w:val="007F5042"/>
    <w:rsid w:val="007F523E"/>
    <w:rsid w:val="007F642F"/>
    <w:rsid w:val="007F6CB7"/>
    <w:rsid w:val="007F7312"/>
    <w:rsid w:val="007F75B4"/>
    <w:rsid w:val="008003CC"/>
    <w:rsid w:val="008007F2"/>
    <w:rsid w:val="00801501"/>
    <w:rsid w:val="00801876"/>
    <w:rsid w:val="0080233B"/>
    <w:rsid w:val="00803084"/>
    <w:rsid w:val="00803A0D"/>
    <w:rsid w:val="00803BB1"/>
    <w:rsid w:val="00803EE3"/>
    <w:rsid w:val="008044D1"/>
    <w:rsid w:val="00804C10"/>
    <w:rsid w:val="0080586B"/>
    <w:rsid w:val="00806201"/>
    <w:rsid w:val="00806233"/>
    <w:rsid w:val="008067CE"/>
    <w:rsid w:val="00806CC9"/>
    <w:rsid w:val="00806D95"/>
    <w:rsid w:val="0080734C"/>
    <w:rsid w:val="008079B9"/>
    <w:rsid w:val="00807CC2"/>
    <w:rsid w:val="00810868"/>
    <w:rsid w:val="00810B81"/>
    <w:rsid w:val="00811AA2"/>
    <w:rsid w:val="00811DF5"/>
    <w:rsid w:val="00811FDD"/>
    <w:rsid w:val="008121E5"/>
    <w:rsid w:val="0081228E"/>
    <w:rsid w:val="008124B2"/>
    <w:rsid w:val="008125F7"/>
    <w:rsid w:val="008129AB"/>
    <w:rsid w:val="00812BC9"/>
    <w:rsid w:val="00814180"/>
    <w:rsid w:val="00815566"/>
    <w:rsid w:val="00815D74"/>
    <w:rsid w:val="00815F52"/>
    <w:rsid w:val="00816C43"/>
    <w:rsid w:val="00817762"/>
    <w:rsid w:val="008177E1"/>
    <w:rsid w:val="00817E40"/>
    <w:rsid w:val="00821924"/>
    <w:rsid w:val="0082312A"/>
    <w:rsid w:val="00823C7E"/>
    <w:rsid w:val="008245FF"/>
    <w:rsid w:val="00824843"/>
    <w:rsid w:val="00824A37"/>
    <w:rsid w:val="008255F6"/>
    <w:rsid w:val="008256CB"/>
    <w:rsid w:val="00825753"/>
    <w:rsid w:val="00825B2A"/>
    <w:rsid w:val="00825C28"/>
    <w:rsid w:val="0082646D"/>
    <w:rsid w:val="008270C0"/>
    <w:rsid w:val="008278AF"/>
    <w:rsid w:val="00830069"/>
    <w:rsid w:val="008307BA"/>
    <w:rsid w:val="0083097D"/>
    <w:rsid w:val="00830A9C"/>
    <w:rsid w:val="0083216D"/>
    <w:rsid w:val="0083245E"/>
    <w:rsid w:val="008327F7"/>
    <w:rsid w:val="0083374F"/>
    <w:rsid w:val="00833DF2"/>
    <w:rsid w:val="00834863"/>
    <w:rsid w:val="008348CA"/>
    <w:rsid w:val="00834DAD"/>
    <w:rsid w:val="0083569A"/>
    <w:rsid w:val="00835952"/>
    <w:rsid w:val="00835D65"/>
    <w:rsid w:val="0083604F"/>
    <w:rsid w:val="008363B1"/>
    <w:rsid w:val="0083651C"/>
    <w:rsid w:val="00836E29"/>
    <w:rsid w:val="00837115"/>
    <w:rsid w:val="008375CC"/>
    <w:rsid w:val="00837779"/>
    <w:rsid w:val="0084008F"/>
    <w:rsid w:val="008403EC"/>
    <w:rsid w:val="00841464"/>
    <w:rsid w:val="00841905"/>
    <w:rsid w:val="008419EA"/>
    <w:rsid w:val="00841D92"/>
    <w:rsid w:val="00841E11"/>
    <w:rsid w:val="008422BA"/>
    <w:rsid w:val="00842A7E"/>
    <w:rsid w:val="00844C99"/>
    <w:rsid w:val="008453C4"/>
    <w:rsid w:val="008455E9"/>
    <w:rsid w:val="00845AED"/>
    <w:rsid w:val="008505BA"/>
    <w:rsid w:val="00851205"/>
    <w:rsid w:val="00851707"/>
    <w:rsid w:val="008540D8"/>
    <w:rsid w:val="00854864"/>
    <w:rsid w:val="00854B28"/>
    <w:rsid w:val="00854E96"/>
    <w:rsid w:val="008557D3"/>
    <w:rsid w:val="00857054"/>
    <w:rsid w:val="00860115"/>
    <w:rsid w:val="00860696"/>
    <w:rsid w:val="00860A4E"/>
    <w:rsid w:val="0086136A"/>
    <w:rsid w:val="008616CB"/>
    <w:rsid w:val="00862435"/>
    <w:rsid w:val="008631B5"/>
    <w:rsid w:val="008659C7"/>
    <w:rsid w:val="00866506"/>
    <w:rsid w:val="00867024"/>
    <w:rsid w:val="0086733B"/>
    <w:rsid w:val="0086775D"/>
    <w:rsid w:val="0087016E"/>
    <w:rsid w:val="00871984"/>
    <w:rsid w:val="0087226E"/>
    <w:rsid w:val="00872E3C"/>
    <w:rsid w:val="00873D03"/>
    <w:rsid w:val="008745B1"/>
    <w:rsid w:val="00874DFD"/>
    <w:rsid w:val="0087545B"/>
    <w:rsid w:val="008754DB"/>
    <w:rsid w:val="00875EAE"/>
    <w:rsid w:val="0087651C"/>
    <w:rsid w:val="00877E9C"/>
    <w:rsid w:val="0088112A"/>
    <w:rsid w:val="008815B9"/>
    <w:rsid w:val="008819AD"/>
    <w:rsid w:val="00881F71"/>
    <w:rsid w:val="00882023"/>
    <w:rsid w:val="008827CF"/>
    <w:rsid w:val="00884451"/>
    <w:rsid w:val="00884B72"/>
    <w:rsid w:val="00885692"/>
    <w:rsid w:val="00885ADD"/>
    <w:rsid w:val="00886451"/>
    <w:rsid w:val="00886509"/>
    <w:rsid w:val="008865EF"/>
    <w:rsid w:val="0088721C"/>
    <w:rsid w:val="0088767E"/>
    <w:rsid w:val="00887CCD"/>
    <w:rsid w:val="008905E3"/>
    <w:rsid w:val="008908D1"/>
    <w:rsid w:val="00891C12"/>
    <w:rsid w:val="00892542"/>
    <w:rsid w:val="00893848"/>
    <w:rsid w:val="00893982"/>
    <w:rsid w:val="00893B9D"/>
    <w:rsid w:val="008942B1"/>
    <w:rsid w:val="0089481E"/>
    <w:rsid w:val="008956EB"/>
    <w:rsid w:val="00895E76"/>
    <w:rsid w:val="008967CA"/>
    <w:rsid w:val="00897347"/>
    <w:rsid w:val="00897AB1"/>
    <w:rsid w:val="00897C55"/>
    <w:rsid w:val="00897E63"/>
    <w:rsid w:val="008A02CB"/>
    <w:rsid w:val="008A0D16"/>
    <w:rsid w:val="008A1339"/>
    <w:rsid w:val="008A1F0F"/>
    <w:rsid w:val="008A22F5"/>
    <w:rsid w:val="008A2333"/>
    <w:rsid w:val="008A4147"/>
    <w:rsid w:val="008A4F38"/>
    <w:rsid w:val="008A56A0"/>
    <w:rsid w:val="008A61FB"/>
    <w:rsid w:val="008A62B0"/>
    <w:rsid w:val="008A6366"/>
    <w:rsid w:val="008A6978"/>
    <w:rsid w:val="008A739D"/>
    <w:rsid w:val="008B036B"/>
    <w:rsid w:val="008B0563"/>
    <w:rsid w:val="008B0896"/>
    <w:rsid w:val="008B110E"/>
    <w:rsid w:val="008B138A"/>
    <w:rsid w:val="008B1530"/>
    <w:rsid w:val="008B180E"/>
    <w:rsid w:val="008B1846"/>
    <w:rsid w:val="008B1B8F"/>
    <w:rsid w:val="008B2C58"/>
    <w:rsid w:val="008B30C2"/>
    <w:rsid w:val="008B413A"/>
    <w:rsid w:val="008B462C"/>
    <w:rsid w:val="008B47E6"/>
    <w:rsid w:val="008B4C52"/>
    <w:rsid w:val="008B4C77"/>
    <w:rsid w:val="008B4F94"/>
    <w:rsid w:val="008B5174"/>
    <w:rsid w:val="008B5545"/>
    <w:rsid w:val="008B5596"/>
    <w:rsid w:val="008B5B20"/>
    <w:rsid w:val="008B5EC7"/>
    <w:rsid w:val="008B6A12"/>
    <w:rsid w:val="008B6D1A"/>
    <w:rsid w:val="008B7F1A"/>
    <w:rsid w:val="008C08BD"/>
    <w:rsid w:val="008C14DD"/>
    <w:rsid w:val="008C1594"/>
    <w:rsid w:val="008C18CF"/>
    <w:rsid w:val="008C23E2"/>
    <w:rsid w:val="008C27F2"/>
    <w:rsid w:val="008C3787"/>
    <w:rsid w:val="008C4B13"/>
    <w:rsid w:val="008C4E65"/>
    <w:rsid w:val="008C5905"/>
    <w:rsid w:val="008C5978"/>
    <w:rsid w:val="008C5DBE"/>
    <w:rsid w:val="008C5F1F"/>
    <w:rsid w:val="008C5F66"/>
    <w:rsid w:val="008C638A"/>
    <w:rsid w:val="008C6737"/>
    <w:rsid w:val="008C6854"/>
    <w:rsid w:val="008C69E2"/>
    <w:rsid w:val="008C6BF9"/>
    <w:rsid w:val="008C711A"/>
    <w:rsid w:val="008C711E"/>
    <w:rsid w:val="008C748C"/>
    <w:rsid w:val="008C7D1E"/>
    <w:rsid w:val="008D0C5F"/>
    <w:rsid w:val="008D0D21"/>
    <w:rsid w:val="008D0EE9"/>
    <w:rsid w:val="008D1BBE"/>
    <w:rsid w:val="008D206D"/>
    <w:rsid w:val="008D231A"/>
    <w:rsid w:val="008D29C5"/>
    <w:rsid w:val="008D2B58"/>
    <w:rsid w:val="008D2BE5"/>
    <w:rsid w:val="008D3A4E"/>
    <w:rsid w:val="008D3DC1"/>
    <w:rsid w:val="008D4242"/>
    <w:rsid w:val="008D45AF"/>
    <w:rsid w:val="008D492A"/>
    <w:rsid w:val="008D540B"/>
    <w:rsid w:val="008D55B0"/>
    <w:rsid w:val="008D59CA"/>
    <w:rsid w:val="008D622D"/>
    <w:rsid w:val="008D6243"/>
    <w:rsid w:val="008D62E1"/>
    <w:rsid w:val="008D658F"/>
    <w:rsid w:val="008D6747"/>
    <w:rsid w:val="008E0723"/>
    <w:rsid w:val="008E0EEA"/>
    <w:rsid w:val="008E0EF0"/>
    <w:rsid w:val="008E0F80"/>
    <w:rsid w:val="008E25BF"/>
    <w:rsid w:val="008E2B32"/>
    <w:rsid w:val="008E2BDA"/>
    <w:rsid w:val="008E2D75"/>
    <w:rsid w:val="008E3253"/>
    <w:rsid w:val="008E4242"/>
    <w:rsid w:val="008E4509"/>
    <w:rsid w:val="008E492D"/>
    <w:rsid w:val="008E57BC"/>
    <w:rsid w:val="008E5B71"/>
    <w:rsid w:val="008E6EC4"/>
    <w:rsid w:val="008E748B"/>
    <w:rsid w:val="008E75C0"/>
    <w:rsid w:val="008E76CF"/>
    <w:rsid w:val="008F0464"/>
    <w:rsid w:val="008F04D9"/>
    <w:rsid w:val="008F078D"/>
    <w:rsid w:val="008F0BD3"/>
    <w:rsid w:val="008F1A36"/>
    <w:rsid w:val="008F262D"/>
    <w:rsid w:val="008F284E"/>
    <w:rsid w:val="008F2B9C"/>
    <w:rsid w:val="008F2D14"/>
    <w:rsid w:val="008F2FAC"/>
    <w:rsid w:val="008F396B"/>
    <w:rsid w:val="008F39B2"/>
    <w:rsid w:val="008F4061"/>
    <w:rsid w:val="008F4377"/>
    <w:rsid w:val="008F50DD"/>
    <w:rsid w:val="008F5357"/>
    <w:rsid w:val="008F5358"/>
    <w:rsid w:val="008F732C"/>
    <w:rsid w:val="008F75C1"/>
    <w:rsid w:val="009007B1"/>
    <w:rsid w:val="009021C2"/>
    <w:rsid w:val="00902649"/>
    <w:rsid w:val="00902B91"/>
    <w:rsid w:val="00902CA9"/>
    <w:rsid w:val="0090359A"/>
    <w:rsid w:val="0090382C"/>
    <w:rsid w:val="00903847"/>
    <w:rsid w:val="009039CD"/>
    <w:rsid w:val="00903E28"/>
    <w:rsid w:val="0090418D"/>
    <w:rsid w:val="00904786"/>
    <w:rsid w:val="00904D66"/>
    <w:rsid w:val="009062F8"/>
    <w:rsid w:val="00907431"/>
    <w:rsid w:val="009078AF"/>
    <w:rsid w:val="00907BC0"/>
    <w:rsid w:val="00907FE6"/>
    <w:rsid w:val="00910219"/>
    <w:rsid w:val="00911492"/>
    <w:rsid w:val="00911828"/>
    <w:rsid w:val="0091191D"/>
    <w:rsid w:val="00911C95"/>
    <w:rsid w:val="00911D05"/>
    <w:rsid w:val="009120C9"/>
    <w:rsid w:val="0091257E"/>
    <w:rsid w:val="00912C38"/>
    <w:rsid w:val="0091321A"/>
    <w:rsid w:val="00913A11"/>
    <w:rsid w:val="00913BC3"/>
    <w:rsid w:val="00913D71"/>
    <w:rsid w:val="009146C3"/>
    <w:rsid w:val="00914720"/>
    <w:rsid w:val="009149CC"/>
    <w:rsid w:val="00914F62"/>
    <w:rsid w:val="009157CE"/>
    <w:rsid w:val="00915803"/>
    <w:rsid w:val="0091632D"/>
    <w:rsid w:val="00916468"/>
    <w:rsid w:val="009167A4"/>
    <w:rsid w:val="009168A7"/>
    <w:rsid w:val="009170EE"/>
    <w:rsid w:val="009173E6"/>
    <w:rsid w:val="0091765D"/>
    <w:rsid w:val="00917AF8"/>
    <w:rsid w:val="009216AB"/>
    <w:rsid w:val="009218A8"/>
    <w:rsid w:val="00922077"/>
    <w:rsid w:val="009227C9"/>
    <w:rsid w:val="00922859"/>
    <w:rsid w:val="00922E0D"/>
    <w:rsid w:val="00922F05"/>
    <w:rsid w:val="009236FE"/>
    <w:rsid w:val="00923C60"/>
    <w:rsid w:val="00924099"/>
    <w:rsid w:val="009243E3"/>
    <w:rsid w:val="00924741"/>
    <w:rsid w:val="009257B8"/>
    <w:rsid w:val="00925D97"/>
    <w:rsid w:val="00926110"/>
    <w:rsid w:val="009266F8"/>
    <w:rsid w:val="00926B45"/>
    <w:rsid w:val="00927106"/>
    <w:rsid w:val="009278B6"/>
    <w:rsid w:val="00927A5F"/>
    <w:rsid w:val="0093118F"/>
    <w:rsid w:val="0093121D"/>
    <w:rsid w:val="00931263"/>
    <w:rsid w:val="00931AC0"/>
    <w:rsid w:val="00931F5D"/>
    <w:rsid w:val="0093215B"/>
    <w:rsid w:val="00932387"/>
    <w:rsid w:val="00932426"/>
    <w:rsid w:val="00932B05"/>
    <w:rsid w:val="00933243"/>
    <w:rsid w:val="00933752"/>
    <w:rsid w:val="00933B59"/>
    <w:rsid w:val="00933CF3"/>
    <w:rsid w:val="0093550E"/>
    <w:rsid w:val="009357FC"/>
    <w:rsid w:val="0093584A"/>
    <w:rsid w:val="00935940"/>
    <w:rsid w:val="00935C04"/>
    <w:rsid w:val="009362D3"/>
    <w:rsid w:val="009367CA"/>
    <w:rsid w:val="009373DD"/>
    <w:rsid w:val="00937D60"/>
    <w:rsid w:val="00940AB5"/>
    <w:rsid w:val="00941069"/>
    <w:rsid w:val="0094191E"/>
    <w:rsid w:val="0094227F"/>
    <w:rsid w:val="0094254D"/>
    <w:rsid w:val="009427CC"/>
    <w:rsid w:val="009444F5"/>
    <w:rsid w:val="009450D1"/>
    <w:rsid w:val="009469FB"/>
    <w:rsid w:val="009500AC"/>
    <w:rsid w:val="00950321"/>
    <w:rsid w:val="00951136"/>
    <w:rsid w:val="009516D2"/>
    <w:rsid w:val="00951B4F"/>
    <w:rsid w:val="00951E10"/>
    <w:rsid w:val="00952BA5"/>
    <w:rsid w:val="009531F2"/>
    <w:rsid w:val="00953B39"/>
    <w:rsid w:val="00954930"/>
    <w:rsid w:val="009554BB"/>
    <w:rsid w:val="00955C22"/>
    <w:rsid w:val="009561C3"/>
    <w:rsid w:val="00956626"/>
    <w:rsid w:val="00956633"/>
    <w:rsid w:val="009567E8"/>
    <w:rsid w:val="0095775D"/>
    <w:rsid w:val="009578EB"/>
    <w:rsid w:val="00960A26"/>
    <w:rsid w:val="00960E54"/>
    <w:rsid w:val="00962913"/>
    <w:rsid w:val="00962D2A"/>
    <w:rsid w:val="00962FA4"/>
    <w:rsid w:val="009632D1"/>
    <w:rsid w:val="00963468"/>
    <w:rsid w:val="00964826"/>
    <w:rsid w:val="009648F8"/>
    <w:rsid w:val="00964B82"/>
    <w:rsid w:val="00964EF0"/>
    <w:rsid w:val="00964F30"/>
    <w:rsid w:val="00964FA7"/>
    <w:rsid w:val="00965398"/>
    <w:rsid w:val="00965517"/>
    <w:rsid w:val="0096685C"/>
    <w:rsid w:val="00966F4E"/>
    <w:rsid w:val="009672DB"/>
    <w:rsid w:val="0096754C"/>
    <w:rsid w:val="009679CD"/>
    <w:rsid w:val="00967AD6"/>
    <w:rsid w:val="0097006D"/>
    <w:rsid w:val="00971119"/>
    <w:rsid w:val="00971D7B"/>
    <w:rsid w:val="00972360"/>
    <w:rsid w:val="00972C99"/>
    <w:rsid w:val="00972F8C"/>
    <w:rsid w:val="009746A5"/>
    <w:rsid w:val="00975D4C"/>
    <w:rsid w:val="009762C7"/>
    <w:rsid w:val="0097630C"/>
    <w:rsid w:val="009766AB"/>
    <w:rsid w:val="00976A04"/>
    <w:rsid w:val="00976B59"/>
    <w:rsid w:val="00977120"/>
    <w:rsid w:val="009779EC"/>
    <w:rsid w:val="00977A4D"/>
    <w:rsid w:val="00977B2A"/>
    <w:rsid w:val="00977D2D"/>
    <w:rsid w:val="00977ED7"/>
    <w:rsid w:val="00980ED4"/>
    <w:rsid w:val="00980F70"/>
    <w:rsid w:val="0098112D"/>
    <w:rsid w:val="0098178A"/>
    <w:rsid w:val="00981AF4"/>
    <w:rsid w:val="0098239F"/>
    <w:rsid w:val="00982458"/>
    <w:rsid w:val="009829B8"/>
    <w:rsid w:val="00982CAE"/>
    <w:rsid w:val="0098415F"/>
    <w:rsid w:val="00984547"/>
    <w:rsid w:val="00984FB4"/>
    <w:rsid w:val="009854AD"/>
    <w:rsid w:val="00985613"/>
    <w:rsid w:val="00986C43"/>
    <w:rsid w:val="009879B9"/>
    <w:rsid w:val="00987AAD"/>
    <w:rsid w:val="00987C26"/>
    <w:rsid w:val="00987C2E"/>
    <w:rsid w:val="00987F11"/>
    <w:rsid w:val="00987FC1"/>
    <w:rsid w:val="009905ED"/>
    <w:rsid w:val="00990B5F"/>
    <w:rsid w:val="00991200"/>
    <w:rsid w:val="00991618"/>
    <w:rsid w:val="0099221C"/>
    <w:rsid w:val="0099266D"/>
    <w:rsid w:val="00992AFA"/>
    <w:rsid w:val="00992D27"/>
    <w:rsid w:val="00992FB3"/>
    <w:rsid w:val="009930F8"/>
    <w:rsid w:val="00993352"/>
    <w:rsid w:val="0099509F"/>
    <w:rsid w:val="00996BB6"/>
    <w:rsid w:val="00996D93"/>
    <w:rsid w:val="009970A0"/>
    <w:rsid w:val="00997703"/>
    <w:rsid w:val="00997DB1"/>
    <w:rsid w:val="009A00A2"/>
    <w:rsid w:val="009A081E"/>
    <w:rsid w:val="009A0B95"/>
    <w:rsid w:val="009A0EAF"/>
    <w:rsid w:val="009A10C9"/>
    <w:rsid w:val="009A167A"/>
    <w:rsid w:val="009A1E3D"/>
    <w:rsid w:val="009A2637"/>
    <w:rsid w:val="009A2DDE"/>
    <w:rsid w:val="009A331D"/>
    <w:rsid w:val="009A38B6"/>
    <w:rsid w:val="009A406E"/>
    <w:rsid w:val="009A4328"/>
    <w:rsid w:val="009A455D"/>
    <w:rsid w:val="009A45C4"/>
    <w:rsid w:val="009A4A86"/>
    <w:rsid w:val="009A4C8E"/>
    <w:rsid w:val="009A4F3A"/>
    <w:rsid w:val="009A5D8D"/>
    <w:rsid w:val="009A6530"/>
    <w:rsid w:val="009A7AFB"/>
    <w:rsid w:val="009B0B45"/>
    <w:rsid w:val="009B126B"/>
    <w:rsid w:val="009B1730"/>
    <w:rsid w:val="009B1B33"/>
    <w:rsid w:val="009B2A2A"/>
    <w:rsid w:val="009B30C9"/>
    <w:rsid w:val="009B36C8"/>
    <w:rsid w:val="009B3EBF"/>
    <w:rsid w:val="009B41AE"/>
    <w:rsid w:val="009B4657"/>
    <w:rsid w:val="009B4C8D"/>
    <w:rsid w:val="009B4F5A"/>
    <w:rsid w:val="009B52B7"/>
    <w:rsid w:val="009B5B7B"/>
    <w:rsid w:val="009B743C"/>
    <w:rsid w:val="009B7A81"/>
    <w:rsid w:val="009B7B06"/>
    <w:rsid w:val="009B7E5A"/>
    <w:rsid w:val="009C00C4"/>
    <w:rsid w:val="009C11A2"/>
    <w:rsid w:val="009C2BF5"/>
    <w:rsid w:val="009C35B7"/>
    <w:rsid w:val="009C3E18"/>
    <w:rsid w:val="009C4061"/>
    <w:rsid w:val="009C44C2"/>
    <w:rsid w:val="009C4829"/>
    <w:rsid w:val="009C50AA"/>
    <w:rsid w:val="009C5BF3"/>
    <w:rsid w:val="009C6CFC"/>
    <w:rsid w:val="009C7B93"/>
    <w:rsid w:val="009C7C1B"/>
    <w:rsid w:val="009C7DA3"/>
    <w:rsid w:val="009D09D3"/>
    <w:rsid w:val="009D10B7"/>
    <w:rsid w:val="009D1B85"/>
    <w:rsid w:val="009D22CF"/>
    <w:rsid w:val="009D234E"/>
    <w:rsid w:val="009D2667"/>
    <w:rsid w:val="009D3620"/>
    <w:rsid w:val="009D3FD0"/>
    <w:rsid w:val="009D401F"/>
    <w:rsid w:val="009D50D7"/>
    <w:rsid w:val="009D5638"/>
    <w:rsid w:val="009D5740"/>
    <w:rsid w:val="009D5C4C"/>
    <w:rsid w:val="009D7589"/>
    <w:rsid w:val="009D76EF"/>
    <w:rsid w:val="009D7971"/>
    <w:rsid w:val="009D7B90"/>
    <w:rsid w:val="009E1990"/>
    <w:rsid w:val="009E1AC8"/>
    <w:rsid w:val="009E1EAC"/>
    <w:rsid w:val="009E2255"/>
    <w:rsid w:val="009E2264"/>
    <w:rsid w:val="009E3343"/>
    <w:rsid w:val="009E4589"/>
    <w:rsid w:val="009E5013"/>
    <w:rsid w:val="009E5FB9"/>
    <w:rsid w:val="009E656C"/>
    <w:rsid w:val="009E7C74"/>
    <w:rsid w:val="009F0514"/>
    <w:rsid w:val="009F0C63"/>
    <w:rsid w:val="009F17FA"/>
    <w:rsid w:val="009F18F8"/>
    <w:rsid w:val="009F23A3"/>
    <w:rsid w:val="009F2B08"/>
    <w:rsid w:val="009F3ACB"/>
    <w:rsid w:val="009F3BAB"/>
    <w:rsid w:val="009F40D6"/>
    <w:rsid w:val="009F4ECA"/>
    <w:rsid w:val="009F5114"/>
    <w:rsid w:val="009F62B1"/>
    <w:rsid w:val="009F65CB"/>
    <w:rsid w:val="009F66E4"/>
    <w:rsid w:val="009F6EC0"/>
    <w:rsid w:val="009F717C"/>
    <w:rsid w:val="009F7C76"/>
    <w:rsid w:val="009F7CCB"/>
    <w:rsid w:val="00A01A6E"/>
    <w:rsid w:val="00A01A84"/>
    <w:rsid w:val="00A01CCF"/>
    <w:rsid w:val="00A01E47"/>
    <w:rsid w:val="00A04776"/>
    <w:rsid w:val="00A047DF"/>
    <w:rsid w:val="00A05464"/>
    <w:rsid w:val="00A05EF8"/>
    <w:rsid w:val="00A06012"/>
    <w:rsid w:val="00A0619F"/>
    <w:rsid w:val="00A06914"/>
    <w:rsid w:val="00A07388"/>
    <w:rsid w:val="00A07968"/>
    <w:rsid w:val="00A103D3"/>
    <w:rsid w:val="00A10A60"/>
    <w:rsid w:val="00A11003"/>
    <w:rsid w:val="00A11366"/>
    <w:rsid w:val="00A1146A"/>
    <w:rsid w:val="00A1170B"/>
    <w:rsid w:val="00A128E6"/>
    <w:rsid w:val="00A13314"/>
    <w:rsid w:val="00A135A5"/>
    <w:rsid w:val="00A13700"/>
    <w:rsid w:val="00A13915"/>
    <w:rsid w:val="00A13CDD"/>
    <w:rsid w:val="00A1485F"/>
    <w:rsid w:val="00A14F73"/>
    <w:rsid w:val="00A15A19"/>
    <w:rsid w:val="00A15CF6"/>
    <w:rsid w:val="00A15D1B"/>
    <w:rsid w:val="00A15DF2"/>
    <w:rsid w:val="00A16003"/>
    <w:rsid w:val="00A1667F"/>
    <w:rsid w:val="00A20188"/>
    <w:rsid w:val="00A20499"/>
    <w:rsid w:val="00A20A0B"/>
    <w:rsid w:val="00A2107E"/>
    <w:rsid w:val="00A216E3"/>
    <w:rsid w:val="00A217D1"/>
    <w:rsid w:val="00A21A88"/>
    <w:rsid w:val="00A227AF"/>
    <w:rsid w:val="00A22D32"/>
    <w:rsid w:val="00A2317C"/>
    <w:rsid w:val="00A2404F"/>
    <w:rsid w:val="00A24066"/>
    <w:rsid w:val="00A243C9"/>
    <w:rsid w:val="00A2478D"/>
    <w:rsid w:val="00A24BA7"/>
    <w:rsid w:val="00A24E8A"/>
    <w:rsid w:val="00A2512D"/>
    <w:rsid w:val="00A25212"/>
    <w:rsid w:val="00A2578A"/>
    <w:rsid w:val="00A257EB"/>
    <w:rsid w:val="00A260F5"/>
    <w:rsid w:val="00A268DB"/>
    <w:rsid w:val="00A2775C"/>
    <w:rsid w:val="00A27AEE"/>
    <w:rsid w:val="00A301CF"/>
    <w:rsid w:val="00A301D4"/>
    <w:rsid w:val="00A3027C"/>
    <w:rsid w:val="00A3066E"/>
    <w:rsid w:val="00A30E77"/>
    <w:rsid w:val="00A316ED"/>
    <w:rsid w:val="00A318BE"/>
    <w:rsid w:val="00A31943"/>
    <w:rsid w:val="00A31A6C"/>
    <w:rsid w:val="00A31C4C"/>
    <w:rsid w:val="00A32CF3"/>
    <w:rsid w:val="00A33AFA"/>
    <w:rsid w:val="00A33F78"/>
    <w:rsid w:val="00A34148"/>
    <w:rsid w:val="00A348EE"/>
    <w:rsid w:val="00A34D81"/>
    <w:rsid w:val="00A35009"/>
    <w:rsid w:val="00A3507E"/>
    <w:rsid w:val="00A35D7C"/>
    <w:rsid w:val="00A36FF1"/>
    <w:rsid w:val="00A37730"/>
    <w:rsid w:val="00A37DDE"/>
    <w:rsid w:val="00A41547"/>
    <w:rsid w:val="00A42187"/>
    <w:rsid w:val="00A42DB6"/>
    <w:rsid w:val="00A43018"/>
    <w:rsid w:val="00A43130"/>
    <w:rsid w:val="00A43A15"/>
    <w:rsid w:val="00A43C90"/>
    <w:rsid w:val="00A44A7C"/>
    <w:rsid w:val="00A44F3F"/>
    <w:rsid w:val="00A45119"/>
    <w:rsid w:val="00A452DD"/>
    <w:rsid w:val="00A46D20"/>
    <w:rsid w:val="00A47D03"/>
    <w:rsid w:val="00A5019E"/>
    <w:rsid w:val="00A5062F"/>
    <w:rsid w:val="00A506C8"/>
    <w:rsid w:val="00A51F3B"/>
    <w:rsid w:val="00A527BE"/>
    <w:rsid w:val="00A52D1E"/>
    <w:rsid w:val="00A5313E"/>
    <w:rsid w:val="00A532A0"/>
    <w:rsid w:val="00A5364B"/>
    <w:rsid w:val="00A537CF"/>
    <w:rsid w:val="00A5432B"/>
    <w:rsid w:val="00A552F0"/>
    <w:rsid w:val="00A55474"/>
    <w:rsid w:val="00A5575D"/>
    <w:rsid w:val="00A55FD6"/>
    <w:rsid w:val="00A560BA"/>
    <w:rsid w:val="00A5641C"/>
    <w:rsid w:val="00A56787"/>
    <w:rsid w:val="00A56C43"/>
    <w:rsid w:val="00A56E1D"/>
    <w:rsid w:val="00A57A86"/>
    <w:rsid w:val="00A60654"/>
    <w:rsid w:val="00A60865"/>
    <w:rsid w:val="00A60C98"/>
    <w:rsid w:val="00A613B9"/>
    <w:rsid w:val="00A6176E"/>
    <w:rsid w:val="00A619CE"/>
    <w:rsid w:val="00A61BCC"/>
    <w:rsid w:val="00A61E6F"/>
    <w:rsid w:val="00A62185"/>
    <w:rsid w:val="00A623B2"/>
    <w:rsid w:val="00A6289A"/>
    <w:rsid w:val="00A63971"/>
    <w:rsid w:val="00A63A8F"/>
    <w:rsid w:val="00A64E2D"/>
    <w:rsid w:val="00A6601F"/>
    <w:rsid w:val="00A66036"/>
    <w:rsid w:val="00A6744F"/>
    <w:rsid w:val="00A6766C"/>
    <w:rsid w:val="00A70CB9"/>
    <w:rsid w:val="00A72598"/>
    <w:rsid w:val="00A727B4"/>
    <w:rsid w:val="00A72BDC"/>
    <w:rsid w:val="00A72CDB"/>
    <w:rsid w:val="00A73487"/>
    <w:rsid w:val="00A734E3"/>
    <w:rsid w:val="00A73874"/>
    <w:rsid w:val="00A74286"/>
    <w:rsid w:val="00A74EF7"/>
    <w:rsid w:val="00A75D82"/>
    <w:rsid w:val="00A76159"/>
    <w:rsid w:val="00A76627"/>
    <w:rsid w:val="00A76F92"/>
    <w:rsid w:val="00A77404"/>
    <w:rsid w:val="00A77562"/>
    <w:rsid w:val="00A77591"/>
    <w:rsid w:val="00A77E19"/>
    <w:rsid w:val="00A800E8"/>
    <w:rsid w:val="00A80CFF"/>
    <w:rsid w:val="00A80EEE"/>
    <w:rsid w:val="00A81175"/>
    <w:rsid w:val="00A81516"/>
    <w:rsid w:val="00A822C5"/>
    <w:rsid w:val="00A82552"/>
    <w:rsid w:val="00A82954"/>
    <w:rsid w:val="00A82A0E"/>
    <w:rsid w:val="00A82E4B"/>
    <w:rsid w:val="00A83612"/>
    <w:rsid w:val="00A8470C"/>
    <w:rsid w:val="00A84B66"/>
    <w:rsid w:val="00A852DE"/>
    <w:rsid w:val="00A85460"/>
    <w:rsid w:val="00A85593"/>
    <w:rsid w:val="00A858F6"/>
    <w:rsid w:val="00A85937"/>
    <w:rsid w:val="00A8600C"/>
    <w:rsid w:val="00A868FE"/>
    <w:rsid w:val="00A86BA7"/>
    <w:rsid w:val="00A871AC"/>
    <w:rsid w:val="00A878A2"/>
    <w:rsid w:val="00A90699"/>
    <w:rsid w:val="00A90AA8"/>
    <w:rsid w:val="00A91396"/>
    <w:rsid w:val="00A9216B"/>
    <w:rsid w:val="00A92209"/>
    <w:rsid w:val="00A92BF8"/>
    <w:rsid w:val="00A93398"/>
    <w:rsid w:val="00A9377C"/>
    <w:rsid w:val="00A93C7E"/>
    <w:rsid w:val="00A93DD3"/>
    <w:rsid w:val="00A94291"/>
    <w:rsid w:val="00A95914"/>
    <w:rsid w:val="00A95AAB"/>
    <w:rsid w:val="00A95F86"/>
    <w:rsid w:val="00A96671"/>
    <w:rsid w:val="00A97492"/>
    <w:rsid w:val="00A97614"/>
    <w:rsid w:val="00AA0DE7"/>
    <w:rsid w:val="00AA2256"/>
    <w:rsid w:val="00AA2379"/>
    <w:rsid w:val="00AA2392"/>
    <w:rsid w:val="00AA2D78"/>
    <w:rsid w:val="00AA2E2F"/>
    <w:rsid w:val="00AA3CB9"/>
    <w:rsid w:val="00AA444E"/>
    <w:rsid w:val="00AA4D5A"/>
    <w:rsid w:val="00AA52C6"/>
    <w:rsid w:val="00AA54DE"/>
    <w:rsid w:val="00AA5740"/>
    <w:rsid w:val="00AA5E94"/>
    <w:rsid w:val="00AA6687"/>
    <w:rsid w:val="00AA77D0"/>
    <w:rsid w:val="00AB04A2"/>
    <w:rsid w:val="00AB0852"/>
    <w:rsid w:val="00AB16A9"/>
    <w:rsid w:val="00AB1FC4"/>
    <w:rsid w:val="00AB2FE1"/>
    <w:rsid w:val="00AB321E"/>
    <w:rsid w:val="00AB333B"/>
    <w:rsid w:val="00AB363C"/>
    <w:rsid w:val="00AB409D"/>
    <w:rsid w:val="00AB48A7"/>
    <w:rsid w:val="00AB4972"/>
    <w:rsid w:val="00AB4C2D"/>
    <w:rsid w:val="00AB5421"/>
    <w:rsid w:val="00AB5E95"/>
    <w:rsid w:val="00AB61E3"/>
    <w:rsid w:val="00AB66CE"/>
    <w:rsid w:val="00AB6872"/>
    <w:rsid w:val="00AB6AC5"/>
    <w:rsid w:val="00AB6C30"/>
    <w:rsid w:val="00AB6E32"/>
    <w:rsid w:val="00AB751C"/>
    <w:rsid w:val="00AB774C"/>
    <w:rsid w:val="00AB788C"/>
    <w:rsid w:val="00AC01EC"/>
    <w:rsid w:val="00AC0322"/>
    <w:rsid w:val="00AC0B99"/>
    <w:rsid w:val="00AC128F"/>
    <w:rsid w:val="00AC15DF"/>
    <w:rsid w:val="00AC3026"/>
    <w:rsid w:val="00AC3785"/>
    <w:rsid w:val="00AC3951"/>
    <w:rsid w:val="00AC4383"/>
    <w:rsid w:val="00AC526B"/>
    <w:rsid w:val="00AC58BF"/>
    <w:rsid w:val="00AC6461"/>
    <w:rsid w:val="00AC67CB"/>
    <w:rsid w:val="00AC6B24"/>
    <w:rsid w:val="00AC6B27"/>
    <w:rsid w:val="00AC757F"/>
    <w:rsid w:val="00AC762B"/>
    <w:rsid w:val="00AD1AD9"/>
    <w:rsid w:val="00AD1D82"/>
    <w:rsid w:val="00AD290C"/>
    <w:rsid w:val="00AD39F8"/>
    <w:rsid w:val="00AD619B"/>
    <w:rsid w:val="00AD65B5"/>
    <w:rsid w:val="00AD6904"/>
    <w:rsid w:val="00AD7554"/>
    <w:rsid w:val="00AD762D"/>
    <w:rsid w:val="00AE06FF"/>
    <w:rsid w:val="00AE0A6B"/>
    <w:rsid w:val="00AE1838"/>
    <w:rsid w:val="00AE1A3A"/>
    <w:rsid w:val="00AE1BD4"/>
    <w:rsid w:val="00AE218B"/>
    <w:rsid w:val="00AE2B04"/>
    <w:rsid w:val="00AE2C0A"/>
    <w:rsid w:val="00AE383A"/>
    <w:rsid w:val="00AE4189"/>
    <w:rsid w:val="00AE4299"/>
    <w:rsid w:val="00AE429B"/>
    <w:rsid w:val="00AE494D"/>
    <w:rsid w:val="00AE4D59"/>
    <w:rsid w:val="00AE52D0"/>
    <w:rsid w:val="00AE5E21"/>
    <w:rsid w:val="00AE77A5"/>
    <w:rsid w:val="00AF0308"/>
    <w:rsid w:val="00AF0516"/>
    <w:rsid w:val="00AF10F1"/>
    <w:rsid w:val="00AF1771"/>
    <w:rsid w:val="00AF1AB5"/>
    <w:rsid w:val="00AF26D2"/>
    <w:rsid w:val="00AF34D2"/>
    <w:rsid w:val="00AF36C6"/>
    <w:rsid w:val="00AF3837"/>
    <w:rsid w:val="00AF3A26"/>
    <w:rsid w:val="00AF4854"/>
    <w:rsid w:val="00AF4F18"/>
    <w:rsid w:val="00AF505D"/>
    <w:rsid w:val="00AF51A0"/>
    <w:rsid w:val="00AF5507"/>
    <w:rsid w:val="00AF578B"/>
    <w:rsid w:val="00AF6EB5"/>
    <w:rsid w:val="00AF7167"/>
    <w:rsid w:val="00AF7E5D"/>
    <w:rsid w:val="00AF7EA6"/>
    <w:rsid w:val="00B0007C"/>
    <w:rsid w:val="00B01123"/>
    <w:rsid w:val="00B012F2"/>
    <w:rsid w:val="00B01B3B"/>
    <w:rsid w:val="00B01BE2"/>
    <w:rsid w:val="00B01ED9"/>
    <w:rsid w:val="00B03305"/>
    <w:rsid w:val="00B0359A"/>
    <w:rsid w:val="00B03810"/>
    <w:rsid w:val="00B03905"/>
    <w:rsid w:val="00B03941"/>
    <w:rsid w:val="00B039E5"/>
    <w:rsid w:val="00B04204"/>
    <w:rsid w:val="00B0461A"/>
    <w:rsid w:val="00B049D8"/>
    <w:rsid w:val="00B04B81"/>
    <w:rsid w:val="00B04D45"/>
    <w:rsid w:val="00B05A2E"/>
    <w:rsid w:val="00B06421"/>
    <w:rsid w:val="00B0671D"/>
    <w:rsid w:val="00B07094"/>
    <w:rsid w:val="00B070FE"/>
    <w:rsid w:val="00B07428"/>
    <w:rsid w:val="00B07B62"/>
    <w:rsid w:val="00B07BEB"/>
    <w:rsid w:val="00B101C0"/>
    <w:rsid w:val="00B1042D"/>
    <w:rsid w:val="00B107C4"/>
    <w:rsid w:val="00B113AC"/>
    <w:rsid w:val="00B11A3F"/>
    <w:rsid w:val="00B12EBB"/>
    <w:rsid w:val="00B131F8"/>
    <w:rsid w:val="00B1344D"/>
    <w:rsid w:val="00B134C2"/>
    <w:rsid w:val="00B13B42"/>
    <w:rsid w:val="00B13B4A"/>
    <w:rsid w:val="00B1527C"/>
    <w:rsid w:val="00B152FE"/>
    <w:rsid w:val="00B16694"/>
    <w:rsid w:val="00B16715"/>
    <w:rsid w:val="00B167E4"/>
    <w:rsid w:val="00B16EDD"/>
    <w:rsid w:val="00B17619"/>
    <w:rsid w:val="00B17694"/>
    <w:rsid w:val="00B2090A"/>
    <w:rsid w:val="00B20EB2"/>
    <w:rsid w:val="00B210FC"/>
    <w:rsid w:val="00B22241"/>
    <w:rsid w:val="00B23322"/>
    <w:rsid w:val="00B23B8B"/>
    <w:rsid w:val="00B23D3C"/>
    <w:rsid w:val="00B249CF"/>
    <w:rsid w:val="00B24A3B"/>
    <w:rsid w:val="00B25230"/>
    <w:rsid w:val="00B2534C"/>
    <w:rsid w:val="00B253E9"/>
    <w:rsid w:val="00B26857"/>
    <w:rsid w:val="00B26A08"/>
    <w:rsid w:val="00B274F9"/>
    <w:rsid w:val="00B27B47"/>
    <w:rsid w:val="00B27D9A"/>
    <w:rsid w:val="00B30017"/>
    <w:rsid w:val="00B3022D"/>
    <w:rsid w:val="00B30D4D"/>
    <w:rsid w:val="00B310BD"/>
    <w:rsid w:val="00B31921"/>
    <w:rsid w:val="00B31E8B"/>
    <w:rsid w:val="00B31F04"/>
    <w:rsid w:val="00B3277B"/>
    <w:rsid w:val="00B33A5D"/>
    <w:rsid w:val="00B34337"/>
    <w:rsid w:val="00B34531"/>
    <w:rsid w:val="00B3502F"/>
    <w:rsid w:val="00B35868"/>
    <w:rsid w:val="00B36676"/>
    <w:rsid w:val="00B374C6"/>
    <w:rsid w:val="00B3782F"/>
    <w:rsid w:val="00B40034"/>
    <w:rsid w:val="00B407F4"/>
    <w:rsid w:val="00B4272C"/>
    <w:rsid w:val="00B42B58"/>
    <w:rsid w:val="00B42CD6"/>
    <w:rsid w:val="00B43B2E"/>
    <w:rsid w:val="00B4407E"/>
    <w:rsid w:val="00B445AD"/>
    <w:rsid w:val="00B4462A"/>
    <w:rsid w:val="00B47143"/>
    <w:rsid w:val="00B4733D"/>
    <w:rsid w:val="00B479FC"/>
    <w:rsid w:val="00B508A8"/>
    <w:rsid w:val="00B50B9C"/>
    <w:rsid w:val="00B512B4"/>
    <w:rsid w:val="00B52AA3"/>
    <w:rsid w:val="00B52E90"/>
    <w:rsid w:val="00B53EA4"/>
    <w:rsid w:val="00B53F90"/>
    <w:rsid w:val="00B54496"/>
    <w:rsid w:val="00B55615"/>
    <w:rsid w:val="00B558C0"/>
    <w:rsid w:val="00B55E12"/>
    <w:rsid w:val="00B567AF"/>
    <w:rsid w:val="00B574B3"/>
    <w:rsid w:val="00B57671"/>
    <w:rsid w:val="00B5777A"/>
    <w:rsid w:val="00B6030B"/>
    <w:rsid w:val="00B6033A"/>
    <w:rsid w:val="00B61F7E"/>
    <w:rsid w:val="00B626BB"/>
    <w:rsid w:val="00B62931"/>
    <w:rsid w:val="00B629C0"/>
    <w:rsid w:val="00B62BF2"/>
    <w:rsid w:val="00B62CC8"/>
    <w:rsid w:val="00B63735"/>
    <w:rsid w:val="00B643A1"/>
    <w:rsid w:val="00B64B3D"/>
    <w:rsid w:val="00B65BBC"/>
    <w:rsid w:val="00B66162"/>
    <w:rsid w:val="00B66163"/>
    <w:rsid w:val="00B6637F"/>
    <w:rsid w:val="00B669BC"/>
    <w:rsid w:val="00B67743"/>
    <w:rsid w:val="00B67CED"/>
    <w:rsid w:val="00B67EEA"/>
    <w:rsid w:val="00B700D0"/>
    <w:rsid w:val="00B70283"/>
    <w:rsid w:val="00B716DF"/>
    <w:rsid w:val="00B717CC"/>
    <w:rsid w:val="00B71811"/>
    <w:rsid w:val="00B71F86"/>
    <w:rsid w:val="00B72A90"/>
    <w:rsid w:val="00B72ED7"/>
    <w:rsid w:val="00B72F66"/>
    <w:rsid w:val="00B73417"/>
    <w:rsid w:val="00B74D24"/>
    <w:rsid w:val="00B74FA3"/>
    <w:rsid w:val="00B750BD"/>
    <w:rsid w:val="00B762D5"/>
    <w:rsid w:val="00B76BB7"/>
    <w:rsid w:val="00B809B7"/>
    <w:rsid w:val="00B80A6D"/>
    <w:rsid w:val="00B80E9B"/>
    <w:rsid w:val="00B81079"/>
    <w:rsid w:val="00B8193F"/>
    <w:rsid w:val="00B81A1F"/>
    <w:rsid w:val="00B81AD6"/>
    <w:rsid w:val="00B81CDE"/>
    <w:rsid w:val="00B81F05"/>
    <w:rsid w:val="00B83D89"/>
    <w:rsid w:val="00B854AE"/>
    <w:rsid w:val="00B85C8E"/>
    <w:rsid w:val="00B8681B"/>
    <w:rsid w:val="00B86A4E"/>
    <w:rsid w:val="00B87580"/>
    <w:rsid w:val="00B9002C"/>
    <w:rsid w:val="00B902D2"/>
    <w:rsid w:val="00B90592"/>
    <w:rsid w:val="00B9062C"/>
    <w:rsid w:val="00B90790"/>
    <w:rsid w:val="00B91885"/>
    <w:rsid w:val="00B9200E"/>
    <w:rsid w:val="00B9211B"/>
    <w:rsid w:val="00B92486"/>
    <w:rsid w:val="00B92F2D"/>
    <w:rsid w:val="00B92FA2"/>
    <w:rsid w:val="00B93172"/>
    <w:rsid w:val="00B93E45"/>
    <w:rsid w:val="00B9449F"/>
    <w:rsid w:val="00B94DCB"/>
    <w:rsid w:val="00B94F7C"/>
    <w:rsid w:val="00B95578"/>
    <w:rsid w:val="00B95F68"/>
    <w:rsid w:val="00B96377"/>
    <w:rsid w:val="00B9676E"/>
    <w:rsid w:val="00B9687E"/>
    <w:rsid w:val="00B96E36"/>
    <w:rsid w:val="00B97498"/>
    <w:rsid w:val="00B975E2"/>
    <w:rsid w:val="00B97B33"/>
    <w:rsid w:val="00B97C75"/>
    <w:rsid w:val="00BA1CE3"/>
    <w:rsid w:val="00BA1FA7"/>
    <w:rsid w:val="00BA2252"/>
    <w:rsid w:val="00BA245A"/>
    <w:rsid w:val="00BA265E"/>
    <w:rsid w:val="00BA2D07"/>
    <w:rsid w:val="00BA2EB0"/>
    <w:rsid w:val="00BA2FAF"/>
    <w:rsid w:val="00BA30EA"/>
    <w:rsid w:val="00BA33C6"/>
    <w:rsid w:val="00BA35C4"/>
    <w:rsid w:val="00BA3638"/>
    <w:rsid w:val="00BA3B8A"/>
    <w:rsid w:val="00BA43E7"/>
    <w:rsid w:val="00BA4E5F"/>
    <w:rsid w:val="00BA5AB5"/>
    <w:rsid w:val="00BA5B10"/>
    <w:rsid w:val="00BA5BC1"/>
    <w:rsid w:val="00BA5DC9"/>
    <w:rsid w:val="00BA6480"/>
    <w:rsid w:val="00BA6842"/>
    <w:rsid w:val="00BA74D7"/>
    <w:rsid w:val="00BA7DCD"/>
    <w:rsid w:val="00BB0E74"/>
    <w:rsid w:val="00BB264C"/>
    <w:rsid w:val="00BB29B6"/>
    <w:rsid w:val="00BB3463"/>
    <w:rsid w:val="00BB351C"/>
    <w:rsid w:val="00BB3688"/>
    <w:rsid w:val="00BB3A47"/>
    <w:rsid w:val="00BB46AD"/>
    <w:rsid w:val="00BB47D8"/>
    <w:rsid w:val="00BB5710"/>
    <w:rsid w:val="00BB6C5C"/>
    <w:rsid w:val="00BB796A"/>
    <w:rsid w:val="00BB7F8C"/>
    <w:rsid w:val="00BC0558"/>
    <w:rsid w:val="00BC111B"/>
    <w:rsid w:val="00BC1A7B"/>
    <w:rsid w:val="00BC285D"/>
    <w:rsid w:val="00BC3646"/>
    <w:rsid w:val="00BC3C6E"/>
    <w:rsid w:val="00BC3F6C"/>
    <w:rsid w:val="00BC4255"/>
    <w:rsid w:val="00BC4A82"/>
    <w:rsid w:val="00BC508A"/>
    <w:rsid w:val="00BC5544"/>
    <w:rsid w:val="00BC5C35"/>
    <w:rsid w:val="00BC5ED8"/>
    <w:rsid w:val="00BC5F39"/>
    <w:rsid w:val="00BC6255"/>
    <w:rsid w:val="00BC6F9A"/>
    <w:rsid w:val="00BD1315"/>
    <w:rsid w:val="00BD1540"/>
    <w:rsid w:val="00BD1AB0"/>
    <w:rsid w:val="00BD1AB7"/>
    <w:rsid w:val="00BD2260"/>
    <w:rsid w:val="00BD2393"/>
    <w:rsid w:val="00BD278B"/>
    <w:rsid w:val="00BD2833"/>
    <w:rsid w:val="00BD39CF"/>
    <w:rsid w:val="00BD3BD7"/>
    <w:rsid w:val="00BD452D"/>
    <w:rsid w:val="00BD4C29"/>
    <w:rsid w:val="00BD63CD"/>
    <w:rsid w:val="00BD6B1F"/>
    <w:rsid w:val="00BD7E04"/>
    <w:rsid w:val="00BE0441"/>
    <w:rsid w:val="00BE0C7A"/>
    <w:rsid w:val="00BE1F86"/>
    <w:rsid w:val="00BE2EA4"/>
    <w:rsid w:val="00BE3113"/>
    <w:rsid w:val="00BE3A26"/>
    <w:rsid w:val="00BE3F04"/>
    <w:rsid w:val="00BE4922"/>
    <w:rsid w:val="00BE4E16"/>
    <w:rsid w:val="00BE4FB7"/>
    <w:rsid w:val="00BE5064"/>
    <w:rsid w:val="00BE5183"/>
    <w:rsid w:val="00BE5903"/>
    <w:rsid w:val="00BE61EE"/>
    <w:rsid w:val="00BE629F"/>
    <w:rsid w:val="00BE746F"/>
    <w:rsid w:val="00BF0794"/>
    <w:rsid w:val="00BF0E28"/>
    <w:rsid w:val="00BF0F30"/>
    <w:rsid w:val="00BF1403"/>
    <w:rsid w:val="00BF1411"/>
    <w:rsid w:val="00BF155A"/>
    <w:rsid w:val="00BF1957"/>
    <w:rsid w:val="00BF253C"/>
    <w:rsid w:val="00BF29DF"/>
    <w:rsid w:val="00BF2E37"/>
    <w:rsid w:val="00BF3437"/>
    <w:rsid w:val="00BF35EB"/>
    <w:rsid w:val="00BF3D76"/>
    <w:rsid w:val="00BF4A25"/>
    <w:rsid w:val="00BF4ABB"/>
    <w:rsid w:val="00BF4D8D"/>
    <w:rsid w:val="00BF5CA9"/>
    <w:rsid w:val="00BF69C1"/>
    <w:rsid w:val="00BF6AA7"/>
    <w:rsid w:val="00BF6C7A"/>
    <w:rsid w:val="00BF6DB8"/>
    <w:rsid w:val="00BF6EAA"/>
    <w:rsid w:val="00BF7EDD"/>
    <w:rsid w:val="00C00840"/>
    <w:rsid w:val="00C00FA4"/>
    <w:rsid w:val="00C018E1"/>
    <w:rsid w:val="00C026C5"/>
    <w:rsid w:val="00C0490F"/>
    <w:rsid w:val="00C04E8C"/>
    <w:rsid w:val="00C05054"/>
    <w:rsid w:val="00C0648D"/>
    <w:rsid w:val="00C06EC0"/>
    <w:rsid w:val="00C071C5"/>
    <w:rsid w:val="00C07420"/>
    <w:rsid w:val="00C0796E"/>
    <w:rsid w:val="00C07EA8"/>
    <w:rsid w:val="00C101A9"/>
    <w:rsid w:val="00C103DD"/>
    <w:rsid w:val="00C114E7"/>
    <w:rsid w:val="00C115C0"/>
    <w:rsid w:val="00C118C0"/>
    <w:rsid w:val="00C133C5"/>
    <w:rsid w:val="00C1592F"/>
    <w:rsid w:val="00C16465"/>
    <w:rsid w:val="00C16A60"/>
    <w:rsid w:val="00C16CF3"/>
    <w:rsid w:val="00C16D31"/>
    <w:rsid w:val="00C16D9B"/>
    <w:rsid w:val="00C1768A"/>
    <w:rsid w:val="00C17A5E"/>
    <w:rsid w:val="00C2080E"/>
    <w:rsid w:val="00C20B9E"/>
    <w:rsid w:val="00C20DE9"/>
    <w:rsid w:val="00C21399"/>
    <w:rsid w:val="00C21784"/>
    <w:rsid w:val="00C21AB1"/>
    <w:rsid w:val="00C21F07"/>
    <w:rsid w:val="00C2288D"/>
    <w:rsid w:val="00C24289"/>
    <w:rsid w:val="00C24A9C"/>
    <w:rsid w:val="00C25301"/>
    <w:rsid w:val="00C25561"/>
    <w:rsid w:val="00C25D35"/>
    <w:rsid w:val="00C26582"/>
    <w:rsid w:val="00C265AE"/>
    <w:rsid w:val="00C27188"/>
    <w:rsid w:val="00C27414"/>
    <w:rsid w:val="00C27521"/>
    <w:rsid w:val="00C27B89"/>
    <w:rsid w:val="00C27B8A"/>
    <w:rsid w:val="00C3020D"/>
    <w:rsid w:val="00C30F9F"/>
    <w:rsid w:val="00C31121"/>
    <w:rsid w:val="00C31CFC"/>
    <w:rsid w:val="00C3276B"/>
    <w:rsid w:val="00C32A0A"/>
    <w:rsid w:val="00C33430"/>
    <w:rsid w:val="00C334DE"/>
    <w:rsid w:val="00C33D03"/>
    <w:rsid w:val="00C3448E"/>
    <w:rsid w:val="00C34895"/>
    <w:rsid w:val="00C349CB"/>
    <w:rsid w:val="00C34F32"/>
    <w:rsid w:val="00C353D0"/>
    <w:rsid w:val="00C36076"/>
    <w:rsid w:val="00C36891"/>
    <w:rsid w:val="00C36BD4"/>
    <w:rsid w:val="00C372EA"/>
    <w:rsid w:val="00C37998"/>
    <w:rsid w:val="00C41980"/>
    <w:rsid w:val="00C42999"/>
    <w:rsid w:val="00C42C12"/>
    <w:rsid w:val="00C43395"/>
    <w:rsid w:val="00C43639"/>
    <w:rsid w:val="00C4463E"/>
    <w:rsid w:val="00C447DA"/>
    <w:rsid w:val="00C44ECC"/>
    <w:rsid w:val="00C44FCE"/>
    <w:rsid w:val="00C45B78"/>
    <w:rsid w:val="00C45F89"/>
    <w:rsid w:val="00C47109"/>
    <w:rsid w:val="00C474C6"/>
    <w:rsid w:val="00C47C53"/>
    <w:rsid w:val="00C5036F"/>
    <w:rsid w:val="00C5046F"/>
    <w:rsid w:val="00C5047F"/>
    <w:rsid w:val="00C510FA"/>
    <w:rsid w:val="00C514A1"/>
    <w:rsid w:val="00C51D96"/>
    <w:rsid w:val="00C523D9"/>
    <w:rsid w:val="00C52BA8"/>
    <w:rsid w:val="00C533B9"/>
    <w:rsid w:val="00C535AA"/>
    <w:rsid w:val="00C54034"/>
    <w:rsid w:val="00C54444"/>
    <w:rsid w:val="00C54534"/>
    <w:rsid w:val="00C54D61"/>
    <w:rsid w:val="00C554DC"/>
    <w:rsid w:val="00C55A81"/>
    <w:rsid w:val="00C5635C"/>
    <w:rsid w:val="00C56B1F"/>
    <w:rsid w:val="00C5735F"/>
    <w:rsid w:val="00C57766"/>
    <w:rsid w:val="00C6030A"/>
    <w:rsid w:val="00C604D8"/>
    <w:rsid w:val="00C6057C"/>
    <w:rsid w:val="00C609C8"/>
    <w:rsid w:val="00C61A4D"/>
    <w:rsid w:val="00C62C50"/>
    <w:rsid w:val="00C638AF"/>
    <w:rsid w:val="00C63A3B"/>
    <w:rsid w:val="00C63E00"/>
    <w:rsid w:val="00C64A9F"/>
    <w:rsid w:val="00C64ADF"/>
    <w:rsid w:val="00C65430"/>
    <w:rsid w:val="00C6583D"/>
    <w:rsid w:val="00C666C0"/>
    <w:rsid w:val="00C667A6"/>
    <w:rsid w:val="00C675B6"/>
    <w:rsid w:val="00C67CA2"/>
    <w:rsid w:val="00C70869"/>
    <w:rsid w:val="00C71818"/>
    <w:rsid w:val="00C718E5"/>
    <w:rsid w:val="00C737DD"/>
    <w:rsid w:val="00C73FBF"/>
    <w:rsid w:val="00C74957"/>
    <w:rsid w:val="00C759AF"/>
    <w:rsid w:val="00C75F81"/>
    <w:rsid w:val="00C7699D"/>
    <w:rsid w:val="00C77420"/>
    <w:rsid w:val="00C77D73"/>
    <w:rsid w:val="00C81089"/>
    <w:rsid w:val="00C81134"/>
    <w:rsid w:val="00C81689"/>
    <w:rsid w:val="00C816E4"/>
    <w:rsid w:val="00C818C0"/>
    <w:rsid w:val="00C81D18"/>
    <w:rsid w:val="00C82164"/>
    <w:rsid w:val="00C828E9"/>
    <w:rsid w:val="00C82A37"/>
    <w:rsid w:val="00C83415"/>
    <w:rsid w:val="00C841EB"/>
    <w:rsid w:val="00C8427E"/>
    <w:rsid w:val="00C844B3"/>
    <w:rsid w:val="00C8479D"/>
    <w:rsid w:val="00C849AE"/>
    <w:rsid w:val="00C84AD5"/>
    <w:rsid w:val="00C84B78"/>
    <w:rsid w:val="00C84BF7"/>
    <w:rsid w:val="00C84D20"/>
    <w:rsid w:val="00C8546B"/>
    <w:rsid w:val="00C85947"/>
    <w:rsid w:val="00C862BE"/>
    <w:rsid w:val="00C86524"/>
    <w:rsid w:val="00C865E3"/>
    <w:rsid w:val="00C86A3F"/>
    <w:rsid w:val="00C87C26"/>
    <w:rsid w:val="00C905AF"/>
    <w:rsid w:val="00C90CB8"/>
    <w:rsid w:val="00C9122D"/>
    <w:rsid w:val="00C91911"/>
    <w:rsid w:val="00C91CF9"/>
    <w:rsid w:val="00C91E95"/>
    <w:rsid w:val="00C9206D"/>
    <w:rsid w:val="00C92686"/>
    <w:rsid w:val="00C9269A"/>
    <w:rsid w:val="00C92808"/>
    <w:rsid w:val="00C92E63"/>
    <w:rsid w:val="00C931F6"/>
    <w:rsid w:val="00C9330B"/>
    <w:rsid w:val="00C93698"/>
    <w:rsid w:val="00C937FF"/>
    <w:rsid w:val="00C93EFE"/>
    <w:rsid w:val="00C9442A"/>
    <w:rsid w:val="00C944EB"/>
    <w:rsid w:val="00C946C9"/>
    <w:rsid w:val="00C95385"/>
    <w:rsid w:val="00C95B61"/>
    <w:rsid w:val="00C96269"/>
    <w:rsid w:val="00C96357"/>
    <w:rsid w:val="00C97049"/>
    <w:rsid w:val="00C97648"/>
    <w:rsid w:val="00CA061F"/>
    <w:rsid w:val="00CA0C52"/>
    <w:rsid w:val="00CA0E18"/>
    <w:rsid w:val="00CA1A19"/>
    <w:rsid w:val="00CA2312"/>
    <w:rsid w:val="00CA2467"/>
    <w:rsid w:val="00CA2472"/>
    <w:rsid w:val="00CA248D"/>
    <w:rsid w:val="00CA2CB6"/>
    <w:rsid w:val="00CA363E"/>
    <w:rsid w:val="00CA3D01"/>
    <w:rsid w:val="00CA53AD"/>
    <w:rsid w:val="00CA56AD"/>
    <w:rsid w:val="00CA594D"/>
    <w:rsid w:val="00CA70D5"/>
    <w:rsid w:val="00CA735D"/>
    <w:rsid w:val="00CA738E"/>
    <w:rsid w:val="00CA76D4"/>
    <w:rsid w:val="00CB07B8"/>
    <w:rsid w:val="00CB0A16"/>
    <w:rsid w:val="00CB1566"/>
    <w:rsid w:val="00CB23D9"/>
    <w:rsid w:val="00CB257A"/>
    <w:rsid w:val="00CB2772"/>
    <w:rsid w:val="00CB2D83"/>
    <w:rsid w:val="00CB313C"/>
    <w:rsid w:val="00CB366A"/>
    <w:rsid w:val="00CB397F"/>
    <w:rsid w:val="00CB4945"/>
    <w:rsid w:val="00CB4C99"/>
    <w:rsid w:val="00CB4CAB"/>
    <w:rsid w:val="00CB52DB"/>
    <w:rsid w:val="00CB6736"/>
    <w:rsid w:val="00CB72F7"/>
    <w:rsid w:val="00CB73D5"/>
    <w:rsid w:val="00CB73F8"/>
    <w:rsid w:val="00CB7584"/>
    <w:rsid w:val="00CC075E"/>
    <w:rsid w:val="00CC0920"/>
    <w:rsid w:val="00CC0D69"/>
    <w:rsid w:val="00CC185B"/>
    <w:rsid w:val="00CC2212"/>
    <w:rsid w:val="00CC26C1"/>
    <w:rsid w:val="00CC2AD2"/>
    <w:rsid w:val="00CC2D0D"/>
    <w:rsid w:val="00CC3121"/>
    <w:rsid w:val="00CC34E9"/>
    <w:rsid w:val="00CC372C"/>
    <w:rsid w:val="00CC392E"/>
    <w:rsid w:val="00CC402B"/>
    <w:rsid w:val="00CC42C0"/>
    <w:rsid w:val="00CC43F7"/>
    <w:rsid w:val="00CC44E1"/>
    <w:rsid w:val="00CC50C2"/>
    <w:rsid w:val="00CC50C4"/>
    <w:rsid w:val="00CC5889"/>
    <w:rsid w:val="00CC6E29"/>
    <w:rsid w:val="00CC6FA2"/>
    <w:rsid w:val="00CC70E3"/>
    <w:rsid w:val="00CC771A"/>
    <w:rsid w:val="00CC7C5E"/>
    <w:rsid w:val="00CD0AAC"/>
    <w:rsid w:val="00CD1287"/>
    <w:rsid w:val="00CD19E9"/>
    <w:rsid w:val="00CD1F32"/>
    <w:rsid w:val="00CD26C0"/>
    <w:rsid w:val="00CD2BEA"/>
    <w:rsid w:val="00CD330E"/>
    <w:rsid w:val="00CD33FD"/>
    <w:rsid w:val="00CD3471"/>
    <w:rsid w:val="00CD472C"/>
    <w:rsid w:val="00CD497D"/>
    <w:rsid w:val="00CD4A72"/>
    <w:rsid w:val="00CD4F81"/>
    <w:rsid w:val="00CD5D38"/>
    <w:rsid w:val="00CD619C"/>
    <w:rsid w:val="00CD641F"/>
    <w:rsid w:val="00CD6591"/>
    <w:rsid w:val="00CD6B50"/>
    <w:rsid w:val="00CD6B9F"/>
    <w:rsid w:val="00CD6E03"/>
    <w:rsid w:val="00CD6FD8"/>
    <w:rsid w:val="00CD72A3"/>
    <w:rsid w:val="00CD730C"/>
    <w:rsid w:val="00CD7330"/>
    <w:rsid w:val="00CE0158"/>
    <w:rsid w:val="00CE05EA"/>
    <w:rsid w:val="00CE133A"/>
    <w:rsid w:val="00CE149A"/>
    <w:rsid w:val="00CE23E7"/>
    <w:rsid w:val="00CE3679"/>
    <w:rsid w:val="00CE442C"/>
    <w:rsid w:val="00CE4845"/>
    <w:rsid w:val="00CE4978"/>
    <w:rsid w:val="00CE55CF"/>
    <w:rsid w:val="00CE60CF"/>
    <w:rsid w:val="00CE60D1"/>
    <w:rsid w:val="00CE61C3"/>
    <w:rsid w:val="00CE6687"/>
    <w:rsid w:val="00CE69C8"/>
    <w:rsid w:val="00CE7408"/>
    <w:rsid w:val="00CE76AF"/>
    <w:rsid w:val="00CE7D56"/>
    <w:rsid w:val="00CE7F58"/>
    <w:rsid w:val="00CF078C"/>
    <w:rsid w:val="00CF0FCB"/>
    <w:rsid w:val="00CF133E"/>
    <w:rsid w:val="00CF133F"/>
    <w:rsid w:val="00CF1E61"/>
    <w:rsid w:val="00CF21C0"/>
    <w:rsid w:val="00CF21D4"/>
    <w:rsid w:val="00CF2DFC"/>
    <w:rsid w:val="00CF33E0"/>
    <w:rsid w:val="00CF3513"/>
    <w:rsid w:val="00CF3946"/>
    <w:rsid w:val="00CF438C"/>
    <w:rsid w:val="00CF4B6B"/>
    <w:rsid w:val="00CF4FDD"/>
    <w:rsid w:val="00CF5A9E"/>
    <w:rsid w:val="00CF644E"/>
    <w:rsid w:val="00CF716E"/>
    <w:rsid w:val="00D00350"/>
    <w:rsid w:val="00D01329"/>
    <w:rsid w:val="00D0173E"/>
    <w:rsid w:val="00D02D65"/>
    <w:rsid w:val="00D02FC1"/>
    <w:rsid w:val="00D03095"/>
    <w:rsid w:val="00D03DC9"/>
    <w:rsid w:val="00D04387"/>
    <w:rsid w:val="00D04A1B"/>
    <w:rsid w:val="00D052C6"/>
    <w:rsid w:val="00D05381"/>
    <w:rsid w:val="00D062C1"/>
    <w:rsid w:val="00D0664E"/>
    <w:rsid w:val="00D10CF1"/>
    <w:rsid w:val="00D10D82"/>
    <w:rsid w:val="00D10DCF"/>
    <w:rsid w:val="00D12269"/>
    <w:rsid w:val="00D14271"/>
    <w:rsid w:val="00D14E26"/>
    <w:rsid w:val="00D16022"/>
    <w:rsid w:val="00D1670C"/>
    <w:rsid w:val="00D16755"/>
    <w:rsid w:val="00D1688B"/>
    <w:rsid w:val="00D169EA"/>
    <w:rsid w:val="00D16F5F"/>
    <w:rsid w:val="00D176A8"/>
    <w:rsid w:val="00D17F11"/>
    <w:rsid w:val="00D2051D"/>
    <w:rsid w:val="00D21526"/>
    <w:rsid w:val="00D2195E"/>
    <w:rsid w:val="00D21A58"/>
    <w:rsid w:val="00D21CDD"/>
    <w:rsid w:val="00D21EC6"/>
    <w:rsid w:val="00D224FF"/>
    <w:rsid w:val="00D2287B"/>
    <w:rsid w:val="00D235BA"/>
    <w:rsid w:val="00D23EA4"/>
    <w:rsid w:val="00D23FD0"/>
    <w:rsid w:val="00D24221"/>
    <w:rsid w:val="00D25017"/>
    <w:rsid w:val="00D2510A"/>
    <w:rsid w:val="00D25B5F"/>
    <w:rsid w:val="00D25F89"/>
    <w:rsid w:val="00D26288"/>
    <w:rsid w:val="00D2634D"/>
    <w:rsid w:val="00D26BF5"/>
    <w:rsid w:val="00D26D75"/>
    <w:rsid w:val="00D277B8"/>
    <w:rsid w:val="00D30A87"/>
    <w:rsid w:val="00D30C7C"/>
    <w:rsid w:val="00D312DE"/>
    <w:rsid w:val="00D320FD"/>
    <w:rsid w:val="00D32957"/>
    <w:rsid w:val="00D32C4F"/>
    <w:rsid w:val="00D32EB7"/>
    <w:rsid w:val="00D32F61"/>
    <w:rsid w:val="00D33160"/>
    <w:rsid w:val="00D336AB"/>
    <w:rsid w:val="00D33B8B"/>
    <w:rsid w:val="00D347FE"/>
    <w:rsid w:val="00D348E0"/>
    <w:rsid w:val="00D34D94"/>
    <w:rsid w:val="00D351BC"/>
    <w:rsid w:val="00D36508"/>
    <w:rsid w:val="00D3666C"/>
    <w:rsid w:val="00D36737"/>
    <w:rsid w:val="00D36F2D"/>
    <w:rsid w:val="00D376DC"/>
    <w:rsid w:val="00D37AD4"/>
    <w:rsid w:val="00D37D6F"/>
    <w:rsid w:val="00D40853"/>
    <w:rsid w:val="00D415D3"/>
    <w:rsid w:val="00D416AC"/>
    <w:rsid w:val="00D4232A"/>
    <w:rsid w:val="00D430B1"/>
    <w:rsid w:val="00D43466"/>
    <w:rsid w:val="00D43642"/>
    <w:rsid w:val="00D43FCF"/>
    <w:rsid w:val="00D44078"/>
    <w:rsid w:val="00D45009"/>
    <w:rsid w:val="00D46350"/>
    <w:rsid w:val="00D465D6"/>
    <w:rsid w:val="00D46896"/>
    <w:rsid w:val="00D475C2"/>
    <w:rsid w:val="00D50310"/>
    <w:rsid w:val="00D504B5"/>
    <w:rsid w:val="00D5096D"/>
    <w:rsid w:val="00D5100F"/>
    <w:rsid w:val="00D514AF"/>
    <w:rsid w:val="00D520A0"/>
    <w:rsid w:val="00D520AE"/>
    <w:rsid w:val="00D52DFD"/>
    <w:rsid w:val="00D52E46"/>
    <w:rsid w:val="00D53409"/>
    <w:rsid w:val="00D541FD"/>
    <w:rsid w:val="00D548F6"/>
    <w:rsid w:val="00D552F4"/>
    <w:rsid w:val="00D554B3"/>
    <w:rsid w:val="00D55E34"/>
    <w:rsid w:val="00D55F7C"/>
    <w:rsid w:val="00D5625E"/>
    <w:rsid w:val="00D57079"/>
    <w:rsid w:val="00D60085"/>
    <w:rsid w:val="00D605B8"/>
    <w:rsid w:val="00D615B6"/>
    <w:rsid w:val="00D61BA9"/>
    <w:rsid w:val="00D61CB7"/>
    <w:rsid w:val="00D61CFE"/>
    <w:rsid w:val="00D63065"/>
    <w:rsid w:val="00D630B3"/>
    <w:rsid w:val="00D638EC"/>
    <w:rsid w:val="00D63B59"/>
    <w:rsid w:val="00D640ED"/>
    <w:rsid w:val="00D652F3"/>
    <w:rsid w:val="00D655E0"/>
    <w:rsid w:val="00D65EB7"/>
    <w:rsid w:val="00D66086"/>
    <w:rsid w:val="00D66910"/>
    <w:rsid w:val="00D6751E"/>
    <w:rsid w:val="00D67726"/>
    <w:rsid w:val="00D679DC"/>
    <w:rsid w:val="00D67D6C"/>
    <w:rsid w:val="00D67DB7"/>
    <w:rsid w:val="00D704BD"/>
    <w:rsid w:val="00D706EB"/>
    <w:rsid w:val="00D70970"/>
    <w:rsid w:val="00D713B0"/>
    <w:rsid w:val="00D71A03"/>
    <w:rsid w:val="00D7209F"/>
    <w:rsid w:val="00D735D1"/>
    <w:rsid w:val="00D73951"/>
    <w:rsid w:val="00D73B85"/>
    <w:rsid w:val="00D73E15"/>
    <w:rsid w:val="00D74097"/>
    <w:rsid w:val="00D7412D"/>
    <w:rsid w:val="00D7486C"/>
    <w:rsid w:val="00D74F70"/>
    <w:rsid w:val="00D759E7"/>
    <w:rsid w:val="00D75F17"/>
    <w:rsid w:val="00D763C3"/>
    <w:rsid w:val="00D763FF"/>
    <w:rsid w:val="00D76E55"/>
    <w:rsid w:val="00D80A31"/>
    <w:rsid w:val="00D81548"/>
    <w:rsid w:val="00D82953"/>
    <w:rsid w:val="00D83393"/>
    <w:rsid w:val="00D83D47"/>
    <w:rsid w:val="00D84154"/>
    <w:rsid w:val="00D841AC"/>
    <w:rsid w:val="00D84332"/>
    <w:rsid w:val="00D84453"/>
    <w:rsid w:val="00D845CD"/>
    <w:rsid w:val="00D8479A"/>
    <w:rsid w:val="00D847A8"/>
    <w:rsid w:val="00D84908"/>
    <w:rsid w:val="00D84932"/>
    <w:rsid w:val="00D84C14"/>
    <w:rsid w:val="00D85169"/>
    <w:rsid w:val="00D85766"/>
    <w:rsid w:val="00D85D7E"/>
    <w:rsid w:val="00D86138"/>
    <w:rsid w:val="00D86817"/>
    <w:rsid w:val="00D86A6F"/>
    <w:rsid w:val="00D872C5"/>
    <w:rsid w:val="00D877F7"/>
    <w:rsid w:val="00D9007E"/>
    <w:rsid w:val="00D903A7"/>
    <w:rsid w:val="00D904F4"/>
    <w:rsid w:val="00D90568"/>
    <w:rsid w:val="00D90629"/>
    <w:rsid w:val="00D92521"/>
    <w:rsid w:val="00D92D2A"/>
    <w:rsid w:val="00D93F50"/>
    <w:rsid w:val="00D94E24"/>
    <w:rsid w:val="00D95052"/>
    <w:rsid w:val="00D9515C"/>
    <w:rsid w:val="00D95367"/>
    <w:rsid w:val="00D958AD"/>
    <w:rsid w:val="00D958D5"/>
    <w:rsid w:val="00D95CD2"/>
    <w:rsid w:val="00D95DED"/>
    <w:rsid w:val="00D96C32"/>
    <w:rsid w:val="00D974B1"/>
    <w:rsid w:val="00D9764B"/>
    <w:rsid w:val="00D97BE0"/>
    <w:rsid w:val="00DA04AE"/>
    <w:rsid w:val="00DA0B9F"/>
    <w:rsid w:val="00DA0E1B"/>
    <w:rsid w:val="00DA11D9"/>
    <w:rsid w:val="00DA1F3F"/>
    <w:rsid w:val="00DA21D5"/>
    <w:rsid w:val="00DA2958"/>
    <w:rsid w:val="00DA2AF6"/>
    <w:rsid w:val="00DA2D99"/>
    <w:rsid w:val="00DA3B14"/>
    <w:rsid w:val="00DA46B7"/>
    <w:rsid w:val="00DA5172"/>
    <w:rsid w:val="00DA5635"/>
    <w:rsid w:val="00DA60C3"/>
    <w:rsid w:val="00DA62FC"/>
    <w:rsid w:val="00DA68FB"/>
    <w:rsid w:val="00DA6935"/>
    <w:rsid w:val="00DA6973"/>
    <w:rsid w:val="00DA697D"/>
    <w:rsid w:val="00DA7AE8"/>
    <w:rsid w:val="00DB027B"/>
    <w:rsid w:val="00DB0474"/>
    <w:rsid w:val="00DB0571"/>
    <w:rsid w:val="00DB0DDC"/>
    <w:rsid w:val="00DB1614"/>
    <w:rsid w:val="00DB19F2"/>
    <w:rsid w:val="00DB1A0A"/>
    <w:rsid w:val="00DB1E3A"/>
    <w:rsid w:val="00DB27F4"/>
    <w:rsid w:val="00DB2D87"/>
    <w:rsid w:val="00DB3575"/>
    <w:rsid w:val="00DB3E0E"/>
    <w:rsid w:val="00DB44DD"/>
    <w:rsid w:val="00DB450F"/>
    <w:rsid w:val="00DB4EED"/>
    <w:rsid w:val="00DB5660"/>
    <w:rsid w:val="00DB6620"/>
    <w:rsid w:val="00DB6E46"/>
    <w:rsid w:val="00DB7B85"/>
    <w:rsid w:val="00DB7EB6"/>
    <w:rsid w:val="00DC039D"/>
    <w:rsid w:val="00DC05BA"/>
    <w:rsid w:val="00DC0668"/>
    <w:rsid w:val="00DC0685"/>
    <w:rsid w:val="00DC1ABB"/>
    <w:rsid w:val="00DC1D1F"/>
    <w:rsid w:val="00DC1E6A"/>
    <w:rsid w:val="00DC20B5"/>
    <w:rsid w:val="00DC2D40"/>
    <w:rsid w:val="00DC2DC7"/>
    <w:rsid w:val="00DC3D84"/>
    <w:rsid w:val="00DC45EB"/>
    <w:rsid w:val="00DC6582"/>
    <w:rsid w:val="00DC7131"/>
    <w:rsid w:val="00DC785D"/>
    <w:rsid w:val="00DD2104"/>
    <w:rsid w:val="00DD2352"/>
    <w:rsid w:val="00DD2483"/>
    <w:rsid w:val="00DD2E77"/>
    <w:rsid w:val="00DD3C10"/>
    <w:rsid w:val="00DD3DAC"/>
    <w:rsid w:val="00DD40B2"/>
    <w:rsid w:val="00DD433F"/>
    <w:rsid w:val="00DD43B7"/>
    <w:rsid w:val="00DD43C4"/>
    <w:rsid w:val="00DD4A7F"/>
    <w:rsid w:val="00DD4EF4"/>
    <w:rsid w:val="00DD52DE"/>
    <w:rsid w:val="00DD59E5"/>
    <w:rsid w:val="00DD5BCB"/>
    <w:rsid w:val="00DD603B"/>
    <w:rsid w:val="00DD6B44"/>
    <w:rsid w:val="00DD79F6"/>
    <w:rsid w:val="00DD7A9F"/>
    <w:rsid w:val="00DD7F77"/>
    <w:rsid w:val="00DE19B1"/>
    <w:rsid w:val="00DE2200"/>
    <w:rsid w:val="00DE28DE"/>
    <w:rsid w:val="00DE29CB"/>
    <w:rsid w:val="00DE2DEE"/>
    <w:rsid w:val="00DE343B"/>
    <w:rsid w:val="00DE356A"/>
    <w:rsid w:val="00DE52B0"/>
    <w:rsid w:val="00DE64E6"/>
    <w:rsid w:val="00DE6BA9"/>
    <w:rsid w:val="00DE6CAD"/>
    <w:rsid w:val="00DE6D80"/>
    <w:rsid w:val="00DE6DB3"/>
    <w:rsid w:val="00DE76D4"/>
    <w:rsid w:val="00DE77EA"/>
    <w:rsid w:val="00DE7897"/>
    <w:rsid w:val="00DE7C29"/>
    <w:rsid w:val="00DE7CAA"/>
    <w:rsid w:val="00DE7CF2"/>
    <w:rsid w:val="00DE7D08"/>
    <w:rsid w:val="00DE7D57"/>
    <w:rsid w:val="00DF144D"/>
    <w:rsid w:val="00DF190B"/>
    <w:rsid w:val="00DF227E"/>
    <w:rsid w:val="00DF2716"/>
    <w:rsid w:val="00DF2B9F"/>
    <w:rsid w:val="00DF3238"/>
    <w:rsid w:val="00DF4E31"/>
    <w:rsid w:val="00DF4F37"/>
    <w:rsid w:val="00DF520E"/>
    <w:rsid w:val="00DF5693"/>
    <w:rsid w:val="00DF5D38"/>
    <w:rsid w:val="00DF610D"/>
    <w:rsid w:val="00DF6E20"/>
    <w:rsid w:val="00DF784A"/>
    <w:rsid w:val="00DF7A27"/>
    <w:rsid w:val="00DF7A7F"/>
    <w:rsid w:val="00DF7A82"/>
    <w:rsid w:val="00DF7CE6"/>
    <w:rsid w:val="00E00033"/>
    <w:rsid w:val="00E00479"/>
    <w:rsid w:val="00E007A4"/>
    <w:rsid w:val="00E0093B"/>
    <w:rsid w:val="00E00A91"/>
    <w:rsid w:val="00E00F06"/>
    <w:rsid w:val="00E01424"/>
    <w:rsid w:val="00E01BA0"/>
    <w:rsid w:val="00E02663"/>
    <w:rsid w:val="00E028C9"/>
    <w:rsid w:val="00E02CF2"/>
    <w:rsid w:val="00E034A5"/>
    <w:rsid w:val="00E0396B"/>
    <w:rsid w:val="00E03B11"/>
    <w:rsid w:val="00E03D56"/>
    <w:rsid w:val="00E03F84"/>
    <w:rsid w:val="00E040DA"/>
    <w:rsid w:val="00E043C5"/>
    <w:rsid w:val="00E04BBD"/>
    <w:rsid w:val="00E051B6"/>
    <w:rsid w:val="00E0566C"/>
    <w:rsid w:val="00E05690"/>
    <w:rsid w:val="00E062D4"/>
    <w:rsid w:val="00E064D6"/>
    <w:rsid w:val="00E06D0D"/>
    <w:rsid w:val="00E07058"/>
    <w:rsid w:val="00E070E0"/>
    <w:rsid w:val="00E07127"/>
    <w:rsid w:val="00E079AB"/>
    <w:rsid w:val="00E10FFE"/>
    <w:rsid w:val="00E115D9"/>
    <w:rsid w:val="00E11CA2"/>
    <w:rsid w:val="00E12834"/>
    <w:rsid w:val="00E130DD"/>
    <w:rsid w:val="00E1339E"/>
    <w:rsid w:val="00E14D9E"/>
    <w:rsid w:val="00E15AB0"/>
    <w:rsid w:val="00E160BC"/>
    <w:rsid w:val="00E162BD"/>
    <w:rsid w:val="00E167C0"/>
    <w:rsid w:val="00E168FD"/>
    <w:rsid w:val="00E175F7"/>
    <w:rsid w:val="00E17B9F"/>
    <w:rsid w:val="00E17EC2"/>
    <w:rsid w:val="00E20558"/>
    <w:rsid w:val="00E20D3C"/>
    <w:rsid w:val="00E215AD"/>
    <w:rsid w:val="00E222E2"/>
    <w:rsid w:val="00E226E2"/>
    <w:rsid w:val="00E22A62"/>
    <w:rsid w:val="00E23545"/>
    <w:rsid w:val="00E2354C"/>
    <w:rsid w:val="00E23B3C"/>
    <w:rsid w:val="00E23EAF"/>
    <w:rsid w:val="00E240C2"/>
    <w:rsid w:val="00E241A6"/>
    <w:rsid w:val="00E242E0"/>
    <w:rsid w:val="00E243A8"/>
    <w:rsid w:val="00E247AE"/>
    <w:rsid w:val="00E249B9"/>
    <w:rsid w:val="00E24B65"/>
    <w:rsid w:val="00E2560D"/>
    <w:rsid w:val="00E26355"/>
    <w:rsid w:val="00E26596"/>
    <w:rsid w:val="00E26FCE"/>
    <w:rsid w:val="00E30646"/>
    <w:rsid w:val="00E31B17"/>
    <w:rsid w:val="00E31E81"/>
    <w:rsid w:val="00E3280B"/>
    <w:rsid w:val="00E32B3A"/>
    <w:rsid w:val="00E3313C"/>
    <w:rsid w:val="00E332A6"/>
    <w:rsid w:val="00E33D30"/>
    <w:rsid w:val="00E342C0"/>
    <w:rsid w:val="00E34331"/>
    <w:rsid w:val="00E35859"/>
    <w:rsid w:val="00E35868"/>
    <w:rsid w:val="00E363F6"/>
    <w:rsid w:val="00E368F2"/>
    <w:rsid w:val="00E36D58"/>
    <w:rsid w:val="00E37BDA"/>
    <w:rsid w:val="00E37C62"/>
    <w:rsid w:val="00E40045"/>
    <w:rsid w:val="00E40099"/>
    <w:rsid w:val="00E40542"/>
    <w:rsid w:val="00E405EC"/>
    <w:rsid w:val="00E40FCA"/>
    <w:rsid w:val="00E41407"/>
    <w:rsid w:val="00E4143A"/>
    <w:rsid w:val="00E41A4A"/>
    <w:rsid w:val="00E42196"/>
    <w:rsid w:val="00E42F35"/>
    <w:rsid w:val="00E4388F"/>
    <w:rsid w:val="00E43BAA"/>
    <w:rsid w:val="00E444E6"/>
    <w:rsid w:val="00E44C36"/>
    <w:rsid w:val="00E44E38"/>
    <w:rsid w:val="00E45E14"/>
    <w:rsid w:val="00E46104"/>
    <w:rsid w:val="00E46508"/>
    <w:rsid w:val="00E46B9A"/>
    <w:rsid w:val="00E4716D"/>
    <w:rsid w:val="00E50948"/>
    <w:rsid w:val="00E51556"/>
    <w:rsid w:val="00E51FE7"/>
    <w:rsid w:val="00E52344"/>
    <w:rsid w:val="00E52913"/>
    <w:rsid w:val="00E53841"/>
    <w:rsid w:val="00E53BBF"/>
    <w:rsid w:val="00E53C67"/>
    <w:rsid w:val="00E53DCC"/>
    <w:rsid w:val="00E541F2"/>
    <w:rsid w:val="00E54CD1"/>
    <w:rsid w:val="00E54E45"/>
    <w:rsid w:val="00E54F0E"/>
    <w:rsid w:val="00E55B5F"/>
    <w:rsid w:val="00E56A93"/>
    <w:rsid w:val="00E57230"/>
    <w:rsid w:val="00E576C1"/>
    <w:rsid w:val="00E608B8"/>
    <w:rsid w:val="00E60D29"/>
    <w:rsid w:val="00E60E00"/>
    <w:rsid w:val="00E61020"/>
    <w:rsid w:val="00E614AC"/>
    <w:rsid w:val="00E617B9"/>
    <w:rsid w:val="00E61C88"/>
    <w:rsid w:val="00E61EEA"/>
    <w:rsid w:val="00E61F74"/>
    <w:rsid w:val="00E6248E"/>
    <w:rsid w:val="00E63A98"/>
    <w:rsid w:val="00E645BE"/>
    <w:rsid w:val="00E64BDC"/>
    <w:rsid w:val="00E64DC7"/>
    <w:rsid w:val="00E65095"/>
    <w:rsid w:val="00E66A1F"/>
    <w:rsid w:val="00E66D31"/>
    <w:rsid w:val="00E66F07"/>
    <w:rsid w:val="00E66F0B"/>
    <w:rsid w:val="00E67100"/>
    <w:rsid w:val="00E67E63"/>
    <w:rsid w:val="00E70091"/>
    <w:rsid w:val="00E70274"/>
    <w:rsid w:val="00E716F4"/>
    <w:rsid w:val="00E71790"/>
    <w:rsid w:val="00E72060"/>
    <w:rsid w:val="00E72431"/>
    <w:rsid w:val="00E7283F"/>
    <w:rsid w:val="00E739F0"/>
    <w:rsid w:val="00E73A29"/>
    <w:rsid w:val="00E73EAF"/>
    <w:rsid w:val="00E74692"/>
    <w:rsid w:val="00E74A2F"/>
    <w:rsid w:val="00E74FA3"/>
    <w:rsid w:val="00E755CC"/>
    <w:rsid w:val="00E764F1"/>
    <w:rsid w:val="00E77ABB"/>
    <w:rsid w:val="00E77B17"/>
    <w:rsid w:val="00E80430"/>
    <w:rsid w:val="00E808C3"/>
    <w:rsid w:val="00E80D6A"/>
    <w:rsid w:val="00E81FE5"/>
    <w:rsid w:val="00E824E1"/>
    <w:rsid w:val="00E8284E"/>
    <w:rsid w:val="00E82F3D"/>
    <w:rsid w:val="00E831F8"/>
    <w:rsid w:val="00E834D1"/>
    <w:rsid w:val="00E83635"/>
    <w:rsid w:val="00E83790"/>
    <w:rsid w:val="00E83DA9"/>
    <w:rsid w:val="00E846E7"/>
    <w:rsid w:val="00E84765"/>
    <w:rsid w:val="00E85029"/>
    <w:rsid w:val="00E850DE"/>
    <w:rsid w:val="00E866C9"/>
    <w:rsid w:val="00E87F36"/>
    <w:rsid w:val="00E90129"/>
    <w:rsid w:val="00E904A5"/>
    <w:rsid w:val="00E90791"/>
    <w:rsid w:val="00E90BA4"/>
    <w:rsid w:val="00E91BB0"/>
    <w:rsid w:val="00E92650"/>
    <w:rsid w:val="00E9317A"/>
    <w:rsid w:val="00E93548"/>
    <w:rsid w:val="00E93D6D"/>
    <w:rsid w:val="00E93E56"/>
    <w:rsid w:val="00E946F5"/>
    <w:rsid w:val="00E94DDB"/>
    <w:rsid w:val="00E94EE5"/>
    <w:rsid w:val="00E94F85"/>
    <w:rsid w:val="00E95099"/>
    <w:rsid w:val="00E954EA"/>
    <w:rsid w:val="00E95515"/>
    <w:rsid w:val="00E958C5"/>
    <w:rsid w:val="00E95998"/>
    <w:rsid w:val="00E95DED"/>
    <w:rsid w:val="00E965C1"/>
    <w:rsid w:val="00E9752F"/>
    <w:rsid w:val="00E97C6A"/>
    <w:rsid w:val="00EA1B0B"/>
    <w:rsid w:val="00EA1C7F"/>
    <w:rsid w:val="00EA2029"/>
    <w:rsid w:val="00EA281B"/>
    <w:rsid w:val="00EA2B10"/>
    <w:rsid w:val="00EA322B"/>
    <w:rsid w:val="00EA3B52"/>
    <w:rsid w:val="00EA3F89"/>
    <w:rsid w:val="00EA453C"/>
    <w:rsid w:val="00EA4FF1"/>
    <w:rsid w:val="00EA5248"/>
    <w:rsid w:val="00EA5B62"/>
    <w:rsid w:val="00EA5DA5"/>
    <w:rsid w:val="00EA601A"/>
    <w:rsid w:val="00EA6FB3"/>
    <w:rsid w:val="00EA7713"/>
    <w:rsid w:val="00EA7CF9"/>
    <w:rsid w:val="00EB050C"/>
    <w:rsid w:val="00EB0BA9"/>
    <w:rsid w:val="00EB1F66"/>
    <w:rsid w:val="00EB262D"/>
    <w:rsid w:val="00EB29A4"/>
    <w:rsid w:val="00EB2A1B"/>
    <w:rsid w:val="00EB2B7D"/>
    <w:rsid w:val="00EB2E25"/>
    <w:rsid w:val="00EB312C"/>
    <w:rsid w:val="00EB3164"/>
    <w:rsid w:val="00EB549B"/>
    <w:rsid w:val="00EB6390"/>
    <w:rsid w:val="00EB7688"/>
    <w:rsid w:val="00EB7CD7"/>
    <w:rsid w:val="00EB7FA1"/>
    <w:rsid w:val="00EC0359"/>
    <w:rsid w:val="00EC0CFB"/>
    <w:rsid w:val="00EC104B"/>
    <w:rsid w:val="00EC12A8"/>
    <w:rsid w:val="00EC1D18"/>
    <w:rsid w:val="00EC2120"/>
    <w:rsid w:val="00EC2E18"/>
    <w:rsid w:val="00EC330F"/>
    <w:rsid w:val="00EC39AB"/>
    <w:rsid w:val="00EC3B56"/>
    <w:rsid w:val="00EC3CF6"/>
    <w:rsid w:val="00EC4076"/>
    <w:rsid w:val="00EC4C24"/>
    <w:rsid w:val="00EC4CEB"/>
    <w:rsid w:val="00EC4E10"/>
    <w:rsid w:val="00EC5093"/>
    <w:rsid w:val="00EC5C72"/>
    <w:rsid w:val="00EC5D94"/>
    <w:rsid w:val="00EC6829"/>
    <w:rsid w:val="00EC6A31"/>
    <w:rsid w:val="00EC718F"/>
    <w:rsid w:val="00EC79F3"/>
    <w:rsid w:val="00EC7A65"/>
    <w:rsid w:val="00ED0EF3"/>
    <w:rsid w:val="00ED11EE"/>
    <w:rsid w:val="00ED128C"/>
    <w:rsid w:val="00ED1F88"/>
    <w:rsid w:val="00ED2599"/>
    <w:rsid w:val="00ED2A10"/>
    <w:rsid w:val="00ED3457"/>
    <w:rsid w:val="00ED359F"/>
    <w:rsid w:val="00ED38BB"/>
    <w:rsid w:val="00ED4601"/>
    <w:rsid w:val="00ED4E4E"/>
    <w:rsid w:val="00ED510E"/>
    <w:rsid w:val="00ED5581"/>
    <w:rsid w:val="00ED55A2"/>
    <w:rsid w:val="00ED5A8C"/>
    <w:rsid w:val="00ED5B33"/>
    <w:rsid w:val="00ED67E7"/>
    <w:rsid w:val="00ED6C9C"/>
    <w:rsid w:val="00ED6DA2"/>
    <w:rsid w:val="00ED725D"/>
    <w:rsid w:val="00ED7D7B"/>
    <w:rsid w:val="00EE0497"/>
    <w:rsid w:val="00EE0DC7"/>
    <w:rsid w:val="00EE10AD"/>
    <w:rsid w:val="00EE1376"/>
    <w:rsid w:val="00EE1AF8"/>
    <w:rsid w:val="00EE1BC8"/>
    <w:rsid w:val="00EE25CB"/>
    <w:rsid w:val="00EE2883"/>
    <w:rsid w:val="00EE29A2"/>
    <w:rsid w:val="00EE2B4E"/>
    <w:rsid w:val="00EE2BFD"/>
    <w:rsid w:val="00EE2D90"/>
    <w:rsid w:val="00EE2E08"/>
    <w:rsid w:val="00EE2ECE"/>
    <w:rsid w:val="00EE3322"/>
    <w:rsid w:val="00EE3F4B"/>
    <w:rsid w:val="00EE4018"/>
    <w:rsid w:val="00EE4393"/>
    <w:rsid w:val="00EE4A3B"/>
    <w:rsid w:val="00EE4D19"/>
    <w:rsid w:val="00EE4D73"/>
    <w:rsid w:val="00EE4FA9"/>
    <w:rsid w:val="00EE4FB7"/>
    <w:rsid w:val="00EE57C4"/>
    <w:rsid w:val="00EE5994"/>
    <w:rsid w:val="00EE61E2"/>
    <w:rsid w:val="00EE6636"/>
    <w:rsid w:val="00EE785F"/>
    <w:rsid w:val="00EE7A15"/>
    <w:rsid w:val="00EF07C4"/>
    <w:rsid w:val="00EF1CF9"/>
    <w:rsid w:val="00EF24DE"/>
    <w:rsid w:val="00EF2BF2"/>
    <w:rsid w:val="00EF2FE4"/>
    <w:rsid w:val="00EF3831"/>
    <w:rsid w:val="00EF3DE1"/>
    <w:rsid w:val="00EF4463"/>
    <w:rsid w:val="00EF4807"/>
    <w:rsid w:val="00EF4A67"/>
    <w:rsid w:val="00EF4CD1"/>
    <w:rsid w:val="00EF56E8"/>
    <w:rsid w:val="00EF62F6"/>
    <w:rsid w:val="00EF71B0"/>
    <w:rsid w:val="00EF7656"/>
    <w:rsid w:val="00EF7670"/>
    <w:rsid w:val="00F00179"/>
    <w:rsid w:val="00F002AE"/>
    <w:rsid w:val="00F01359"/>
    <w:rsid w:val="00F0159A"/>
    <w:rsid w:val="00F03D93"/>
    <w:rsid w:val="00F04B77"/>
    <w:rsid w:val="00F04DE6"/>
    <w:rsid w:val="00F05903"/>
    <w:rsid w:val="00F059E5"/>
    <w:rsid w:val="00F05B1E"/>
    <w:rsid w:val="00F05E16"/>
    <w:rsid w:val="00F06701"/>
    <w:rsid w:val="00F06D5C"/>
    <w:rsid w:val="00F06DE0"/>
    <w:rsid w:val="00F06F13"/>
    <w:rsid w:val="00F07529"/>
    <w:rsid w:val="00F075B0"/>
    <w:rsid w:val="00F0763D"/>
    <w:rsid w:val="00F10377"/>
    <w:rsid w:val="00F10C30"/>
    <w:rsid w:val="00F11A32"/>
    <w:rsid w:val="00F12DC7"/>
    <w:rsid w:val="00F13449"/>
    <w:rsid w:val="00F139C1"/>
    <w:rsid w:val="00F148DF"/>
    <w:rsid w:val="00F157CD"/>
    <w:rsid w:val="00F16684"/>
    <w:rsid w:val="00F16AC3"/>
    <w:rsid w:val="00F16AF8"/>
    <w:rsid w:val="00F170D2"/>
    <w:rsid w:val="00F17117"/>
    <w:rsid w:val="00F17446"/>
    <w:rsid w:val="00F176F2"/>
    <w:rsid w:val="00F17B95"/>
    <w:rsid w:val="00F17D97"/>
    <w:rsid w:val="00F20351"/>
    <w:rsid w:val="00F20BA8"/>
    <w:rsid w:val="00F211D0"/>
    <w:rsid w:val="00F21B8E"/>
    <w:rsid w:val="00F21FD5"/>
    <w:rsid w:val="00F22027"/>
    <w:rsid w:val="00F22145"/>
    <w:rsid w:val="00F22D73"/>
    <w:rsid w:val="00F23875"/>
    <w:rsid w:val="00F23B40"/>
    <w:rsid w:val="00F23B43"/>
    <w:rsid w:val="00F23BD7"/>
    <w:rsid w:val="00F24173"/>
    <w:rsid w:val="00F247FF"/>
    <w:rsid w:val="00F24B37"/>
    <w:rsid w:val="00F24DA7"/>
    <w:rsid w:val="00F24DC4"/>
    <w:rsid w:val="00F24E3C"/>
    <w:rsid w:val="00F24EE0"/>
    <w:rsid w:val="00F258DF"/>
    <w:rsid w:val="00F26BC5"/>
    <w:rsid w:val="00F26D29"/>
    <w:rsid w:val="00F302F0"/>
    <w:rsid w:val="00F30EAE"/>
    <w:rsid w:val="00F312BB"/>
    <w:rsid w:val="00F31D6E"/>
    <w:rsid w:val="00F32EF5"/>
    <w:rsid w:val="00F336DB"/>
    <w:rsid w:val="00F33C2A"/>
    <w:rsid w:val="00F348E1"/>
    <w:rsid w:val="00F35087"/>
    <w:rsid w:val="00F35EC5"/>
    <w:rsid w:val="00F3617E"/>
    <w:rsid w:val="00F368F1"/>
    <w:rsid w:val="00F37104"/>
    <w:rsid w:val="00F3765E"/>
    <w:rsid w:val="00F4013B"/>
    <w:rsid w:val="00F406F3"/>
    <w:rsid w:val="00F409C2"/>
    <w:rsid w:val="00F40CB0"/>
    <w:rsid w:val="00F40E75"/>
    <w:rsid w:val="00F41D25"/>
    <w:rsid w:val="00F41EE3"/>
    <w:rsid w:val="00F42A71"/>
    <w:rsid w:val="00F42D66"/>
    <w:rsid w:val="00F435AA"/>
    <w:rsid w:val="00F438AA"/>
    <w:rsid w:val="00F43C09"/>
    <w:rsid w:val="00F4473D"/>
    <w:rsid w:val="00F4504D"/>
    <w:rsid w:val="00F452E1"/>
    <w:rsid w:val="00F458BF"/>
    <w:rsid w:val="00F464A4"/>
    <w:rsid w:val="00F464E1"/>
    <w:rsid w:val="00F465E5"/>
    <w:rsid w:val="00F46D36"/>
    <w:rsid w:val="00F46FDF"/>
    <w:rsid w:val="00F47028"/>
    <w:rsid w:val="00F479B5"/>
    <w:rsid w:val="00F47D33"/>
    <w:rsid w:val="00F47D9E"/>
    <w:rsid w:val="00F5011F"/>
    <w:rsid w:val="00F50275"/>
    <w:rsid w:val="00F50BB8"/>
    <w:rsid w:val="00F50D58"/>
    <w:rsid w:val="00F51B0D"/>
    <w:rsid w:val="00F51F76"/>
    <w:rsid w:val="00F533F7"/>
    <w:rsid w:val="00F53678"/>
    <w:rsid w:val="00F53FBB"/>
    <w:rsid w:val="00F53FC7"/>
    <w:rsid w:val="00F541E4"/>
    <w:rsid w:val="00F54220"/>
    <w:rsid w:val="00F54BFB"/>
    <w:rsid w:val="00F54CFF"/>
    <w:rsid w:val="00F558F9"/>
    <w:rsid w:val="00F55E85"/>
    <w:rsid w:val="00F55FC4"/>
    <w:rsid w:val="00F56405"/>
    <w:rsid w:val="00F56B91"/>
    <w:rsid w:val="00F57290"/>
    <w:rsid w:val="00F577BD"/>
    <w:rsid w:val="00F603D1"/>
    <w:rsid w:val="00F60787"/>
    <w:rsid w:val="00F60BB1"/>
    <w:rsid w:val="00F6172F"/>
    <w:rsid w:val="00F61730"/>
    <w:rsid w:val="00F617AE"/>
    <w:rsid w:val="00F61BF7"/>
    <w:rsid w:val="00F61D76"/>
    <w:rsid w:val="00F622C5"/>
    <w:rsid w:val="00F622DC"/>
    <w:rsid w:val="00F625B4"/>
    <w:rsid w:val="00F62678"/>
    <w:rsid w:val="00F62EBC"/>
    <w:rsid w:val="00F62F71"/>
    <w:rsid w:val="00F63838"/>
    <w:rsid w:val="00F65135"/>
    <w:rsid w:val="00F652ED"/>
    <w:rsid w:val="00F65A85"/>
    <w:rsid w:val="00F6639D"/>
    <w:rsid w:val="00F663D5"/>
    <w:rsid w:val="00F66A2C"/>
    <w:rsid w:val="00F67207"/>
    <w:rsid w:val="00F67251"/>
    <w:rsid w:val="00F678EA"/>
    <w:rsid w:val="00F70B24"/>
    <w:rsid w:val="00F70CD5"/>
    <w:rsid w:val="00F71046"/>
    <w:rsid w:val="00F71FBF"/>
    <w:rsid w:val="00F72576"/>
    <w:rsid w:val="00F736A5"/>
    <w:rsid w:val="00F73F4B"/>
    <w:rsid w:val="00F73F58"/>
    <w:rsid w:val="00F740B8"/>
    <w:rsid w:val="00F75A11"/>
    <w:rsid w:val="00F7661B"/>
    <w:rsid w:val="00F767D5"/>
    <w:rsid w:val="00F76968"/>
    <w:rsid w:val="00F76BD0"/>
    <w:rsid w:val="00F76BE5"/>
    <w:rsid w:val="00F76F32"/>
    <w:rsid w:val="00F770CF"/>
    <w:rsid w:val="00F7710B"/>
    <w:rsid w:val="00F771D2"/>
    <w:rsid w:val="00F778DA"/>
    <w:rsid w:val="00F81253"/>
    <w:rsid w:val="00F81648"/>
    <w:rsid w:val="00F81FC4"/>
    <w:rsid w:val="00F8258C"/>
    <w:rsid w:val="00F8282A"/>
    <w:rsid w:val="00F82C16"/>
    <w:rsid w:val="00F83157"/>
    <w:rsid w:val="00F83EF2"/>
    <w:rsid w:val="00F8405D"/>
    <w:rsid w:val="00F84534"/>
    <w:rsid w:val="00F8467F"/>
    <w:rsid w:val="00F84DB9"/>
    <w:rsid w:val="00F85405"/>
    <w:rsid w:val="00F857C0"/>
    <w:rsid w:val="00F86426"/>
    <w:rsid w:val="00F86466"/>
    <w:rsid w:val="00F869C0"/>
    <w:rsid w:val="00F86A09"/>
    <w:rsid w:val="00F8748C"/>
    <w:rsid w:val="00F90879"/>
    <w:rsid w:val="00F91235"/>
    <w:rsid w:val="00F91E0F"/>
    <w:rsid w:val="00F9234A"/>
    <w:rsid w:val="00F92391"/>
    <w:rsid w:val="00F92556"/>
    <w:rsid w:val="00F9306A"/>
    <w:rsid w:val="00F94466"/>
    <w:rsid w:val="00F946DC"/>
    <w:rsid w:val="00F94CBD"/>
    <w:rsid w:val="00F94E68"/>
    <w:rsid w:val="00F951A7"/>
    <w:rsid w:val="00F9623A"/>
    <w:rsid w:val="00F96308"/>
    <w:rsid w:val="00F96B83"/>
    <w:rsid w:val="00F973EF"/>
    <w:rsid w:val="00F97A85"/>
    <w:rsid w:val="00F97F12"/>
    <w:rsid w:val="00FA0203"/>
    <w:rsid w:val="00FA0632"/>
    <w:rsid w:val="00FA08A5"/>
    <w:rsid w:val="00FA0918"/>
    <w:rsid w:val="00FA0C3D"/>
    <w:rsid w:val="00FA0FCB"/>
    <w:rsid w:val="00FA111A"/>
    <w:rsid w:val="00FA128B"/>
    <w:rsid w:val="00FA1421"/>
    <w:rsid w:val="00FA18FB"/>
    <w:rsid w:val="00FA2390"/>
    <w:rsid w:val="00FA2435"/>
    <w:rsid w:val="00FA27EB"/>
    <w:rsid w:val="00FA281A"/>
    <w:rsid w:val="00FA34D8"/>
    <w:rsid w:val="00FA3E41"/>
    <w:rsid w:val="00FA46A4"/>
    <w:rsid w:val="00FA47C8"/>
    <w:rsid w:val="00FA55EE"/>
    <w:rsid w:val="00FA5AA8"/>
    <w:rsid w:val="00FA5FC1"/>
    <w:rsid w:val="00FA6557"/>
    <w:rsid w:val="00FA6EB9"/>
    <w:rsid w:val="00FA7161"/>
    <w:rsid w:val="00FA7EC4"/>
    <w:rsid w:val="00FB0AB1"/>
    <w:rsid w:val="00FB1A05"/>
    <w:rsid w:val="00FB1CE0"/>
    <w:rsid w:val="00FB1DA5"/>
    <w:rsid w:val="00FB2226"/>
    <w:rsid w:val="00FB2ADA"/>
    <w:rsid w:val="00FB3811"/>
    <w:rsid w:val="00FB3812"/>
    <w:rsid w:val="00FB3D34"/>
    <w:rsid w:val="00FB3E04"/>
    <w:rsid w:val="00FB3EAA"/>
    <w:rsid w:val="00FB4783"/>
    <w:rsid w:val="00FB5DA9"/>
    <w:rsid w:val="00FB65DB"/>
    <w:rsid w:val="00FB7AB9"/>
    <w:rsid w:val="00FB7D04"/>
    <w:rsid w:val="00FB7EC8"/>
    <w:rsid w:val="00FC08DF"/>
    <w:rsid w:val="00FC0F52"/>
    <w:rsid w:val="00FC1905"/>
    <w:rsid w:val="00FC19A1"/>
    <w:rsid w:val="00FC2034"/>
    <w:rsid w:val="00FC2067"/>
    <w:rsid w:val="00FC2AAD"/>
    <w:rsid w:val="00FC32D9"/>
    <w:rsid w:val="00FC3579"/>
    <w:rsid w:val="00FC4345"/>
    <w:rsid w:val="00FC4BA1"/>
    <w:rsid w:val="00FC4D1F"/>
    <w:rsid w:val="00FC575A"/>
    <w:rsid w:val="00FC5CF5"/>
    <w:rsid w:val="00FC5D1D"/>
    <w:rsid w:val="00FC6608"/>
    <w:rsid w:val="00FC6E55"/>
    <w:rsid w:val="00FD039C"/>
    <w:rsid w:val="00FD1DD8"/>
    <w:rsid w:val="00FD1EC9"/>
    <w:rsid w:val="00FD20A6"/>
    <w:rsid w:val="00FD268A"/>
    <w:rsid w:val="00FD29BB"/>
    <w:rsid w:val="00FD30DD"/>
    <w:rsid w:val="00FD3B44"/>
    <w:rsid w:val="00FD4CB7"/>
    <w:rsid w:val="00FD4EE7"/>
    <w:rsid w:val="00FD4EEA"/>
    <w:rsid w:val="00FD61C6"/>
    <w:rsid w:val="00FD6927"/>
    <w:rsid w:val="00FD75EC"/>
    <w:rsid w:val="00FE0703"/>
    <w:rsid w:val="00FE081B"/>
    <w:rsid w:val="00FE0A8D"/>
    <w:rsid w:val="00FE0C39"/>
    <w:rsid w:val="00FE0D6B"/>
    <w:rsid w:val="00FE18A1"/>
    <w:rsid w:val="00FE27D9"/>
    <w:rsid w:val="00FE2B53"/>
    <w:rsid w:val="00FE2D6B"/>
    <w:rsid w:val="00FE3C78"/>
    <w:rsid w:val="00FE426E"/>
    <w:rsid w:val="00FE5A81"/>
    <w:rsid w:val="00FE5AEC"/>
    <w:rsid w:val="00FE5F5D"/>
    <w:rsid w:val="00FE6B07"/>
    <w:rsid w:val="00FE6C6E"/>
    <w:rsid w:val="00FE7018"/>
    <w:rsid w:val="00FE73CD"/>
    <w:rsid w:val="00FE7D00"/>
    <w:rsid w:val="00FF020C"/>
    <w:rsid w:val="00FF074D"/>
    <w:rsid w:val="00FF141A"/>
    <w:rsid w:val="00FF1426"/>
    <w:rsid w:val="00FF177A"/>
    <w:rsid w:val="00FF1B91"/>
    <w:rsid w:val="00FF24D7"/>
    <w:rsid w:val="00FF2BE6"/>
    <w:rsid w:val="00FF32D1"/>
    <w:rsid w:val="00FF3722"/>
    <w:rsid w:val="00FF3EC8"/>
    <w:rsid w:val="00FF468B"/>
    <w:rsid w:val="00FF4783"/>
    <w:rsid w:val="00FF4B23"/>
    <w:rsid w:val="00FF5521"/>
    <w:rsid w:val="00FF5F69"/>
    <w:rsid w:val="00FF61FD"/>
    <w:rsid w:val="00FF6325"/>
    <w:rsid w:val="00FF687D"/>
    <w:rsid w:val="00FF69AA"/>
    <w:rsid w:val="00FF6D2F"/>
    <w:rsid w:val="00FF7073"/>
    <w:rsid w:val="00FF7099"/>
    <w:rsid w:val="00FF7599"/>
    <w:rsid w:val="0539337B"/>
    <w:rsid w:val="0BDC36B4"/>
    <w:rsid w:val="10833FD2"/>
    <w:rsid w:val="55DB61F0"/>
    <w:rsid w:val="587A37B8"/>
    <w:rsid w:val="5C7133B8"/>
    <w:rsid w:val="74C67254"/>
    <w:rsid w:val="775B2710"/>
    <w:rsid w:val="7F1901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华文楷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nhideWhenUsed="0"/>
    <w:lsdException w:name="footer" w:semiHidden="0" w:unhideWhenUsed="0"/>
    <w:lsdException w:name="caption" w:locked="1" w:uiPriority="0" w:qFormat="1"/>
    <w:lsdException w:name="annotation reference" w:semiHidden="0" w:unhideWhenUsed="0"/>
    <w:lsdException w:name="page number" w:semiHidden="0" w:unhideWhenUsed="0"/>
    <w:lsdException w:name="Title" w:locked="1" w:semiHidden="0" w:uiPriority="0" w:unhideWhenUsed="0" w:qFormat="1"/>
    <w:lsdException w:name="Default Paragraph Font" w:semiHidden="0" w:uiPriority="1"/>
    <w:lsdException w:name="Subtitle" w:locked="1" w:semiHidden="0" w:uiPriority="0" w:unhideWhenUsed="0" w:qFormat="1"/>
    <w:lsdException w:name="Strong" w:locked="1" w:semiHidden="0" w:uiPriority="0" w:unhideWhenUsed="0" w:qFormat="1"/>
    <w:lsdException w:name="Emphasis" w:semiHidden="0" w:unhideWhenUsed="0" w:qFormat="1"/>
    <w:lsdException w:name="Normal (Web)" w:semiHidden="0" w:uiPriority="0" w:unhideWhenUsed="0"/>
    <w:lsdException w:name="Normal Table" w:qFormat="1"/>
    <w:lsdException w:name="Table Grid"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5BF"/>
    <w:pPr>
      <w:widowControl w:val="0"/>
      <w:jc w:val="both"/>
    </w:pPr>
    <w:rPr>
      <w:rFonts w:eastAsia="宋体"/>
      <w:kern w:val="2"/>
      <w:sz w:val="21"/>
      <w:szCs w:val="24"/>
    </w:rPr>
  </w:style>
  <w:style w:type="paragraph" w:styleId="1">
    <w:name w:val="heading 1"/>
    <w:basedOn w:val="a"/>
    <w:next w:val="a"/>
    <w:link w:val="1Char"/>
    <w:qFormat/>
    <w:locked/>
    <w:rsid w:val="00A80EEE"/>
    <w:pPr>
      <w:keepNext/>
      <w:keepLines/>
      <w:spacing w:before="340" w:after="330" w:line="578" w:lineRule="auto"/>
      <w:outlineLvl w:val="0"/>
    </w:pPr>
    <w:rPr>
      <w:b/>
      <w:bCs/>
      <w:kern w:val="44"/>
      <w:sz w:val="44"/>
      <w:szCs w:val="44"/>
    </w:rPr>
  </w:style>
  <w:style w:type="paragraph" w:styleId="2">
    <w:name w:val="heading 2"/>
    <w:aliases w:val="2,Chapter X.X. Statement,Header 2,Level 2 Head,h2,heading 2,l2,标题 2 Char Char"/>
    <w:basedOn w:val="a"/>
    <w:next w:val="a"/>
    <w:link w:val="2Char"/>
    <w:qFormat/>
    <w:locked/>
    <w:rsid w:val="00D21EC6"/>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sid w:val="008E25BF"/>
    <w:rPr>
      <w:rFonts w:cs="Times New Roman"/>
      <w:color w:val="CC0000"/>
    </w:rPr>
  </w:style>
  <w:style w:type="character" w:styleId="a4">
    <w:name w:val="page number"/>
    <w:uiPriority w:val="99"/>
    <w:rsid w:val="008E25BF"/>
    <w:rPr>
      <w:rFonts w:cs="Times New Roman"/>
    </w:rPr>
  </w:style>
  <w:style w:type="character" w:styleId="a5">
    <w:name w:val="annotation reference"/>
    <w:uiPriority w:val="99"/>
    <w:rsid w:val="008E25BF"/>
    <w:rPr>
      <w:rFonts w:cs="Times New Roman"/>
      <w:sz w:val="21"/>
      <w:szCs w:val="21"/>
    </w:rPr>
  </w:style>
  <w:style w:type="character" w:customStyle="1" w:styleId="Char">
    <w:name w:val="批注框文本 Char"/>
    <w:link w:val="a6"/>
    <w:uiPriority w:val="99"/>
    <w:locked/>
    <w:rsid w:val="008E25BF"/>
    <w:rPr>
      <w:rFonts w:ascii="Tahoma" w:eastAsia="宋体" w:hAnsi="Tahoma" w:cs="Tahoma"/>
      <w:kern w:val="2"/>
      <w:sz w:val="16"/>
      <w:szCs w:val="16"/>
    </w:rPr>
  </w:style>
  <w:style w:type="character" w:customStyle="1" w:styleId="Char0">
    <w:name w:val="批注主题 Char"/>
    <w:link w:val="a7"/>
    <w:uiPriority w:val="99"/>
    <w:locked/>
    <w:rsid w:val="008E25BF"/>
    <w:rPr>
      <w:rFonts w:eastAsia="宋体" w:cs="Times New Roman"/>
      <w:b/>
      <w:bCs/>
      <w:kern w:val="2"/>
      <w:sz w:val="24"/>
      <w:szCs w:val="24"/>
    </w:rPr>
  </w:style>
  <w:style w:type="character" w:customStyle="1" w:styleId="Char1">
    <w:name w:val="页眉 Char"/>
    <w:link w:val="a8"/>
    <w:uiPriority w:val="99"/>
    <w:locked/>
    <w:rsid w:val="008E25BF"/>
    <w:rPr>
      <w:rFonts w:eastAsia="宋体" w:cs="Times New Roman"/>
      <w:kern w:val="2"/>
      <w:sz w:val="24"/>
      <w:szCs w:val="24"/>
    </w:rPr>
  </w:style>
  <w:style w:type="character" w:customStyle="1" w:styleId="Char2">
    <w:name w:val="页脚 Char"/>
    <w:link w:val="a9"/>
    <w:uiPriority w:val="99"/>
    <w:rsid w:val="008E25BF"/>
    <w:rPr>
      <w:rFonts w:eastAsia="宋体"/>
      <w:sz w:val="18"/>
      <w:szCs w:val="18"/>
    </w:rPr>
  </w:style>
  <w:style w:type="character" w:customStyle="1" w:styleId="Char3">
    <w:name w:val="批注文字 Char"/>
    <w:link w:val="aa"/>
    <w:uiPriority w:val="99"/>
    <w:locked/>
    <w:rsid w:val="008E25BF"/>
    <w:rPr>
      <w:rFonts w:eastAsia="宋体" w:cs="Times New Roman"/>
      <w:kern w:val="2"/>
      <w:sz w:val="24"/>
      <w:szCs w:val="24"/>
    </w:rPr>
  </w:style>
  <w:style w:type="paragraph" w:styleId="aa">
    <w:name w:val="annotation text"/>
    <w:basedOn w:val="a"/>
    <w:link w:val="Char3"/>
    <w:uiPriority w:val="99"/>
    <w:rsid w:val="008E25BF"/>
    <w:pPr>
      <w:jc w:val="left"/>
    </w:pPr>
    <w:rPr>
      <w:sz w:val="24"/>
    </w:rPr>
  </w:style>
  <w:style w:type="paragraph" w:styleId="ab">
    <w:name w:val="Normal (Web)"/>
    <w:basedOn w:val="a"/>
    <w:rsid w:val="008E25BF"/>
    <w:pPr>
      <w:widowControl/>
      <w:spacing w:before="100" w:beforeAutospacing="1" w:after="100" w:afterAutospacing="1"/>
      <w:jc w:val="left"/>
    </w:pPr>
    <w:rPr>
      <w:rFonts w:ascii="宋体" w:hAnsi="宋体" w:cs="宋体"/>
      <w:kern w:val="0"/>
      <w:sz w:val="24"/>
    </w:rPr>
  </w:style>
  <w:style w:type="paragraph" w:styleId="a7">
    <w:name w:val="annotation subject"/>
    <w:basedOn w:val="aa"/>
    <w:next w:val="aa"/>
    <w:link w:val="Char0"/>
    <w:uiPriority w:val="99"/>
    <w:rsid w:val="008E25BF"/>
    <w:rPr>
      <w:b/>
      <w:bCs/>
    </w:rPr>
  </w:style>
  <w:style w:type="paragraph" w:styleId="a8">
    <w:name w:val="header"/>
    <w:basedOn w:val="a"/>
    <w:link w:val="Char1"/>
    <w:uiPriority w:val="99"/>
    <w:rsid w:val="008E25BF"/>
    <w:pPr>
      <w:tabs>
        <w:tab w:val="center" w:pos="4320"/>
        <w:tab w:val="right" w:pos="8640"/>
      </w:tabs>
    </w:pPr>
    <w:rPr>
      <w:sz w:val="24"/>
    </w:rPr>
  </w:style>
  <w:style w:type="paragraph" w:styleId="a9">
    <w:name w:val="footer"/>
    <w:basedOn w:val="a"/>
    <w:link w:val="Char2"/>
    <w:uiPriority w:val="99"/>
    <w:rsid w:val="008E25BF"/>
    <w:pPr>
      <w:tabs>
        <w:tab w:val="center" w:pos="4320"/>
        <w:tab w:val="right" w:pos="8640"/>
      </w:tabs>
    </w:pPr>
    <w:rPr>
      <w:kern w:val="0"/>
      <w:sz w:val="18"/>
      <w:szCs w:val="18"/>
    </w:rPr>
  </w:style>
  <w:style w:type="paragraph" w:styleId="a6">
    <w:name w:val="Balloon Text"/>
    <w:basedOn w:val="a"/>
    <w:link w:val="Char"/>
    <w:uiPriority w:val="99"/>
    <w:rsid w:val="008E25BF"/>
    <w:rPr>
      <w:rFonts w:ascii="Tahoma" w:hAnsi="Tahoma"/>
      <w:sz w:val="16"/>
      <w:szCs w:val="16"/>
    </w:rPr>
  </w:style>
  <w:style w:type="paragraph" w:styleId="ac">
    <w:name w:val="Revision"/>
    <w:uiPriority w:val="99"/>
    <w:semiHidden/>
    <w:rsid w:val="008E25BF"/>
    <w:rPr>
      <w:rFonts w:eastAsia="宋体"/>
      <w:kern w:val="2"/>
      <w:sz w:val="21"/>
      <w:szCs w:val="24"/>
    </w:rPr>
  </w:style>
  <w:style w:type="paragraph" w:styleId="ad">
    <w:name w:val="List Paragraph"/>
    <w:basedOn w:val="a"/>
    <w:uiPriority w:val="99"/>
    <w:qFormat/>
    <w:rsid w:val="008E25BF"/>
    <w:pPr>
      <w:ind w:firstLineChars="200" w:firstLine="420"/>
    </w:pPr>
  </w:style>
  <w:style w:type="table" w:styleId="ae">
    <w:name w:val="Table Grid"/>
    <w:basedOn w:val="a1"/>
    <w:uiPriority w:val="99"/>
    <w:rsid w:val="008E25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5515"/>
    <w:pPr>
      <w:widowControl w:val="0"/>
      <w:autoSpaceDE w:val="0"/>
      <w:autoSpaceDN w:val="0"/>
      <w:adjustRightInd w:val="0"/>
    </w:pPr>
    <w:rPr>
      <w:rFonts w:ascii="宋体" w:eastAsia="宋体" w:cs="宋体"/>
      <w:color w:val="000000"/>
      <w:sz w:val="24"/>
      <w:szCs w:val="24"/>
      <w:lang w:bidi="th-TH"/>
    </w:rPr>
  </w:style>
  <w:style w:type="character" w:customStyle="1" w:styleId="2CharCharChar">
    <w:name w:val="标题 2 Char Char Char"/>
    <w:rsid w:val="00D21EC6"/>
    <w:rPr>
      <w:rFonts w:ascii="Arial" w:eastAsia="宋体" w:hAnsi="Arial"/>
      <w:b/>
      <w:kern w:val="2"/>
      <w:sz w:val="28"/>
      <w:szCs w:val="28"/>
      <w:lang w:val="en-US" w:eastAsia="zh-CN" w:bidi="ar-SA"/>
    </w:rPr>
  </w:style>
  <w:style w:type="character" w:customStyle="1" w:styleId="2Char">
    <w:name w:val="标题 2 Char"/>
    <w:aliases w:val="2 Char,Chapter X.X. Statement Char,Header 2 Char,Level 2 Head Char,h2 Char,heading 2 Char,l2 Char,标题 2 Char Char Char1"/>
    <w:basedOn w:val="a0"/>
    <w:link w:val="2"/>
    <w:rsid w:val="00D21EC6"/>
    <w:rPr>
      <w:rFonts w:ascii="Arial" w:eastAsia="黑体" w:hAnsi="Arial"/>
      <w:b/>
      <w:bCs/>
      <w:kern w:val="2"/>
      <w:sz w:val="32"/>
      <w:szCs w:val="32"/>
      <w:lang w:bidi="ar-SA"/>
    </w:rPr>
  </w:style>
  <w:style w:type="paragraph" w:styleId="20">
    <w:name w:val="toc 2"/>
    <w:basedOn w:val="a"/>
    <w:next w:val="a"/>
    <w:autoRedefine/>
    <w:uiPriority w:val="39"/>
    <w:rsid w:val="00A80EEE"/>
    <w:pPr>
      <w:tabs>
        <w:tab w:val="right" w:leader="dot" w:pos="8302"/>
      </w:tabs>
      <w:spacing w:line="360" w:lineRule="auto"/>
      <w:ind w:left="210"/>
      <w:jc w:val="left"/>
    </w:pPr>
    <w:rPr>
      <w:smallCaps/>
      <w:sz w:val="20"/>
      <w:szCs w:val="20"/>
    </w:rPr>
  </w:style>
  <w:style w:type="character" w:styleId="af">
    <w:name w:val="Hyperlink"/>
    <w:basedOn w:val="a0"/>
    <w:uiPriority w:val="99"/>
    <w:rsid w:val="00A80EEE"/>
    <w:rPr>
      <w:color w:val="0000FF"/>
      <w:u w:val="single"/>
    </w:rPr>
  </w:style>
  <w:style w:type="character" w:customStyle="1" w:styleId="1Char">
    <w:name w:val="标题 1 Char"/>
    <w:basedOn w:val="a0"/>
    <w:link w:val="1"/>
    <w:rsid w:val="00A80EEE"/>
    <w:rPr>
      <w:rFonts w:eastAsia="宋体"/>
      <w:b/>
      <w:bCs/>
      <w:kern w:val="44"/>
      <w:sz w:val="44"/>
      <w:szCs w:val="44"/>
      <w:lang w:bidi="ar-SA"/>
    </w:rPr>
  </w:style>
  <w:style w:type="paragraph" w:customStyle="1" w:styleId="14">
    <w:name w:val="正文_14"/>
    <w:qFormat/>
    <w:rsid w:val="00A80EEE"/>
    <w:pPr>
      <w:widowControl w:val="0"/>
      <w:jc w:val="both"/>
    </w:pPr>
    <w:rPr>
      <w:rFonts w:eastAsia="宋体"/>
      <w:kern w:val="2"/>
      <w:sz w:val="21"/>
      <w:szCs w:val="24"/>
    </w:rPr>
  </w:style>
  <w:style w:type="paragraph" w:customStyle="1" w:styleId="21">
    <w:name w:val="正文_21"/>
    <w:qFormat/>
    <w:rsid w:val="00A80EEE"/>
    <w:pPr>
      <w:widowControl w:val="0"/>
      <w:jc w:val="both"/>
    </w:pPr>
    <w:rPr>
      <w:rFonts w:eastAsia="宋体"/>
      <w:kern w:val="2"/>
      <w:sz w:val="21"/>
      <w:szCs w:val="24"/>
    </w:rPr>
  </w:style>
  <w:style w:type="paragraph" w:styleId="10">
    <w:name w:val="toc 1"/>
    <w:basedOn w:val="a"/>
    <w:next w:val="a"/>
    <w:autoRedefine/>
    <w:uiPriority w:val="39"/>
    <w:unhideWhenUsed/>
    <w:rsid w:val="00F946DC"/>
    <w:pPr>
      <w:tabs>
        <w:tab w:val="right" w:leader="dot" w:pos="9060"/>
      </w:tabs>
      <w:spacing w:line="360" w:lineRule="auto"/>
    </w:pPr>
  </w:style>
  <w:style w:type="paragraph" w:styleId="af0">
    <w:name w:val="Document Map"/>
    <w:basedOn w:val="a"/>
    <w:link w:val="Char4"/>
    <w:uiPriority w:val="99"/>
    <w:semiHidden/>
    <w:unhideWhenUsed/>
    <w:rsid w:val="0089481E"/>
    <w:rPr>
      <w:rFonts w:ascii="宋体"/>
      <w:sz w:val="18"/>
      <w:szCs w:val="18"/>
    </w:rPr>
  </w:style>
  <w:style w:type="character" w:customStyle="1" w:styleId="Char4">
    <w:name w:val="文档结构图 Char"/>
    <w:basedOn w:val="a0"/>
    <w:link w:val="af0"/>
    <w:uiPriority w:val="99"/>
    <w:semiHidden/>
    <w:rsid w:val="0089481E"/>
    <w:rPr>
      <w:rFonts w:ascii="宋体" w:eastAsia="宋体"/>
      <w:kern w:val="2"/>
      <w:sz w:val="18"/>
      <w:szCs w:val="18"/>
      <w:lang w:bidi="ar-SA"/>
    </w:rPr>
  </w:style>
  <w:style w:type="paragraph" w:customStyle="1" w:styleId="28">
    <w:name w:val="正文_28"/>
    <w:qFormat/>
    <w:rsid w:val="00D554B3"/>
    <w:pPr>
      <w:widowControl w:val="0"/>
      <w:jc w:val="both"/>
    </w:pPr>
    <w:rPr>
      <w:rFonts w:eastAsia="宋体"/>
      <w:kern w:val="2"/>
      <w:sz w:val="21"/>
      <w:szCs w:val="24"/>
    </w:rPr>
  </w:style>
  <w:style w:type="paragraph" w:customStyle="1" w:styleId="af1">
    <w:name w:val="正文所"/>
    <w:basedOn w:val="a"/>
    <w:rsid w:val="00084859"/>
    <w:pPr>
      <w:spacing w:line="360" w:lineRule="auto"/>
      <w:ind w:firstLineChars="200" w:firstLine="420"/>
    </w:pPr>
    <w:rPr>
      <w:rFonts w:ascii="宋体"/>
      <w:szCs w:val="20"/>
    </w:rPr>
  </w:style>
  <w:style w:type="paragraph" w:customStyle="1" w:styleId="Style6">
    <w:name w:val="_Style 6"/>
    <w:basedOn w:val="a"/>
    <w:next w:val="a"/>
    <w:rsid w:val="00084859"/>
    <w:pPr>
      <w:adjustRightInd w:val="0"/>
      <w:snapToGrid w:val="0"/>
      <w:ind w:firstLineChars="200" w:firstLine="480"/>
    </w:pPr>
    <w:rPr>
      <w:rFonts w:ascii="仿宋_GB2312" w:eastAsia="仿宋_GB2312" w:hAnsi="宋体"/>
      <w:color w:val="000000"/>
      <w:sz w:val="24"/>
      <w:szCs w:val="20"/>
    </w:rPr>
  </w:style>
  <w:style w:type="paragraph" w:styleId="af2">
    <w:name w:val="Date"/>
    <w:basedOn w:val="a"/>
    <w:next w:val="a"/>
    <w:link w:val="Char5"/>
    <w:uiPriority w:val="99"/>
    <w:semiHidden/>
    <w:unhideWhenUsed/>
    <w:rsid w:val="00EE10AD"/>
    <w:pPr>
      <w:ind w:leftChars="2500" w:left="100"/>
    </w:pPr>
  </w:style>
  <w:style w:type="character" w:customStyle="1" w:styleId="Char5">
    <w:name w:val="日期 Char"/>
    <w:basedOn w:val="a0"/>
    <w:link w:val="af2"/>
    <w:uiPriority w:val="99"/>
    <w:semiHidden/>
    <w:rsid w:val="00EE10AD"/>
    <w:rPr>
      <w:rFonts w:eastAsia="宋体"/>
      <w:kern w:val="2"/>
      <w:sz w:val="21"/>
      <w:szCs w:val="24"/>
    </w:rPr>
  </w:style>
  <w:style w:type="paragraph" w:styleId="af3">
    <w:name w:val="footnote text"/>
    <w:basedOn w:val="a"/>
    <w:link w:val="Char6"/>
    <w:uiPriority w:val="99"/>
    <w:semiHidden/>
    <w:unhideWhenUsed/>
    <w:rsid w:val="00516D14"/>
    <w:pPr>
      <w:snapToGrid w:val="0"/>
      <w:jc w:val="left"/>
    </w:pPr>
    <w:rPr>
      <w:sz w:val="18"/>
      <w:szCs w:val="18"/>
    </w:rPr>
  </w:style>
  <w:style w:type="character" w:customStyle="1" w:styleId="Char6">
    <w:name w:val="脚注文本 Char"/>
    <w:basedOn w:val="a0"/>
    <w:link w:val="af3"/>
    <w:uiPriority w:val="99"/>
    <w:semiHidden/>
    <w:rsid w:val="00516D14"/>
    <w:rPr>
      <w:rFonts w:eastAsia="宋体"/>
      <w:kern w:val="2"/>
      <w:sz w:val="18"/>
      <w:szCs w:val="18"/>
    </w:rPr>
  </w:style>
  <w:style w:type="character" w:styleId="af4">
    <w:name w:val="footnote reference"/>
    <w:basedOn w:val="a0"/>
    <w:uiPriority w:val="99"/>
    <w:semiHidden/>
    <w:unhideWhenUsed/>
    <w:rsid w:val="00516D14"/>
    <w:rPr>
      <w:vertAlign w:val="superscript"/>
    </w:rPr>
  </w:style>
</w:styles>
</file>

<file path=word/webSettings.xml><?xml version="1.0" encoding="utf-8"?>
<w:webSettings xmlns:r="http://schemas.openxmlformats.org/officeDocument/2006/relationships" xmlns:w="http://schemas.openxmlformats.org/wordprocessingml/2006/main">
  <w:divs>
    <w:div w:id="20517984">
      <w:bodyDiv w:val="1"/>
      <w:marLeft w:val="0"/>
      <w:marRight w:val="0"/>
      <w:marTop w:val="0"/>
      <w:marBottom w:val="0"/>
      <w:divBdr>
        <w:top w:val="none" w:sz="0" w:space="0" w:color="auto"/>
        <w:left w:val="none" w:sz="0" w:space="0" w:color="auto"/>
        <w:bottom w:val="none" w:sz="0" w:space="0" w:color="auto"/>
        <w:right w:val="none" w:sz="0" w:space="0" w:color="auto"/>
      </w:divBdr>
    </w:div>
    <w:div w:id="65960752">
      <w:bodyDiv w:val="1"/>
      <w:marLeft w:val="0"/>
      <w:marRight w:val="0"/>
      <w:marTop w:val="0"/>
      <w:marBottom w:val="0"/>
      <w:divBdr>
        <w:top w:val="none" w:sz="0" w:space="0" w:color="auto"/>
        <w:left w:val="none" w:sz="0" w:space="0" w:color="auto"/>
        <w:bottom w:val="none" w:sz="0" w:space="0" w:color="auto"/>
        <w:right w:val="none" w:sz="0" w:space="0" w:color="auto"/>
      </w:divBdr>
    </w:div>
    <w:div w:id="84349801">
      <w:bodyDiv w:val="1"/>
      <w:marLeft w:val="0"/>
      <w:marRight w:val="0"/>
      <w:marTop w:val="0"/>
      <w:marBottom w:val="0"/>
      <w:divBdr>
        <w:top w:val="none" w:sz="0" w:space="0" w:color="auto"/>
        <w:left w:val="none" w:sz="0" w:space="0" w:color="auto"/>
        <w:bottom w:val="none" w:sz="0" w:space="0" w:color="auto"/>
        <w:right w:val="none" w:sz="0" w:space="0" w:color="auto"/>
      </w:divBdr>
    </w:div>
    <w:div w:id="87586173">
      <w:bodyDiv w:val="1"/>
      <w:marLeft w:val="0"/>
      <w:marRight w:val="0"/>
      <w:marTop w:val="0"/>
      <w:marBottom w:val="0"/>
      <w:divBdr>
        <w:top w:val="none" w:sz="0" w:space="0" w:color="auto"/>
        <w:left w:val="none" w:sz="0" w:space="0" w:color="auto"/>
        <w:bottom w:val="none" w:sz="0" w:space="0" w:color="auto"/>
        <w:right w:val="none" w:sz="0" w:space="0" w:color="auto"/>
      </w:divBdr>
    </w:div>
    <w:div w:id="114377093">
      <w:bodyDiv w:val="1"/>
      <w:marLeft w:val="0"/>
      <w:marRight w:val="0"/>
      <w:marTop w:val="0"/>
      <w:marBottom w:val="0"/>
      <w:divBdr>
        <w:top w:val="none" w:sz="0" w:space="0" w:color="auto"/>
        <w:left w:val="none" w:sz="0" w:space="0" w:color="auto"/>
        <w:bottom w:val="none" w:sz="0" w:space="0" w:color="auto"/>
        <w:right w:val="none" w:sz="0" w:space="0" w:color="auto"/>
      </w:divBdr>
    </w:div>
    <w:div w:id="123542537">
      <w:bodyDiv w:val="1"/>
      <w:marLeft w:val="0"/>
      <w:marRight w:val="0"/>
      <w:marTop w:val="0"/>
      <w:marBottom w:val="0"/>
      <w:divBdr>
        <w:top w:val="none" w:sz="0" w:space="0" w:color="auto"/>
        <w:left w:val="none" w:sz="0" w:space="0" w:color="auto"/>
        <w:bottom w:val="none" w:sz="0" w:space="0" w:color="auto"/>
        <w:right w:val="none" w:sz="0" w:space="0" w:color="auto"/>
      </w:divBdr>
    </w:div>
    <w:div w:id="130295542">
      <w:bodyDiv w:val="1"/>
      <w:marLeft w:val="0"/>
      <w:marRight w:val="0"/>
      <w:marTop w:val="0"/>
      <w:marBottom w:val="0"/>
      <w:divBdr>
        <w:top w:val="none" w:sz="0" w:space="0" w:color="auto"/>
        <w:left w:val="none" w:sz="0" w:space="0" w:color="auto"/>
        <w:bottom w:val="none" w:sz="0" w:space="0" w:color="auto"/>
        <w:right w:val="none" w:sz="0" w:space="0" w:color="auto"/>
      </w:divBdr>
    </w:div>
    <w:div w:id="144513356">
      <w:bodyDiv w:val="1"/>
      <w:marLeft w:val="0"/>
      <w:marRight w:val="0"/>
      <w:marTop w:val="0"/>
      <w:marBottom w:val="0"/>
      <w:divBdr>
        <w:top w:val="none" w:sz="0" w:space="0" w:color="auto"/>
        <w:left w:val="none" w:sz="0" w:space="0" w:color="auto"/>
        <w:bottom w:val="none" w:sz="0" w:space="0" w:color="auto"/>
        <w:right w:val="none" w:sz="0" w:space="0" w:color="auto"/>
      </w:divBdr>
    </w:div>
    <w:div w:id="167335440">
      <w:bodyDiv w:val="1"/>
      <w:marLeft w:val="0"/>
      <w:marRight w:val="0"/>
      <w:marTop w:val="0"/>
      <w:marBottom w:val="0"/>
      <w:divBdr>
        <w:top w:val="none" w:sz="0" w:space="0" w:color="auto"/>
        <w:left w:val="none" w:sz="0" w:space="0" w:color="auto"/>
        <w:bottom w:val="none" w:sz="0" w:space="0" w:color="auto"/>
        <w:right w:val="none" w:sz="0" w:space="0" w:color="auto"/>
      </w:divBdr>
    </w:div>
    <w:div w:id="186062441">
      <w:bodyDiv w:val="1"/>
      <w:marLeft w:val="0"/>
      <w:marRight w:val="0"/>
      <w:marTop w:val="0"/>
      <w:marBottom w:val="0"/>
      <w:divBdr>
        <w:top w:val="none" w:sz="0" w:space="0" w:color="auto"/>
        <w:left w:val="none" w:sz="0" w:space="0" w:color="auto"/>
        <w:bottom w:val="none" w:sz="0" w:space="0" w:color="auto"/>
        <w:right w:val="none" w:sz="0" w:space="0" w:color="auto"/>
      </w:divBdr>
    </w:div>
    <w:div w:id="210458683">
      <w:bodyDiv w:val="1"/>
      <w:marLeft w:val="0"/>
      <w:marRight w:val="0"/>
      <w:marTop w:val="0"/>
      <w:marBottom w:val="0"/>
      <w:divBdr>
        <w:top w:val="none" w:sz="0" w:space="0" w:color="auto"/>
        <w:left w:val="none" w:sz="0" w:space="0" w:color="auto"/>
        <w:bottom w:val="none" w:sz="0" w:space="0" w:color="auto"/>
        <w:right w:val="none" w:sz="0" w:space="0" w:color="auto"/>
      </w:divBdr>
    </w:div>
    <w:div w:id="238488348">
      <w:bodyDiv w:val="1"/>
      <w:marLeft w:val="0"/>
      <w:marRight w:val="0"/>
      <w:marTop w:val="0"/>
      <w:marBottom w:val="0"/>
      <w:divBdr>
        <w:top w:val="none" w:sz="0" w:space="0" w:color="auto"/>
        <w:left w:val="none" w:sz="0" w:space="0" w:color="auto"/>
        <w:bottom w:val="none" w:sz="0" w:space="0" w:color="auto"/>
        <w:right w:val="none" w:sz="0" w:space="0" w:color="auto"/>
      </w:divBdr>
    </w:div>
    <w:div w:id="248780353">
      <w:bodyDiv w:val="1"/>
      <w:marLeft w:val="0"/>
      <w:marRight w:val="0"/>
      <w:marTop w:val="0"/>
      <w:marBottom w:val="0"/>
      <w:divBdr>
        <w:top w:val="none" w:sz="0" w:space="0" w:color="auto"/>
        <w:left w:val="none" w:sz="0" w:space="0" w:color="auto"/>
        <w:bottom w:val="none" w:sz="0" w:space="0" w:color="auto"/>
        <w:right w:val="none" w:sz="0" w:space="0" w:color="auto"/>
      </w:divBdr>
    </w:div>
    <w:div w:id="292253875">
      <w:bodyDiv w:val="1"/>
      <w:marLeft w:val="0"/>
      <w:marRight w:val="0"/>
      <w:marTop w:val="0"/>
      <w:marBottom w:val="0"/>
      <w:divBdr>
        <w:top w:val="none" w:sz="0" w:space="0" w:color="auto"/>
        <w:left w:val="none" w:sz="0" w:space="0" w:color="auto"/>
        <w:bottom w:val="none" w:sz="0" w:space="0" w:color="auto"/>
        <w:right w:val="none" w:sz="0" w:space="0" w:color="auto"/>
      </w:divBdr>
    </w:div>
    <w:div w:id="313992487">
      <w:bodyDiv w:val="1"/>
      <w:marLeft w:val="0"/>
      <w:marRight w:val="0"/>
      <w:marTop w:val="0"/>
      <w:marBottom w:val="0"/>
      <w:divBdr>
        <w:top w:val="none" w:sz="0" w:space="0" w:color="auto"/>
        <w:left w:val="none" w:sz="0" w:space="0" w:color="auto"/>
        <w:bottom w:val="none" w:sz="0" w:space="0" w:color="auto"/>
        <w:right w:val="none" w:sz="0" w:space="0" w:color="auto"/>
      </w:divBdr>
    </w:div>
    <w:div w:id="328287894">
      <w:bodyDiv w:val="1"/>
      <w:marLeft w:val="0"/>
      <w:marRight w:val="0"/>
      <w:marTop w:val="0"/>
      <w:marBottom w:val="0"/>
      <w:divBdr>
        <w:top w:val="none" w:sz="0" w:space="0" w:color="auto"/>
        <w:left w:val="none" w:sz="0" w:space="0" w:color="auto"/>
        <w:bottom w:val="none" w:sz="0" w:space="0" w:color="auto"/>
        <w:right w:val="none" w:sz="0" w:space="0" w:color="auto"/>
      </w:divBdr>
    </w:div>
    <w:div w:id="349569730">
      <w:bodyDiv w:val="1"/>
      <w:marLeft w:val="0"/>
      <w:marRight w:val="0"/>
      <w:marTop w:val="0"/>
      <w:marBottom w:val="0"/>
      <w:divBdr>
        <w:top w:val="none" w:sz="0" w:space="0" w:color="auto"/>
        <w:left w:val="none" w:sz="0" w:space="0" w:color="auto"/>
        <w:bottom w:val="none" w:sz="0" w:space="0" w:color="auto"/>
        <w:right w:val="none" w:sz="0" w:space="0" w:color="auto"/>
      </w:divBdr>
    </w:div>
    <w:div w:id="370153758">
      <w:bodyDiv w:val="1"/>
      <w:marLeft w:val="0"/>
      <w:marRight w:val="0"/>
      <w:marTop w:val="0"/>
      <w:marBottom w:val="0"/>
      <w:divBdr>
        <w:top w:val="none" w:sz="0" w:space="0" w:color="auto"/>
        <w:left w:val="none" w:sz="0" w:space="0" w:color="auto"/>
        <w:bottom w:val="none" w:sz="0" w:space="0" w:color="auto"/>
        <w:right w:val="none" w:sz="0" w:space="0" w:color="auto"/>
      </w:divBdr>
    </w:div>
    <w:div w:id="379131614">
      <w:bodyDiv w:val="1"/>
      <w:marLeft w:val="0"/>
      <w:marRight w:val="0"/>
      <w:marTop w:val="0"/>
      <w:marBottom w:val="0"/>
      <w:divBdr>
        <w:top w:val="none" w:sz="0" w:space="0" w:color="auto"/>
        <w:left w:val="none" w:sz="0" w:space="0" w:color="auto"/>
        <w:bottom w:val="none" w:sz="0" w:space="0" w:color="auto"/>
        <w:right w:val="none" w:sz="0" w:space="0" w:color="auto"/>
      </w:divBdr>
    </w:div>
    <w:div w:id="435757596">
      <w:bodyDiv w:val="1"/>
      <w:marLeft w:val="0"/>
      <w:marRight w:val="0"/>
      <w:marTop w:val="0"/>
      <w:marBottom w:val="0"/>
      <w:divBdr>
        <w:top w:val="none" w:sz="0" w:space="0" w:color="auto"/>
        <w:left w:val="none" w:sz="0" w:space="0" w:color="auto"/>
        <w:bottom w:val="none" w:sz="0" w:space="0" w:color="auto"/>
        <w:right w:val="none" w:sz="0" w:space="0" w:color="auto"/>
      </w:divBdr>
    </w:div>
    <w:div w:id="450982098">
      <w:bodyDiv w:val="1"/>
      <w:marLeft w:val="0"/>
      <w:marRight w:val="0"/>
      <w:marTop w:val="0"/>
      <w:marBottom w:val="0"/>
      <w:divBdr>
        <w:top w:val="none" w:sz="0" w:space="0" w:color="auto"/>
        <w:left w:val="none" w:sz="0" w:space="0" w:color="auto"/>
        <w:bottom w:val="none" w:sz="0" w:space="0" w:color="auto"/>
        <w:right w:val="none" w:sz="0" w:space="0" w:color="auto"/>
      </w:divBdr>
    </w:div>
    <w:div w:id="458643941">
      <w:bodyDiv w:val="1"/>
      <w:marLeft w:val="0"/>
      <w:marRight w:val="0"/>
      <w:marTop w:val="0"/>
      <w:marBottom w:val="0"/>
      <w:divBdr>
        <w:top w:val="none" w:sz="0" w:space="0" w:color="auto"/>
        <w:left w:val="none" w:sz="0" w:space="0" w:color="auto"/>
        <w:bottom w:val="none" w:sz="0" w:space="0" w:color="auto"/>
        <w:right w:val="none" w:sz="0" w:space="0" w:color="auto"/>
      </w:divBdr>
    </w:div>
    <w:div w:id="460274239">
      <w:bodyDiv w:val="1"/>
      <w:marLeft w:val="0"/>
      <w:marRight w:val="0"/>
      <w:marTop w:val="0"/>
      <w:marBottom w:val="0"/>
      <w:divBdr>
        <w:top w:val="none" w:sz="0" w:space="0" w:color="auto"/>
        <w:left w:val="none" w:sz="0" w:space="0" w:color="auto"/>
        <w:bottom w:val="none" w:sz="0" w:space="0" w:color="auto"/>
        <w:right w:val="none" w:sz="0" w:space="0" w:color="auto"/>
      </w:divBdr>
    </w:div>
    <w:div w:id="480193431">
      <w:bodyDiv w:val="1"/>
      <w:marLeft w:val="0"/>
      <w:marRight w:val="0"/>
      <w:marTop w:val="0"/>
      <w:marBottom w:val="0"/>
      <w:divBdr>
        <w:top w:val="none" w:sz="0" w:space="0" w:color="auto"/>
        <w:left w:val="none" w:sz="0" w:space="0" w:color="auto"/>
        <w:bottom w:val="none" w:sz="0" w:space="0" w:color="auto"/>
        <w:right w:val="none" w:sz="0" w:space="0" w:color="auto"/>
      </w:divBdr>
    </w:div>
    <w:div w:id="523325596">
      <w:bodyDiv w:val="1"/>
      <w:marLeft w:val="0"/>
      <w:marRight w:val="0"/>
      <w:marTop w:val="0"/>
      <w:marBottom w:val="0"/>
      <w:divBdr>
        <w:top w:val="none" w:sz="0" w:space="0" w:color="auto"/>
        <w:left w:val="none" w:sz="0" w:space="0" w:color="auto"/>
        <w:bottom w:val="none" w:sz="0" w:space="0" w:color="auto"/>
        <w:right w:val="none" w:sz="0" w:space="0" w:color="auto"/>
      </w:divBdr>
    </w:div>
    <w:div w:id="523594224">
      <w:bodyDiv w:val="1"/>
      <w:marLeft w:val="0"/>
      <w:marRight w:val="0"/>
      <w:marTop w:val="0"/>
      <w:marBottom w:val="0"/>
      <w:divBdr>
        <w:top w:val="none" w:sz="0" w:space="0" w:color="auto"/>
        <w:left w:val="none" w:sz="0" w:space="0" w:color="auto"/>
        <w:bottom w:val="none" w:sz="0" w:space="0" w:color="auto"/>
        <w:right w:val="none" w:sz="0" w:space="0" w:color="auto"/>
      </w:divBdr>
    </w:div>
    <w:div w:id="524515610">
      <w:bodyDiv w:val="1"/>
      <w:marLeft w:val="0"/>
      <w:marRight w:val="0"/>
      <w:marTop w:val="0"/>
      <w:marBottom w:val="0"/>
      <w:divBdr>
        <w:top w:val="none" w:sz="0" w:space="0" w:color="auto"/>
        <w:left w:val="none" w:sz="0" w:space="0" w:color="auto"/>
        <w:bottom w:val="none" w:sz="0" w:space="0" w:color="auto"/>
        <w:right w:val="none" w:sz="0" w:space="0" w:color="auto"/>
      </w:divBdr>
    </w:div>
    <w:div w:id="542909930">
      <w:bodyDiv w:val="1"/>
      <w:marLeft w:val="0"/>
      <w:marRight w:val="0"/>
      <w:marTop w:val="0"/>
      <w:marBottom w:val="0"/>
      <w:divBdr>
        <w:top w:val="none" w:sz="0" w:space="0" w:color="auto"/>
        <w:left w:val="none" w:sz="0" w:space="0" w:color="auto"/>
        <w:bottom w:val="none" w:sz="0" w:space="0" w:color="auto"/>
        <w:right w:val="none" w:sz="0" w:space="0" w:color="auto"/>
      </w:divBdr>
    </w:div>
    <w:div w:id="591860180">
      <w:bodyDiv w:val="1"/>
      <w:marLeft w:val="0"/>
      <w:marRight w:val="0"/>
      <w:marTop w:val="0"/>
      <w:marBottom w:val="0"/>
      <w:divBdr>
        <w:top w:val="none" w:sz="0" w:space="0" w:color="auto"/>
        <w:left w:val="none" w:sz="0" w:space="0" w:color="auto"/>
        <w:bottom w:val="none" w:sz="0" w:space="0" w:color="auto"/>
        <w:right w:val="none" w:sz="0" w:space="0" w:color="auto"/>
      </w:divBdr>
    </w:div>
    <w:div w:id="633143869">
      <w:bodyDiv w:val="1"/>
      <w:marLeft w:val="0"/>
      <w:marRight w:val="0"/>
      <w:marTop w:val="0"/>
      <w:marBottom w:val="0"/>
      <w:divBdr>
        <w:top w:val="none" w:sz="0" w:space="0" w:color="auto"/>
        <w:left w:val="none" w:sz="0" w:space="0" w:color="auto"/>
        <w:bottom w:val="none" w:sz="0" w:space="0" w:color="auto"/>
        <w:right w:val="none" w:sz="0" w:space="0" w:color="auto"/>
      </w:divBdr>
    </w:div>
    <w:div w:id="657684789">
      <w:bodyDiv w:val="1"/>
      <w:marLeft w:val="0"/>
      <w:marRight w:val="0"/>
      <w:marTop w:val="0"/>
      <w:marBottom w:val="0"/>
      <w:divBdr>
        <w:top w:val="none" w:sz="0" w:space="0" w:color="auto"/>
        <w:left w:val="none" w:sz="0" w:space="0" w:color="auto"/>
        <w:bottom w:val="none" w:sz="0" w:space="0" w:color="auto"/>
        <w:right w:val="none" w:sz="0" w:space="0" w:color="auto"/>
      </w:divBdr>
    </w:div>
    <w:div w:id="669140461">
      <w:bodyDiv w:val="1"/>
      <w:marLeft w:val="0"/>
      <w:marRight w:val="0"/>
      <w:marTop w:val="0"/>
      <w:marBottom w:val="0"/>
      <w:divBdr>
        <w:top w:val="none" w:sz="0" w:space="0" w:color="auto"/>
        <w:left w:val="none" w:sz="0" w:space="0" w:color="auto"/>
        <w:bottom w:val="none" w:sz="0" w:space="0" w:color="auto"/>
        <w:right w:val="none" w:sz="0" w:space="0" w:color="auto"/>
      </w:divBdr>
    </w:div>
    <w:div w:id="678042861">
      <w:bodyDiv w:val="1"/>
      <w:marLeft w:val="0"/>
      <w:marRight w:val="0"/>
      <w:marTop w:val="0"/>
      <w:marBottom w:val="0"/>
      <w:divBdr>
        <w:top w:val="none" w:sz="0" w:space="0" w:color="auto"/>
        <w:left w:val="none" w:sz="0" w:space="0" w:color="auto"/>
        <w:bottom w:val="none" w:sz="0" w:space="0" w:color="auto"/>
        <w:right w:val="none" w:sz="0" w:space="0" w:color="auto"/>
      </w:divBdr>
    </w:div>
    <w:div w:id="687096017">
      <w:bodyDiv w:val="1"/>
      <w:marLeft w:val="0"/>
      <w:marRight w:val="0"/>
      <w:marTop w:val="0"/>
      <w:marBottom w:val="0"/>
      <w:divBdr>
        <w:top w:val="none" w:sz="0" w:space="0" w:color="auto"/>
        <w:left w:val="none" w:sz="0" w:space="0" w:color="auto"/>
        <w:bottom w:val="none" w:sz="0" w:space="0" w:color="auto"/>
        <w:right w:val="none" w:sz="0" w:space="0" w:color="auto"/>
      </w:divBdr>
    </w:div>
    <w:div w:id="758216628">
      <w:bodyDiv w:val="1"/>
      <w:marLeft w:val="0"/>
      <w:marRight w:val="0"/>
      <w:marTop w:val="0"/>
      <w:marBottom w:val="0"/>
      <w:divBdr>
        <w:top w:val="none" w:sz="0" w:space="0" w:color="auto"/>
        <w:left w:val="none" w:sz="0" w:space="0" w:color="auto"/>
        <w:bottom w:val="none" w:sz="0" w:space="0" w:color="auto"/>
        <w:right w:val="none" w:sz="0" w:space="0" w:color="auto"/>
      </w:divBdr>
    </w:div>
    <w:div w:id="763574796">
      <w:bodyDiv w:val="1"/>
      <w:marLeft w:val="0"/>
      <w:marRight w:val="0"/>
      <w:marTop w:val="0"/>
      <w:marBottom w:val="0"/>
      <w:divBdr>
        <w:top w:val="none" w:sz="0" w:space="0" w:color="auto"/>
        <w:left w:val="none" w:sz="0" w:space="0" w:color="auto"/>
        <w:bottom w:val="none" w:sz="0" w:space="0" w:color="auto"/>
        <w:right w:val="none" w:sz="0" w:space="0" w:color="auto"/>
      </w:divBdr>
    </w:div>
    <w:div w:id="780417777">
      <w:bodyDiv w:val="1"/>
      <w:marLeft w:val="0"/>
      <w:marRight w:val="0"/>
      <w:marTop w:val="0"/>
      <w:marBottom w:val="0"/>
      <w:divBdr>
        <w:top w:val="none" w:sz="0" w:space="0" w:color="auto"/>
        <w:left w:val="none" w:sz="0" w:space="0" w:color="auto"/>
        <w:bottom w:val="none" w:sz="0" w:space="0" w:color="auto"/>
        <w:right w:val="none" w:sz="0" w:space="0" w:color="auto"/>
      </w:divBdr>
    </w:div>
    <w:div w:id="791244174">
      <w:bodyDiv w:val="1"/>
      <w:marLeft w:val="0"/>
      <w:marRight w:val="0"/>
      <w:marTop w:val="0"/>
      <w:marBottom w:val="0"/>
      <w:divBdr>
        <w:top w:val="none" w:sz="0" w:space="0" w:color="auto"/>
        <w:left w:val="none" w:sz="0" w:space="0" w:color="auto"/>
        <w:bottom w:val="none" w:sz="0" w:space="0" w:color="auto"/>
        <w:right w:val="none" w:sz="0" w:space="0" w:color="auto"/>
      </w:divBdr>
    </w:div>
    <w:div w:id="796532021">
      <w:bodyDiv w:val="1"/>
      <w:marLeft w:val="0"/>
      <w:marRight w:val="0"/>
      <w:marTop w:val="0"/>
      <w:marBottom w:val="0"/>
      <w:divBdr>
        <w:top w:val="none" w:sz="0" w:space="0" w:color="auto"/>
        <w:left w:val="none" w:sz="0" w:space="0" w:color="auto"/>
        <w:bottom w:val="none" w:sz="0" w:space="0" w:color="auto"/>
        <w:right w:val="none" w:sz="0" w:space="0" w:color="auto"/>
      </w:divBdr>
    </w:div>
    <w:div w:id="800225675">
      <w:bodyDiv w:val="1"/>
      <w:marLeft w:val="0"/>
      <w:marRight w:val="0"/>
      <w:marTop w:val="0"/>
      <w:marBottom w:val="0"/>
      <w:divBdr>
        <w:top w:val="none" w:sz="0" w:space="0" w:color="auto"/>
        <w:left w:val="none" w:sz="0" w:space="0" w:color="auto"/>
        <w:bottom w:val="none" w:sz="0" w:space="0" w:color="auto"/>
        <w:right w:val="none" w:sz="0" w:space="0" w:color="auto"/>
      </w:divBdr>
    </w:div>
    <w:div w:id="854348004">
      <w:bodyDiv w:val="1"/>
      <w:marLeft w:val="0"/>
      <w:marRight w:val="0"/>
      <w:marTop w:val="0"/>
      <w:marBottom w:val="0"/>
      <w:divBdr>
        <w:top w:val="none" w:sz="0" w:space="0" w:color="auto"/>
        <w:left w:val="none" w:sz="0" w:space="0" w:color="auto"/>
        <w:bottom w:val="none" w:sz="0" w:space="0" w:color="auto"/>
        <w:right w:val="none" w:sz="0" w:space="0" w:color="auto"/>
      </w:divBdr>
    </w:div>
    <w:div w:id="876234410">
      <w:bodyDiv w:val="1"/>
      <w:marLeft w:val="0"/>
      <w:marRight w:val="0"/>
      <w:marTop w:val="0"/>
      <w:marBottom w:val="0"/>
      <w:divBdr>
        <w:top w:val="none" w:sz="0" w:space="0" w:color="auto"/>
        <w:left w:val="none" w:sz="0" w:space="0" w:color="auto"/>
        <w:bottom w:val="none" w:sz="0" w:space="0" w:color="auto"/>
        <w:right w:val="none" w:sz="0" w:space="0" w:color="auto"/>
      </w:divBdr>
    </w:div>
    <w:div w:id="917832352">
      <w:bodyDiv w:val="1"/>
      <w:marLeft w:val="0"/>
      <w:marRight w:val="0"/>
      <w:marTop w:val="0"/>
      <w:marBottom w:val="0"/>
      <w:divBdr>
        <w:top w:val="none" w:sz="0" w:space="0" w:color="auto"/>
        <w:left w:val="none" w:sz="0" w:space="0" w:color="auto"/>
        <w:bottom w:val="none" w:sz="0" w:space="0" w:color="auto"/>
        <w:right w:val="none" w:sz="0" w:space="0" w:color="auto"/>
      </w:divBdr>
    </w:div>
    <w:div w:id="935527176">
      <w:bodyDiv w:val="1"/>
      <w:marLeft w:val="0"/>
      <w:marRight w:val="0"/>
      <w:marTop w:val="0"/>
      <w:marBottom w:val="0"/>
      <w:divBdr>
        <w:top w:val="none" w:sz="0" w:space="0" w:color="auto"/>
        <w:left w:val="none" w:sz="0" w:space="0" w:color="auto"/>
        <w:bottom w:val="none" w:sz="0" w:space="0" w:color="auto"/>
        <w:right w:val="none" w:sz="0" w:space="0" w:color="auto"/>
      </w:divBdr>
    </w:div>
    <w:div w:id="954215500">
      <w:bodyDiv w:val="1"/>
      <w:marLeft w:val="0"/>
      <w:marRight w:val="0"/>
      <w:marTop w:val="0"/>
      <w:marBottom w:val="0"/>
      <w:divBdr>
        <w:top w:val="none" w:sz="0" w:space="0" w:color="auto"/>
        <w:left w:val="none" w:sz="0" w:space="0" w:color="auto"/>
        <w:bottom w:val="none" w:sz="0" w:space="0" w:color="auto"/>
        <w:right w:val="none" w:sz="0" w:space="0" w:color="auto"/>
      </w:divBdr>
    </w:div>
    <w:div w:id="969702822">
      <w:bodyDiv w:val="1"/>
      <w:marLeft w:val="0"/>
      <w:marRight w:val="0"/>
      <w:marTop w:val="0"/>
      <w:marBottom w:val="0"/>
      <w:divBdr>
        <w:top w:val="none" w:sz="0" w:space="0" w:color="auto"/>
        <w:left w:val="none" w:sz="0" w:space="0" w:color="auto"/>
        <w:bottom w:val="none" w:sz="0" w:space="0" w:color="auto"/>
        <w:right w:val="none" w:sz="0" w:space="0" w:color="auto"/>
      </w:divBdr>
    </w:div>
    <w:div w:id="1020007350">
      <w:bodyDiv w:val="1"/>
      <w:marLeft w:val="0"/>
      <w:marRight w:val="0"/>
      <w:marTop w:val="0"/>
      <w:marBottom w:val="0"/>
      <w:divBdr>
        <w:top w:val="none" w:sz="0" w:space="0" w:color="auto"/>
        <w:left w:val="none" w:sz="0" w:space="0" w:color="auto"/>
        <w:bottom w:val="none" w:sz="0" w:space="0" w:color="auto"/>
        <w:right w:val="none" w:sz="0" w:space="0" w:color="auto"/>
      </w:divBdr>
    </w:div>
    <w:div w:id="1062869610">
      <w:bodyDiv w:val="1"/>
      <w:marLeft w:val="0"/>
      <w:marRight w:val="0"/>
      <w:marTop w:val="0"/>
      <w:marBottom w:val="0"/>
      <w:divBdr>
        <w:top w:val="none" w:sz="0" w:space="0" w:color="auto"/>
        <w:left w:val="none" w:sz="0" w:space="0" w:color="auto"/>
        <w:bottom w:val="none" w:sz="0" w:space="0" w:color="auto"/>
        <w:right w:val="none" w:sz="0" w:space="0" w:color="auto"/>
      </w:divBdr>
    </w:div>
    <w:div w:id="1080252357">
      <w:bodyDiv w:val="1"/>
      <w:marLeft w:val="0"/>
      <w:marRight w:val="0"/>
      <w:marTop w:val="0"/>
      <w:marBottom w:val="0"/>
      <w:divBdr>
        <w:top w:val="none" w:sz="0" w:space="0" w:color="auto"/>
        <w:left w:val="none" w:sz="0" w:space="0" w:color="auto"/>
        <w:bottom w:val="none" w:sz="0" w:space="0" w:color="auto"/>
        <w:right w:val="none" w:sz="0" w:space="0" w:color="auto"/>
      </w:divBdr>
    </w:div>
    <w:div w:id="1090925394">
      <w:bodyDiv w:val="1"/>
      <w:marLeft w:val="0"/>
      <w:marRight w:val="0"/>
      <w:marTop w:val="0"/>
      <w:marBottom w:val="0"/>
      <w:divBdr>
        <w:top w:val="none" w:sz="0" w:space="0" w:color="auto"/>
        <w:left w:val="none" w:sz="0" w:space="0" w:color="auto"/>
        <w:bottom w:val="none" w:sz="0" w:space="0" w:color="auto"/>
        <w:right w:val="none" w:sz="0" w:space="0" w:color="auto"/>
      </w:divBdr>
    </w:div>
    <w:div w:id="1096830276">
      <w:bodyDiv w:val="1"/>
      <w:marLeft w:val="0"/>
      <w:marRight w:val="0"/>
      <w:marTop w:val="0"/>
      <w:marBottom w:val="0"/>
      <w:divBdr>
        <w:top w:val="none" w:sz="0" w:space="0" w:color="auto"/>
        <w:left w:val="none" w:sz="0" w:space="0" w:color="auto"/>
        <w:bottom w:val="none" w:sz="0" w:space="0" w:color="auto"/>
        <w:right w:val="none" w:sz="0" w:space="0" w:color="auto"/>
      </w:divBdr>
    </w:div>
    <w:div w:id="1098213020">
      <w:bodyDiv w:val="1"/>
      <w:marLeft w:val="0"/>
      <w:marRight w:val="0"/>
      <w:marTop w:val="0"/>
      <w:marBottom w:val="0"/>
      <w:divBdr>
        <w:top w:val="none" w:sz="0" w:space="0" w:color="auto"/>
        <w:left w:val="none" w:sz="0" w:space="0" w:color="auto"/>
        <w:bottom w:val="none" w:sz="0" w:space="0" w:color="auto"/>
        <w:right w:val="none" w:sz="0" w:space="0" w:color="auto"/>
      </w:divBdr>
    </w:div>
    <w:div w:id="1098982442">
      <w:bodyDiv w:val="1"/>
      <w:marLeft w:val="0"/>
      <w:marRight w:val="0"/>
      <w:marTop w:val="0"/>
      <w:marBottom w:val="0"/>
      <w:divBdr>
        <w:top w:val="none" w:sz="0" w:space="0" w:color="auto"/>
        <w:left w:val="none" w:sz="0" w:space="0" w:color="auto"/>
        <w:bottom w:val="none" w:sz="0" w:space="0" w:color="auto"/>
        <w:right w:val="none" w:sz="0" w:space="0" w:color="auto"/>
      </w:divBdr>
    </w:div>
    <w:div w:id="1120804894">
      <w:bodyDiv w:val="1"/>
      <w:marLeft w:val="0"/>
      <w:marRight w:val="0"/>
      <w:marTop w:val="0"/>
      <w:marBottom w:val="0"/>
      <w:divBdr>
        <w:top w:val="none" w:sz="0" w:space="0" w:color="auto"/>
        <w:left w:val="none" w:sz="0" w:space="0" w:color="auto"/>
        <w:bottom w:val="none" w:sz="0" w:space="0" w:color="auto"/>
        <w:right w:val="none" w:sz="0" w:space="0" w:color="auto"/>
      </w:divBdr>
    </w:div>
    <w:div w:id="1210340453">
      <w:bodyDiv w:val="1"/>
      <w:marLeft w:val="0"/>
      <w:marRight w:val="0"/>
      <w:marTop w:val="0"/>
      <w:marBottom w:val="0"/>
      <w:divBdr>
        <w:top w:val="none" w:sz="0" w:space="0" w:color="auto"/>
        <w:left w:val="none" w:sz="0" w:space="0" w:color="auto"/>
        <w:bottom w:val="none" w:sz="0" w:space="0" w:color="auto"/>
        <w:right w:val="none" w:sz="0" w:space="0" w:color="auto"/>
      </w:divBdr>
    </w:div>
    <w:div w:id="1217280682">
      <w:bodyDiv w:val="1"/>
      <w:marLeft w:val="0"/>
      <w:marRight w:val="0"/>
      <w:marTop w:val="0"/>
      <w:marBottom w:val="0"/>
      <w:divBdr>
        <w:top w:val="none" w:sz="0" w:space="0" w:color="auto"/>
        <w:left w:val="none" w:sz="0" w:space="0" w:color="auto"/>
        <w:bottom w:val="none" w:sz="0" w:space="0" w:color="auto"/>
        <w:right w:val="none" w:sz="0" w:space="0" w:color="auto"/>
      </w:divBdr>
    </w:div>
    <w:div w:id="1221599933">
      <w:bodyDiv w:val="1"/>
      <w:marLeft w:val="0"/>
      <w:marRight w:val="0"/>
      <w:marTop w:val="0"/>
      <w:marBottom w:val="0"/>
      <w:divBdr>
        <w:top w:val="none" w:sz="0" w:space="0" w:color="auto"/>
        <w:left w:val="none" w:sz="0" w:space="0" w:color="auto"/>
        <w:bottom w:val="none" w:sz="0" w:space="0" w:color="auto"/>
        <w:right w:val="none" w:sz="0" w:space="0" w:color="auto"/>
      </w:divBdr>
    </w:div>
    <w:div w:id="1337489736">
      <w:bodyDiv w:val="1"/>
      <w:marLeft w:val="0"/>
      <w:marRight w:val="0"/>
      <w:marTop w:val="0"/>
      <w:marBottom w:val="0"/>
      <w:divBdr>
        <w:top w:val="none" w:sz="0" w:space="0" w:color="auto"/>
        <w:left w:val="none" w:sz="0" w:space="0" w:color="auto"/>
        <w:bottom w:val="none" w:sz="0" w:space="0" w:color="auto"/>
        <w:right w:val="none" w:sz="0" w:space="0" w:color="auto"/>
      </w:divBdr>
    </w:div>
    <w:div w:id="1360467243">
      <w:bodyDiv w:val="1"/>
      <w:marLeft w:val="0"/>
      <w:marRight w:val="0"/>
      <w:marTop w:val="0"/>
      <w:marBottom w:val="0"/>
      <w:divBdr>
        <w:top w:val="none" w:sz="0" w:space="0" w:color="auto"/>
        <w:left w:val="none" w:sz="0" w:space="0" w:color="auto"/>
        <w:bottom w:val="none" w:sz="0" w:space="0" w:color="auto"/>
        <w:right w:val="none" w:sz="0" w:space="0" w:color="auto"/>
      </w:divBdr>
    </w:div>
    <w:div w:id="1398015574">
      <w:bodyDiv w:val="1"/>
      <w:marLeft w:val="0"/>
      <w:marRight w:val="0"/>
      <w:marTop w:val="0"/>
      <w:marBottom w:val="0"/>
      <w:divBdr>
        <w:top w:val="none" w:sz="0" w:space="0" w:color="auto"/>
        <w:left w:val="none" w:sz="0" w:space="0" w:color="auto"/>
        <w:bottom w:val="none" w:sz="0" w:space="0" w:color="auto"/>
        <w:right w:val="none" w:sz="0" w:space="0" w:color="auto"/>
      </w:divBdr>
    </w:div>
    <w:div w:id="1420178067">
      <w:bodyDiv w:val="1"/>
      <w:marLeft w:val="0"/>
      <w:marRight w:val="0"/>
      <w:marTop w:val="0"/>
      <w:marBottom w:val="0"/>
      <w:divBdr>
        <w:top w:val="none" w:sz="0" w:space="0" w:color="auto"/>
        <w:left w:val="none" w:sz="0" w:space="0" w:color="auto"/>
        <w:bottom w:val="none" w:sz="0" w:space="0" w:color="auto"/>
        <w:right w:val="none" w:sz="0" w:space="0" w:color="auto"/>
      </w:divBdr>
    </w:div>
    <w:div w:id="1452359205">
      <w:bodyDiv w:val="1"/>
      <w:marLeft w:val="0"/>
      <w:marRight w:val="0"/>
      <w:marTop w:val="0"/>
      <w:marBottom w:val="0"/>
      <w:divBdr>
        <w:top w:val="none" w:sz="0" w:space="0" w:color="auto"/>
        <w:left w:val="none" w:sz="0" w:space="0" w:color="auto"/>
        <w:bottom w:val="none" w:sz="0" w:space="0" w:color="auto"/>
        <w:right w:val="none" w:sz="0" w:space="0" w:color="auto"/>
      </w:divBdr>
    </w:div>
    <w:div w:id="1485470905">
      <w:bodyDiv w:val="1"/>
      <w:marLeft w:val="0"/>
      <w:marRight w:val="0"/>
      <w:marTop w:val="0"/>
      <w:marBottom w:val="0"/>
      <w:divBdr>
        <w:top w:val="none" w:sz="0" w:space="0" w:color="auto"/>
        <w:left w:val="none" w:sz="0" w:space="0" w:color="auto"/>
        <w:bottom w:val="none" w:sz="0" w:space="0" w:color="auto"/>
        <w:right w:val="none" w:sz="0" w:space="0" w:color="auto"/>
      </w:divBdr>
    </w:div>
    <w:div w:id="1568031691">
      <w:bodyDiv w:val="1"/>
      <w:marLeft w:val="0"/>
      <w:marRight w:val="0"/>
      <w:marTop w:val="0"/>
      <w:marBottom w:val="0"/>
      <w:divBdr>
        <w:top w:val="none" w:sz="0" w:space="0" w:color="auto"/>
        <w:left w:val="none" w:sz="0" w:space="0" w:color="auto"/>
        <w:bottom w:val="none" w:sz="0" w:space="0" w:color="auto"/>
        <w:right w:val="none" w:sz="0" w:space="0" w:color="auto"/>
      </w:divBdr>
    </w:div>
    <w:div w:id="1584878397">
      <w:bodyDiv w:val="1"/>
      <w:marLeft w:val="0"/>
      <w:marRight w:val="0"/>
      <w:marTop w:val="0"/>
      <w:marBottom w:val="0"/>
      <w:divBdr>
        <w:top w:val="none" w:sz="0" w:space="0" w:color="auto"/>
        <w:left w:val="none" w:sz="0" w:space="0" w:color="auto"/>
        <w:bottom w:val="none" w:sz="0" w:space="0" w:color="auto"/>
        <w:right w:val="none" w:sz="0" w:space="0" w:color="auto"/>
      </w:divBdr>
    </w:div>
    <w:div w:id="1597903325">
      <w:bodyDiv w:val="1"/>
      <w:marLeft w:val="0"/>
      <w:marRight w:val="0"/>
      <w:marTop w:val="0"/>
      <w:marBottom w:val="0"/>
      <w:divBdr>
        <w:top w:val="none" w:sz="0" w:space="0" w:color="auto"/>
        <w:left w:val="none" w:sz="0" w:space="0" w:color="auto"/>
        <w:bottom w:val="none" w:sz="0" w:space="0" w:color="auto"/>
        <w:right w:val="none" w:sz="0" w:space="0" w:color="auto"/>
      </w:divBdr>
    </w:div>
    <w:div w:id="1632708973">
      <w:bodyDiv w:val="1"/>
      <w:marLeft w:val="0"/>
      <w:marRight w:val="0"/>
      <w:marTop w:val="0"/>
      <w:marBottom w:val="0"/>
      <w:divBdr>
        <w:top w:val="none" w:sz="0" w:space="0" w:color="auto"/>
        <w:left w:val="none" w:sz="0" w:space="0" w:color="auto"/>
        <w:bottom w:val="none" w:sz="0" w:space="0" w:color="auto"/>
        <w:right w:val="none" w:sz="0" w:space="0" w:color="auto"/>
      </w:divBdr>
    </w:div>
    <w:div w:id="1647931015">
      <w:bodyDiv w:val="1"/>
      <w:marLeft w:val="0"/>
      <w:marRight w:val="0"/>
      <w:marTop w:val="0"/>
      <w:marBottom w:val="0"/>
      <w:divBdr>
        <w:top w:val="none" w:sz="0" w:space="0" w:color="auto"/>
        <w:left w:val="none" w:sz="0" w:space="0" w:color="auto"/>
        <w:bottom w:val="none" w:sz="0" w:space="0" w:color="auto"/>
        <w:right w:val="none" w:sz="0" w:space="0" w:color="auto"/>
      </w:divBdr>
    </w:div>
    <w:div w:id="1654597437">
      <w:bodyDiv w:val="1"/>
      <w:marLeft w:val="0"/>
      <w:marRight w:val="0"/>
      <w:marTop w:val="0"/>
      <w:marBottom w:val="0"/>
      <w:divBdr>
        <w:top w:val="none" w:sz="0" w:space="0" w:color="auto"/>
        <w:left w:val="none" w:sz="0" w:space="0" w:color="auto"/>
        <w:bottom w:val="none" w:sz="0" w:space="0" w:color="auto"/>
        <w:right w:val="none" w:sz="0" w:space="0" w:color="auto"/>
      </w:divBdr>
    </w:div>
    <w:div w:id="1717658680">
      <w:bodyDiv w:val="1"/>
      <w:marLeft w:val="0"/>
      <w:marRight w:val="0"/>
      <w:marTop w:val="0"/>
      <w:marBottom w:val="0"/>
      <w:divBdr>
        <w:top w:val="none" w:sz="0" w:space="0" w:color="auto"/>
        <w:left w:val="none" w:sz="0" w:space="0" w:color="auto"/>
        <w:bottom w:val="none" w:sz="0" w:space="0" w:color="auto"/>
        <w:right w:val="none" w:sz="0" w:space="0" w:color="auto"/>
      </w:divBdr>
    </w:div>
    <w:div w:id="1762557074">
      <w:bodyDiv w:val="1"/>
      <w:marLeft w:val="0"/>
      <w:marRight w:val="0"/>
      <w:marTop w:val="0"/>
      <w:marBottom w:val="0"/>
      <w:divBdr>
        <w:top w:val="none" w:sz="0" w:space="0" w:color="auto"/>
        <w:left w:val="none" w:sz="0" w:space="0" w:color="auto"/>
        <w:bottom w:val="none" w:sz="0" w:space="0" w:color="auto"/>
        <w:right w:val="none" w:sz="0" w:space="0" w:color="auto"/>
      </w:divBdr>
    </w:div>
    <w:div w:id="1787501355">
      <w:bodyDiv w:val="1"/>
      <w:marLeft w:val="0"/>
      <w:marRight w:val="0"/>
      <w:marTop w:val="0"/>
      <w:marBottom w:val="0"/>
      <w:divBdr>
        <w:top w:val="none" w:sz="0" w:space="0" w:color="auto"/>
        <w:left w:val="none" w:sz="0" w:space="0" w:color="auto"/>
        <w:bottom w:val="none" w:sz="0" w:space="0" w:color="auto"/>
        <w:right w:val="none" w:sz="0" w:space="0" w:color="auto"/>
      </w:divBdr>
    </w:div>
    <w:div w:id="1818180806">
      <w:bodyDiv w:val="1"/>
      <w:marLeft w:val="0"/>
      <w:marRight w:val="0"/>
      <w:marTop w:val="0"/>
      <w:marBottom w:val="0"/>
      <w:divBdr>
        <w:top w:val="none" w:sz="0" w:space="0" w:color="auto"/>
        <w:left w:val="none" w:sz="0" w:space="0" w:color="auto"/>
        <w:bottom w:val="none" w:sz="0" w:space="0" w:color="auto"/>
        <w:right w:val="none" w:sz="0" w:space="0" w:color="auto"/>
      </w:divBdr>
    </w:div>
    <w:div w:id="1835560035">
      <w:bodyDiv w:val="1"/>
      <w:marLeft w:val="0"/>
      <w:marRight w:val="0"/>
      <w:marTop w:val="0"/>
      <w:marBottom w:val="0"/>
      <w:divBdr>
        <w:top w:val="none" w:sz="0" w:space="0" w:color="auto"/>
        <w:left w:val="none" w:sz="0" w:space="0" w:color="auto"/>
        <w:bottom w:val="none" w:sz="0" w:space="0" w:color="auto"/>
        <w:right w:val="none" w:sz="0" w:space="0" w:color="auto"/>
      </w:divBdr>
    </w:div>
    <w:div w:id="1895696481">
      <w:bodyDiv w:val="1"/>
      <w:marLeft w:val="0"/>
      <w:marRight w:val="0"/>
      <w:marTop w:val="0"/>
      <w:marBottom w:val="0"/>
      <w:divBdr>
        <w:top w:val="none" w:sz="0" w:space="0" w:color="auto"/>
        <w:left w:val="none" w:sz="0" w:space="0" w:color="auto"/>
        <w:bottom w:val="none" w:sz="0" w:space="0" w:color="auto"/>
        <w:right w:val="none" w:sz="0" w:space="0" w:color="auto"/>
      </w:divBdr>
    </w:div>
    <w:div w:id="1900944972">
      <w:bodyDiv w:val="1"/>
      <w:marLeft w:val="0"/>
      <w:marRight w:val="0"/>
      <w:marTop w:val="0"/>
      <w:marBottom w:val="0"/>
      <w:divBdr>
        <w:top w:val="none" w:sz="0" w:space="0" w:color="auto"/>
        <w:left w:val="none" w:sz="0" w:space="0" w:color="auto"/>
        <w:bottom w:val="none" w:sz="0" w:space="0" w:color="auto"/>
        <w:right w:val="none" w:sz="0" w:space="0" w:color="auto"/>
      </w:divBdr>
    </w:div>
    <w:div w:id="1912306708">
      <w:bodyDiv w:val="1"/>
      <w:marLeft w:val="0"/>
      <w:marRight w:val="0"/>
      <w:marTop w:val="0"/>
      <w:marBottom w:val="0"/>
      <w:divBdr>
        <w:top w:val="none" w:sz="0" w:space="0" w:color="auto"/>
        <w:left w:val="none" w:sz="0" w:space="0" w:color="auto"/>
        <w:bottom w:val="none" w:sz="0" w:space="0" w:color="auto"/>
        <w:right w:val="none" w:sz="0" w:space="0" w:color="auto"/>
      </w:divBdr>
    </w:div>
    <w:div w:id="1940672469">
      <w:bodyDiv w:val="1"/>
      <w:marLeft w:val="0"/>
      <w:marRight w:val="0"/>
      <w:marTop w:val="0"/>
      <w:marBottom w:val="0"/>
      <w:divBdr>
        <w:top w:val="none" w:sz="0" w:space="0" w:color="auto"/>
        <w:left w:val="none" w:sz="0" w:space="0" w:color="auto"/>
        <w:bottom w:val="none" w:sz="0" w:space="0" w:color="auto"/>
        <w:right w:val="none" w:sz="0" w:space="0" w:color="auto"/>
      </w:divBdr>
    </w:div>
    <w:div w:id="1961305039">
      <w:bodyDiv w:val="1"/>
      <w:marLeft w:val="0"/>
      <w:marRight w:val="0"/>
      <w:marTop w:val="0"/>
      <w:marBottom w:val="0"/>
      <w:divBdr>
        <w:top w:val="none" w:sz="0" w:space="0" w:color="auto"/>
        <w:left w:val="none" w:sz="0" w:space="0" w:color="auto"/>
        <w:bottom w:val="none" w:sz="0" w:space="0" w:color="auto"/>
        <w:right w:val="none" w:sz="0" w:space="0" w:color="auto"/>
      </w:divBdr>
    </w:div>
    <w:div w:id="1965698701">
      <w:bodyDiv w:val="1"/>
      <w:marLeft w:val="0"/>
      <w:marRight w:val="0"/>
      <w:marTop w:val="0"/>
      <w:marBottom w:val="0"/>
      <w:divBdr>
        <w:top w:val="none" w:sz="0" w:space="0" w:color="auto"/>
        <w:left w:val="none" w:sz="0" w:space="0" w:color="auto"/>
        <w:bottom w:val="none" w:sz="0" w:space="0" w:color="auto"/>
        <w:right w:val="none" w:sz="0" w:space="0" w:color="auto"/>
      </w:divBdr>
    </w:div>
    <w:div w:id="1986396587">
      <w:bodyDiv w:val="1"/>
      <w:marLeft w:val="0"/>
      <w:marRight w:val="0"/>
      <w:marTop w:val="0"/>
      <w:marBottom w:val="0"/>
      <w:divBdr>
        <w:top w:val="none" w:sz="0" w:space="0" w:color="auto"/>
        <w:left w:val="none" w:sz="0" w:space="0" w:color="auto"/>
        <w:bottom w:val="none" w:sz="0" w:space="0" w:color="auto"/>
        <w:right w:val="none" w:sz="0" w:space="0" w:color="auto"/>
      </w:divBdr>
    </w:div>
    <w:div w:id="1989556529">
      <w:bodyDiv w:val="1"/>
      <w:marLeft w:val="0"/>
      <w:marRight w:val="0"/>
      <w:marTop w:val="0"/>
      <w:marBottom w:val="0"/>
      <w:divBdr>
        <w:top w:val="none" w:sz="0" w:space="0" w:color="auto"/>
        <w:left w:val="none" w:sz="0" w:space="0" w:color="auto"/>
        <w:bottom w:val="none" w:sz="0" w:space="0" w:color="auto"/>
        <w:right w:val="none" w:sz="0" w:space="0" w:color="auto"/>
      </w:divBdr>
    </w:div>
    <w:div w:id="1989705557">
      <w:bodyDiv w:val="1"/>
      <w:marLeft w:val="0"/>
      <w:marRight w:val="0"/>
      <w:marTop w:val="0"/>
      <w:marBottom w:val="0"/>
      <w:divBdr>
        <w:top w:val="none" w:sz="0" w:space="0" w:color="auto"/>
        <w:left w:val="none" w:sz="0" w:space="0" w:color="auto"/>
        <w:bottom w:val="none" w:sz="0" w:space="0" w:color="auto"/>
        <w:right w:val="none" w:sz="0" w:space="0" w:color="auto"/>
      </w:divBdr>
    </w:div>
    <w:div w:id="2029868159">
      <w:bodyDiv w:val="1"/>
      <w:marLeft w:val="0"/>
      <w:marRight w:val="0"/>
      <w:marTop w:val="0"/>
      <w:marBottom w:val="0"/>
      <w:divBdr>
        <w:top w:val="none" w:sz="0" w:space="0" w:color="auto"/>
        <w:left w:val="none" w:sz="0" w:space="0" w:color="auto"/>
        <w:bottom w:val="none" w:sz="0" w:space="0" w:color="auto"/>
        <w:right w:val="none" w:sz="0" w:space="0" w:color="auto"/>
      </w:divBdr>
    </w:div>
    <w:div w:id="2048093397">
      <w:bodyDiv w:val="1"/>
      <w:marLeft w:val="0"/>
      <w:marRight w:val="0"/>
      <w:marTop w:val="0"/>
      <w:marBottom w:val="0"/>
      <w:divBdr>
        <w:top w:val="none" w:sz="0" w:space="0" w:color="auto"/>
        <w:left w:val="none" w:sz="0" w:space="0" w:color="auto"/>
        <w:bottom w:val="none" w:sz="0" w:space="0" w:color="auto"/>
        <w:right w:val="none" w:sz="0" w:space="0" w:color="auto"/>
      </w:divBdr>
    </w:div>
    <w:div w:id="2056616661">
      <w:bodyDiv w:val="1"/>
      <w:marLeft w:val="0"/>
      <w:marRight w:val="0"/>
      <w:marTop w:val="0"/>
      <w:marBottom w:val="0"/>
      <w:divBdr>
        <w:top w:val="none" w:sz="0" w:space="0" w:color="auto"/>
        <w:left w:val="none" w:sz="0" w:space="0" w:color="auto"/>
        <w:bottom w:val="none" w:sz="0" w:space="0" w:color="auto"/>
        <w:right w:val="none" w:sz="0" w:space="0" w:color="auto"/>
      </w:divBdr>
    </w:div>
    <w:div w:id="2094473134">
      <w:bodyDiv w:val="1"/>
      <w:marLeft w:val="0"/>
      <w:marRight w:val="0"/>
      <w:marTop w:val="0"/>
      <w:marBottom w:val="0"/>
      <w:divBdr>
        <w:top w:val="none" w:sz="0" w:space="0" w:color="auto"/>
        <w:left w:val="none" w:sz="0" w:space="0" w:color="auto"/>
        <w:bottom w:val="none" w:sz="0" w:space="0" w:color="auto"/>
        <w:right w:val="none" w:sz="0" w:space="0" w:color="auto"/>
      </w:divBdr>
    </w:div>
    <w:div w:id="2117091072">
      <w:bodyDiv w:val="1"/>
      <w:marLeft w:val="0"/>
      <w:marRight w:val="0"/>
      <w:marTop w:val="0"/>
      <w:marBottom w:val="0"/>
      <w:divBdr>
        <w:top w:val="none" w:sz="0" w:space="0" w:color="auto"/>
        <w:left w:val="none" w:sz="0" w:space="0" w:color="auto"/>
        <w:bottom w:val="none" w:sz="0" w:space="0" w:color="auto"/>
        <w:right w:val="none" w:sz="0" w:space="0" w:color="auto"/>
      </w:divBdr>
    </w:div>
    <w:div w:id="212823399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CA43ED-8F53-4493-B367-6156967BB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4132</Characters>
  <Application>Microsoft Office Word</Application>
  <DocSecurity>4</DocSecurity>
  <PresentationFormat/>
  <Lines>34</Lines>
  <Paragraphs>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清算审计报告</vt:lpstr>
    </vt:vector>
  </TitlesOfParts>
  <Company>Ernst &amp; Young</Company>
  <LinksUpToDate>false</LinksUpToDate>
  <CharactersWithSpaces>4847</CharactersWithSpaces>
  <SharedDoc>false</SharedDoc>
  <HLinks>
    <vt:vector size="36" baseType="variant">
      <vt:variant>
        <vt:i4>1114174</vt:i4>
      </vt:variant>
      <vt:variant>
        <vt:i4>32</vt:i4>
      </vt:variant>
      <vt:variant>
        <vt:i4>0</vt:i4>
      </vt:variant>
      <vt:variant>
        <vt:i4>5</vt:i4>
      </vt:variant>
      <vt:variant>
        <vt:lpwstr/>
      </vt:variant>
      <vt:variant>
        <vt:lpwstr>_Toc447194472</vt:lpwstr>
      </vt:variant>
      <vt:variant>
        <vt:i4>1114174</vt:i4>
      </vt:variant>
      <vt:variant>
        <vt:i4>26</vt:i4>
      </vt:variant>
      <vt:variant>
        <vt:i4>0</vt:i4>
      </vt:variant>
      <vt:variant>
        <vt:i4>5</vt:i4>
      </vt:variant>
      <vt:variant>
        <vt:lpwstr/>
      </vt:variant>
      <vt:variant>
        <vt:lpwstr>_Toc447194471</vt:lpwstr>
      </vt:variant>
      <vt:variant>
        <vt:i4>1114174</vt:i4>
      </vt:variant>
      <vt:variant>
        <vt:i4>20</vt:i4>
      </vt:variant>
      <vt:variant>
        <vt:i4>0</vt:i4>
      </vt:variant>
      <vt:variant>
        <vt:i4>5</vt:i4>
      </vt:variant>
      <vt:variant>
        <vt:lpwstr/>
      </vt:variant>
      <vt:variant>
        <vt:lpwstr>_Toc447194470</vt:lpwstr>
      </vt:variant>
      <vt:variant>
        <vt:i4>1048638</vt:i4>
      </vt:variant>
      <vt:variant>
        <vt:i4>14</vt:i4>
      </vt:variant>
      <vt:variant>
        <vt:i4>0</vt:i4>
      </vt:variant>
      <vt:variant>
        <vt:i4>5</vt:i4>
      </vt:variant>
      <vt:variant>
        <vt:lpwstr/>
      </vt:variant>
      <vt:variant>
        <vt:lpwstr>_Toc447194469</vt:lpwstr>
      </vt:variant>
      <vt:variant>
        <vt:i4>1048638</vt:i4>
      </vt:variant>
      <vt:variant>
        <vt:i4>8</vt:i4>
      </vt:variant>
      <vt:variant>
        <vt:i4>0</vt:i4>
      </vt:variant>
      <vt:variant>
        <vt:i4>5</vt:i4>
      </vt:variant>
      <vt:variant>
        <vt:lpwstr/>
      </vt:variant>
      <vt:variant>
        <vt:lpwstr>_Toc447194468</vt:lpwstr>
      </vt:variant>
      <vt:variant>
        <vt:i4>1048638</vt:i4>
      </vt:variant>
      <vt:variant>
        <vt:i4>2</vt:i4>
      </vt:variant>
      <vt:variant>
        <vt:i4>0</vt:i4>
      </vt:variant>
      <vt:variant>
        <vt:i4>5</vt:i4>
      </vt:variant>
      <vt:variant>
        <vt:lpwstr/>
      </vt:variant>
      <vt:variant>
        <vt:lpwstr>_Toc447194467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2025-01-10T02:59:00Z</cp:lastPrinted>
  <dcterms:created xsi:type="dcterms:W3CDTF">2025-01-15T16:02:00Z</dcterms:created>
  <dcterms:modified xsi:type="dcterms:W3CDTF">2025-01-15T16:02:00Z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