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61" w:rsidRPr="009E4E45" w:rsidRDefault="00CA7004" w:rsidP="00DE6D61">
      <w:pPr>
        <w:spacing w:line="360" w:lineRule="auto"/>
        <w:jc w:val="center"/>
        <w:rPr>
          <w:rFonts w:ascii="宋体" w:eastAsia="宋体" w:hAnsi="宋体" w:cs="Times New Roman"/>
          <w:b/>
          <w:color w:val="000000"/>
          <w:sz w:val="24"/>
          <w:szCs w:val="24"/>
        </w:rPr>
      </w:pPr>
      <w:r>
        <w:rPr>
          <w:rFonts w:ascii="宋体" w:eastAsia="宋体" w:hAnsi="宋体" w:cs="Times New Roman"/>
          <w:b/>
          <w:color w:val="000000"/>
          <w:sz w:val="24"/>
          <w:szCs w:val="24"/>
        </w:rPr>
        <w:t>关于旗下部分基金</w:t>
      </w:r>
      <w:r>
        <w:rPr>
          <w:rFonts w:ascii="宋体" w:eastAsia="宋体" w:hAnsi="宋体" w:cs="Times New Roman"/>
          <w:b/>
          <w:color w:val="000000"/>
          <w:sz w:val="24"/>
          <w:szCs w:val="24"/>
        </w:rPr>
        <w:t>2025</w:t>
      </w:r>
      <w:r>
        <w:rPr>
          <w:rFonts w:ascii="宋体" w:eastAsia="宋体" w:hAnsi="宋体" w:cs="Times New Roman"/>
          <w:b/>
          <w:color w:val="000000"/>
          <w:sz w:val="24"/>
          <w:szCs w:val="24"/>
        </w:rPr>
        <w:t>年</w:t>
      </w:r>
      <w:r>
        <w:rPr>
          <w:rFonts w:ascii="宋体" w:eastAsia="宋体" w:hAnsi="宋体" w:cs="Times New Roman"/>
          <w:b/>
          <w:color w:val="000000"/>
          <w:sz w:val="24"/>
          <w:szCs w:val="24"/>
        </w:rPr>
        <w:t>1</w:t>
      </w:r>
      <w:r>
        <w:rPr>
          <w:rFonts w:ascii="宋体" w:eastAsia="宋体" w:hAnsi="宋体" w:cs="Times New Roman"/>
          <w:b/>
          <w:color w:val="000000"/>
          <w:sz w:val="24"/>
          <w:szCs w:val="24"/>
        </w:rPr>
        <w:t>月</w:t>
      </w:r>
      <w:r>
        <w:rPr>
          <w:rFonts w:ascii="宋体" w:eastAsia="宋体" w:hAnsi="宋体" w:cs="Times New Roman"/>
          <w:b/>
          <w:color w:val="000000"/>
          <w:sz w:val="24"/>
          <w:szCs w:val="24"/>
        </w:rPr>
        <w:t>20</w:t>
      </w:r>
      <w:r>
        <w:rPr>
          <w:rFonts w:ascii="宋体" w:eastAsia="宋体" w:hAnsi="宋体" w:cs="Times New Roman"/>
          <w:b/>
          <w:color w:val="000000"/>
          <w:sz w:val="24"/>
          <w:szCs w:val="24"/>
        </w:rPr>
        <w:t>日因境外主要投资市场节假日暂停申购、赎回、转换、定期定额投资业务的提示性公告</w:t>
      </w:r>
    </w:p>
    <w:p w:rsidR="000F535A" w:rsidRPr="009E4E45" w:rsidRDefault="00CA7004" w:rsidP="000F535A">
      <w:pPr>
        <w:spacing w:line="360" w:lineRule="auto"/>
        <w:ind w:firstLineChars="200" w:firstLine="480"/>
        <w:rPr>
          <w:rFonts w:ascii="宋体" w:eastAsia="宋体" w:hAnsi="宋体" w:cs="Times New Roman"/>
          <w:b/>
          <w:color w:val="000000"/>
          <w:sz w:val="24"/>
          <w:szCs w:val="24"/>
        </w:rPr>
      </w:pPr>
      <w:r w:rsidRPr="000F535A">
        <w:rPr>
          <w:rFonts w:ascii="宋体" w:eastAsia="宋体" w:hAnsi="宋体" w:cs="Times New Roman"/>
          <w:color w:val="000000" w:themeColor="text1"/>
          <w:sz w:val="24"/>
          <w:szCs w:val="24"/>
        </w:rPr>
        <w:t>为保护基金份额持有人的利益，保障基金平稳运作，根据各基金合同等法律文件相关规定及境外主要投资市场节假日安排，易方达基金管理有限公司（以下简称</w:t>
      </w:r>
      <w:r w:rsidRPr="000F535A">
        <w:rPr>
          <w:rFonts w:ascii="宋体" w:eastAsia="宋体" w:hAnsi="宋体" w:cs="Times New Roman"/>
          <w:color w:val="000000" w:themeColor="text1"/>
          <w:sz w:val="24"/>
          <w:szCs w:val="24"/>
        </w:rPr>
        <w:t>“</w:t>
      </w:r>
      <w:r w:rsidRPr="000F535A">
        <w:rPr>
          <w:rFonts w:ascii="宋体" w:eastAsia="宋体" w:hAnsi="宋体" w:cs="Times New Roman"/>
          <w:color w:val="000000" w:themeColor="text1"/>
          <w:sz w:val="24"/>
          <w:szCs w:val="24"/>
        </w:rPr>
        <w:t>本公司</w:t>
      </w:r>
      <w:r w:rsidRPr="000F535A">
        <w:rPr>
          <w:rFonts w:ascii="宋体" w:eastAsia="宋体" w:hAnsi="宋体" w:cs="Times New Roman"/>
          <w:color w:val="000000" w:themeColor="text1"/>
          <w:sz w:val="24"/>
          <w:szCs w:val="24"/>
        </w:rPr>
        <w:t>”</w:t>
      </w:r>
      <w:r w:rsidRPr="000F535A">
        <w:rPr>
          <w:rFonts w:ascii="宋体" w:eastAsia="宋体" w:hAnsi="宋体" w:cs="Times New Roman"/>
          <w:color w:val="000000" w:themeColor="text1"/>
          <w:sz w:val="24"/>
          <w:szCs w:val="24"/>
        </w:rPr>
        <w:t>）旗下部分基金因</w:t>
      </w:r>
      <w:r w:rsidRPr="000F535A">
        <w:rPr>
          <w:rFonts w:ascii="宋体" w:eastAsia="宋体" w:hAnsi="宋体" w:cs="Times New Roman"/>
          <w:color w:val="000000" w:themeColor="text1"/>
          <w:sz w:val="24"/>
          <w:szCs w:val="24"/>
        </w:rPr>
        <w:t>2025</w:t>
      </w:r>
      <w:r w:rsidRPr="000F535A">
        <w:rPr>
          <w:rFonts w:ascii="宋体" w:eastAsia="宋体" w:hAnsi="宋体" w:cs="Times New Roman"/>
          <w:color w:val="000000" w:themeColor="text1"/>
          <w:sz w:val="24"/>
          <w:szCs w:val="24"/>
        </w:rPr>
        <w:t>年</w:t>
      </w:r>
      <w:r w:rsidRPr="000F535A">
        <w:rPr>
          <w:rFonts w:ascii="宋体" w:eastAsia="宋体" w:hAnsi="宋体" w:cs="Times New Roman"/>
          <w:color w:val="000000" w:themeColor="text1"/>
          <w:sz w:val="24"/>
          <w:szCs w:val="24"/>
        </w:rPr>
        <w:t>1</w:t>
      </w:r>
      <w:r w:rsidRPr="000F535A">
        <w:rPr>
          <w:rFonts w:ascii="宋体" w:eastAsia="宋体" w:hAnsi="宋体" w:cs="Times New Roman"/>
          <w:color w:val="000000" w:themeColor="text1"/>
          <w:sz w:val="24"/>
          <w:szCs w:val="24"/>
        </w:rPr>
        <w:t>月</w:t>
      </w:r>
      <w:r w:rsidRPr="000F535A">
        <w:rPr>
          <w:rFonts w:ascii="宋体" w:eastAsia="宋体" w:hAnsi="宋体" w:cs="Times New Roman"/>
          <w:color w:val="000000" w:themeColor="text1"/>
          <w:sz w:val="24"/>
          <w:szCs w:val="24"/>
        </w:rPr>
        <w:t>20</w:t>
      </w:r>
      <w:r w:rsidRPr="000F535A">
        <w:rPr>
          <w:rFonts w:ascii="宋体" w:eastAsia="宋体" w:hAnsi="宋体" w:cs="Times New Roman"/>
          <w:color w:val="000000" w:themeColor="text1"/>
          <w:sz w:val="24"/>
          <w:szCs w:val="24"/>
        </w:rPr>
        <w:t>日为境外主要投资市场节假日将暂停申购、赎回、转换、定期定额投资业务，并于</w:t>
      </w:r>
      <w:r w:rsidRPr="000F535A">
        <w:rPr>
          <w:rFonts w:ascii="宋体" w:eastAsia="宋体" w:hAnsi="宋体" w:cs="Times New Roman"/>
          <w:color w:val="000000" w:themeColor="text1"/>
          <w:sz w:val="24"/>
          <w:szCs w:val="24"/>
        </w:rPr>
        <w:t>2025</w:t>
      </w:r>
      <w:r w:rsidRPr="000F535A">
        <w:rPr>
          <w:rFonts w:ascii="宋体" w:eastAsia="宋体" w:hAnsi="宋体" w:cs="Times New Roman"/>
          <w:color w:val="000000" w:themeColor="text1"/>
          <w:sz w:val="24"/>
          <w:szCs w:val="24"/>
        </w:rPr>
        <w:t>年</w:t>
      </w:r>
      <w:r w:rsidRPr="000F535A">
        <w:rPr>
          <w:rFonts w:ascii="宋体" w:eastAsia="宋体" w:hAnsi="宋体" w:cs="Times New Roman"/>
          <w:color w:val="000000" w:themeColor="text1"/>
          <w:sz w:val="24"/>
          <w:szCs w:val="24"/>
        </w:rPr>
        <w:t>1</w:t>
      </w:r>
      <w:r w:rsidRPr="000F535A">
        <w:rPr>
          <w:rFonts w:ascii="宋体" w:eastAsia="宋体" w:hAnsi="宋体" w:cs="Times New Roman"/>
          <w:color w:val="000000" w:themeColor="text1"/>
          <w:sz w:val="24"/>
          <w:szCs w:val="24"/>
        </w:rPr>
        <w:t>月</w:t>
      </w:r>
      <w:r w:rsidRPr="000F535A">
        <w:rPr>
          <w:rFonts w:ascii="宋体" w:eastAsia="宋体" w:hAnsi="宋体" w:cs="Times New Roman"/>
          <w:color w:val="000000" w:themeColor="text1"/>
          <w:sz w:val="24"/>
          <w:szCs w:val="24"/>
        </w:rPr>
        <w:t>21</w:t>
      </w:r>
      <w:r w:rsidRPr="000F535A">
        <w:rPr>
          <w:rFonts w:ascii="宋体" w:eastAsia="宋体" w:hAnsi="宋体" w:cs="Times New Roman"/>
          <w:color w:val="000000" w:themeColor="text1"/>
          <w:sz w:val="24"/>
          <w:szCs w:val="24"/>
        </w:rPr>
        <w:t>日恢复办理上述业务，适用基金列表详见附件。</w:t>
      </w:r>
    </w:p>
    <w:p w:rsidR="00DE6D61" w:rsidRPr="0096433F" w:rsidRDefault="00CA7004" w:rsidP="00DE6D61">
      <w:pPr>
        <w:spacing w:line="360" w:lineRule="auto"/>
        <w:ind w:firstLineChars="200" w:firstLine="480"/>
        <w:rPr>
          <w:rFonts w:ascii="宋体" w:eastAsia="宋体" w:hAnsi="宋体" w:cs="Times New Roman"/>
          <w:b/>
          <w:color w:val="000000"/>
          <w:sz w:val="24"/>
          <w:szCs w:val="24"/>
        </w:rPr>
      </w:pPr>
      <w:r w:rsidRPr="009E4E45">
        <w:rPr>
          <w:rFonts w:ascii="宋体" w:eastAsia="宋体" w:hAnsi="宋体" w:cs="Times New Roman" w:hint="eastAsia"/>
          <w:color w:val="000000"/>
          <w:sz w:val="24"/>
          <w:szCs w:val="24"/>
        </w:rPr>
        <w:t>特别提示：</w:t>
      </w:r>
    </w:p>
    <w:p w:rsidR="00DE6D61" w:rsidRPr="009E4E45" w:rsidRDefault="00CA7004"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1</w:t>
      </w:r>
      <w:r>
        <w:rPr>
          <w:rFonts w:ascii="宋体" w:eastAsia="宋体" w:hAnsi="宋体" w:cs="Times New Roman"/>
          <w:color w:val="000000"/>
          <w:sz w:val="24"/>
          <w:szCs w:val="24"/>
        </w:rPr>
        <w:t>．各基金是否已开放申购、赎回、转换与定期定额投资业务，详见本公司发布的相关公告。</w:t>
      </w:r>
    </w:p>
    <w:p w:rsidR="00DE6D61" w:rsidRDefault="00CA7004" w:rsidP="00CA7004">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b/>
          <w:color w:val="000000"/>
          <w:sz w:val="24"/>
          <w:szCs w:val="24"/>
        </w:rPr>
        <w:t>2</w:t>
      </w:r>
      <w:r>
        <w:rPr>
          <w:rFonts w:ascii="宋体" w:eastAsia="宋体" w:hAnsi="宋体" w:cs="Times New Roman"/>
          <w:b/>
          <w:color w:val="000000"/>
          <w:sz w:val="24"/>
          <w:szCs w:val="24"/>
        </w:rPr>
        <w:t>．本公告主要为基金因境外主要投资市场节假日暂停及后续恢复相关业务的提示，各基金如因其他原因已暂停申购、赎回、转换、定期定额投资、大额申购、大额转换转入业务或有其他交易状态限制的，本次恢复后仍受相关交易状态限制，具体业务办理以相关公告为准。</w:t>
      </w:r>
    </w:p>
    <w:p w:rsidR="00DE6D61" w:rsidRDefault="00CA7004"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w:t>
      </w:r>
      <w:r>
        <w:rPr>
          <w:rFonts w:ascii="宋体" w:eastAsia="宋体" w:hAnsi="宋体" w:cs="Times New Roman"/>
          <w:color w:val="000000"/>
          <w:sz w:val="24"/>
          <w:szCs w:val="24"/>
        </w:rPr>
        <w:t>．若境外主要投资市场节假日安排发生变化，本公司将进行相应调整并公告。</w:t>
      </w:r>
    </w:p>
    <w:p w:rsidR="00DE6D61" w:rsidRDefault="00CA7004"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投资者可登录本公司网站（</w:t>
      </w:r>
      <w:r>
        <w:rPr>
          <w:rFonts w:ascii="宋体" w:eastAsia="宋体" w:hAnsi="宋体" w:cs="Times New Roman"/>
          <w:color w:val="000000"/>
          <w:sz w:val="24"/>
          <w:szCs w:val="24"/>
        </w:rPr>
        <w:t>www.efunds.com.cn</w:t>
      </w:r>
      <w:r>
        <w:rPr>
          <w:rFonts w:ascii="宋体" w:eastAsia="宋体" w:hAnsi="宋体" w:cs="Times New Roman"/>
          <w:color w:val="000000"/>
          <w:sz w:val="24"/>
          <w:szCs w:val="24"/>
        </w:rPr>
        <w:t>）或拨打本公司客户服务电话（</w:t>
      </w:r>
      <w:r>
        <w:rPr>
          <w:rFonts w:ascii="宋体" w:eastAsia="宋体" w:hAnsi="宋体" w:cs="Times New Roman"/>
          <w:color w:val="000000"/>
          <w:sz w:val="24"/>
          <w:szCs w:val="24"/>
        </w:rPr>
        <w:t>400 881 8088</w:t>
      </w:r>
      <w:r>
        <w:rPr>
          <w:rFonts w:ascii="宋体" w:eastAsia="宋体" w:hAnsi="宋体" w:cs="Times New Roman"/>
          <w:color w:val="000000"/>
          <w:sz w:val="24"/>
          <w:szCs w:val="24"/>
        </w:rPr>
        <w:t>）获</w:t>
      </w:r>
      <w:r>
        <w:rPr>
          <w:rFonts w:ascii="宋体" w:eastAsia="宋体" w:hAnsi="宋体" w:cs="Times New Roman"/>
          <w:color w:val="000000"/>
          <w:sz w:val="24"/>
          <w:szCs w:val="24"/>
        </w:rPr>
        <w:t>取相关信息。</w:t>
      </w:r>
    </w:p>
    <w:p w:rsidR="00DE6D61" w:rsidRDefault="00CA7004"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特此公告。</w:t>
      </w:r>
    </w:p>
    <w:p w:rsidR="00DE6D61" w:rsidRDefault="00DE6D61" w:rsidP="00DE6D61">
      <w:pPr>
        <w:spacing w:line="360" w:lineRule="auto"/>
        <w:ind w:firstLineChars="200" w:firstLine="480"/>
        <w:rPr>
          <w:rFonts w:ascii="宋体" w:eastAsia="宋体" w:hAnsi="宋体" w:cs="Times New Roman"/>
          <w:color w:val="000000"/>
          <w:sz w:val="24"/>
          <w:szCs w:val="24"/>
        </w:rPr>
      </w:pPr>
    </w:p>
    <w:p w:rsidR="00DE6D61" w:rsidRDefault="00CA7004" w:rsidP="00DE6D61">
      <w:pPr>
        <w:spacing w:line="360" w:lineRule="auto"/>
        <w:ind w:firstLineChars="200" w:firstLine="480"/>
        <w:rPr>
          <w:rFonts w:ascii="宋体" w:eastAsia="宋体" w:hAnsi="宋体" w:cs="Times New Roman"/>
          <w:color w:val="000000"/>
          <w:sz w:val="24"/>
          <w:szCs w:val="24"/>
        </w:rPr>
      </w:pPr>
      <w:r w:rsidRPr="003F164B">
        <w:rPr>
          <w:rFonts w:ascii="宋体" w:eastAsia="宋体" w:hAnsi="宋体" w:cs="Times New Roman" w:hint="eastAsia"/>
          <w:color w:val="000000"/>
          <w:sz w:val="24"/>
          <w:szCs w:val="24"/>
        </w:rPr>
        <w:t>附件：适用基金列表</w:t>
      </w:r>
    </w:p>
    <w:p w:rsidR="00DE6D61" w:rsidRPr="006F6371" w:rsidRDefault="00CA7004" w:rsidP="00DE6D61">
      <w:pPr>
        <w:spacing w:line="360" w:lineRule="auto"/>
        <w:ind w:firstLineChars="200" w:firstLine="480"/>
        <w:jc w:val="right"/>
        <w:rPr>
          <w:rFonts w:ascii="宋体" w:eastAsia="宋体" w:hAnsi="宋体" w:cs="Times New Roman"/>
          <w:color w:val="000000"/>
          <w:sz w:val="24"/>
          <w:szCs w:val="24"/>
        </w:rPr>
      </w:pPr>
      <w:r w:rsidRPr="006F6371">
        <w:rPr>
          <w:rFonts w:ascii="宋体" w:eastAsia="宋体" w:hAnsi="宋体" w:cs="Times New Roman" w:hint="eastAsia"/>
          <w:color w:val="000000"/>
          <w:sz w:val="24"/>
          <w:szCs w:val="24"/>
        </w:rPr>
        <w:t>易方达基金管理有限公司</w:t>
      </w:r>
    </w:p>
    <w:p w:rsidR="00DE6D61" w:rsidRDefault="00CA7004" w:rsidP="00DE6D61">
      <w:pPr>
        <w:spacing w:line="360" w:lineRule="auto"/>
        <w:ind w:firstLineChars="200" w:firstLine="480"/>
        <w:jc w:val="right"/>
        <w:rPr>
          <w:rFonts w:ascii="宋体" w:eastAsia="宋体" w:hAnsi="宋体" w:cs="Times New Roman"/>
          <w:color w:val="000000"/>
          <w:sz w:val="24"/>
          <w:szCs w:val="24"/>
        </w:rPr>
      </w:pPr>
      <w:r>
        <w:rPr>
          <w:rFonts w:ascii="宋体" w:eastAsia="宋体" w:hAnsi="宋体" w:cs="Times New Roman"/>
          <w:color w:val="000000"/>
          <w:sz w:val="24"/>
          <w:szCs w:val="24"/>
        </w:rPr>
        <w:t>2025</w:t>
      </w:r>
      <w:r>
        <w:rPr>
          <w:rFonts w:ascii="宋体" w:eastAsia="宋体" w:hAnsi="宋体" w:cs="Times New Roman"/>
          <w:color w:val="000000"/>
          <w:sz w:val="24"/>
          <w:szCs w:val="24"/>
        </w:rPr>
        <w:t>年</w:t>
      </w:r>
      <w:r>
        <w:rPr>
          <w:rFonts w:ascii="宋体" w:eastAsia="宋体" w:hAnsi="宋体" w:cs="Times New Roman"/>
          <w:color w:val="000000"/>
          <w:sz w:val="24"/>
          <w:szCs w:val="24"/>
        </w:rPr>
        <w:t>1</w:t>
      </w:r>
      <w:r>
        <w:rPr>
          <w:rFonts w:ascii="宋体" w:eastAsia="宋体" w:hAnsi="宋体" w:cs="Times New Roman"/>
          <w:color w:val="000000"/>
          <w:sz w:val="24"/>
          <w:szCs w:val="24"/>
        </w:rPr>
        <w:t>月</w:t>
      </w:r>
      <w:r>
        <w:rPr>
          <w:rFonts w:ascii="宋体" w:eastAsia="宋体" w:hAnsi="宋体" w:cs="Times New Roman"/>
          <w:color w:val="000000"/>
          <w:sz w:val="24"/>
          <w:szCs w:val="24"/>
        </w:rPr>
        <w:t>15</w:t>
      </w:r>
      <w:r>
        <w:rPr>
          <w:rFonts w:ascii="宋体" w:eastAsia="宋体" w:hAnsi="宋体" w:cs="Times New Roman"/>
          <w:color w:val="000000"/>
          <w:sz w:val="24"/>
          <w:szCs w:val="24"/>
        </w:rPr>
        <w:t>日</w:t>
      </w:r>
    </w:p>
    <w:p w:rsidR="00DE6D61" w:rsidRDefault="00DE6D61">
      <w:pPr>
        <w:widowControl/>
        <w:jc w:val="left"/>
        <w:sectPr w:rsidR="00DE6D61" w:rsidSect="00DE6D61">
          <w:pgSz w:w="11906" w:h="16838"/>
          <w:pgMar w:top="1440" w:right="1800" w:bottom="1440" w:left="1800" w:header="851" w:footer="992" w:gutter="0"/>
          <w:cols w:space="425"/>
          <w:docGrid w:type="lines" w:linePitch="312"/>
        </w:sectPr>
      </w:pPr>
    </w:p>
    <w:p w:rsidR="00DE6D61" w:rsidRDefault="00DE6D61">
      <w:pPr>
        <w:widowControl/>
        <w:jc w:val="left"/>
      </w:pPr>
    </w:p>
    <w:p w:rsidR="00E16F08" w:rsidRDefault="00CA7004" w:rsidP="00E16F08">
      <w:pPr>
        <w:spacing w:line="360" w:lineRule="auto"/>
        <w:rPr>
          <w:rFonts w:ascii="宋体" w:eastAsia="宋体" w:hAnsi="宋体" w:cs="Times New Roman"/>
          <w:b/>
          <w:color w:val="000000"/>
          <w:sz w:val="24"/>
          <w:szCs w:val="24"/>
        </w:rPr>
      </w:pPr>
      <w:r w:rsidRPr="00645CF3">
        <w:rPr>
          <w:rFonts w:ascii="宋体" w:eastAsia="宋体" w:hAnsi="宋体" w:cs="Times New Roman" w:hint="eastAsia"/>
          <w:b/>
          <w:color w:val="000000"/>
          <w:sz w:val="24"/>
          <w:szCs w:val="24"/>
        </w:rPr>
        <w:t>附件：适用基金列表</w:t>
      </w:r>
    </w:p>
    <w:p w:rsidR="00E16F08" w:rsidRPr="00645CF3" w:rsidRDefault="00E16F08" w:rsidP="00E16F08">
      <w:pPr>
        <w:spacing w:line="360" w:lineRule="auto"/>
        <w:rPr>
          <w:rFonts w:ascii="宋体" w:eastAsia="宋体" w:hAnsi="宋体" w:cs="Times New Roman"/>
          <w:b/>
          <w:color w:val="000000"/>
          <w:sz w:val="24"/>
          <w:szCs w:val="24"/>
        </w:rPr>
      </w:pPr>
    </w:p>
    <w:tbl>
      <w:tblPr>
        <w:tblStyle w:val="a5"/>
        <w:tblW w:w="0" w:type="auto"/>
        <w:tblLayout w:type="fixed"/>
        <w:tblLook w:val="04A0"/>
      </w:tblPr>
      <w:tblGrid>
        <w:gridCol w:w="1838"/>
        <w:gridCol w:w="6540"/>
        <w:gridCol w:w="1847"/>
        <w:gridCol w:w="3723"/>
      </w:tblGrid>
      <w:tr w:rsidR="00FF5862" w:rsidTr="00E16F08">
        <w:tc>
          <w:tcPr>
            <w:tcW w:w="1838" w:type="dxa"/>
            <w:vAlign w:val="center"/>
          </w:tcPr>
          <w:p w:rsidR="00E16F08" w:rsidRPr="003F164B" w:rsidRDefault="00CA7004"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基金代码</w:t>
            </w:r>
          </w:p>
        </w:tc>
        <w:tc>
          <w:tcPr>
            <w:tcW w:w="6540" w:type="dxa"/>
            <w:vAlign w:val="center"/>
          </w:tcPr>
          <w:p w:rsidR="00E16F08" w:rsidRPr="003F164B" w:rsidRDefault="00CA7004"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基金名称</w:t>
            </w:r>
          </w:p>
        </w:tc>
        <w:tc>
          <w:tcPr>
            <w:tcW w:w="1847" w:type="dxa"/>
            <w:vAlign w:val="center"/>
          </w:tcPr>
          <w:p w:rsidR="00E16F08" w:rsidRPr="003F164B" w:rsidRDefault="00CA7004"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场内简称</w:t>
            </w:r>
          </w:p>
        </w:tc>
        <w:tc>
          <w:tcPr>
            <w:tcW w:w="3723" w:type="dxa"/>
            <w:vAlign w:val="center"/>
          </w:tcPr>
          <w:p w:rsidR="00E16F08" w:rsidRPr="003F164B" w:rsidRDefault="00CA7004"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暂停原因</w:t>
            </w:r>
          </w:p>
        </w:tc>
      </w:tr>
      <w:tr w:rsidR="00FF5862" w:rsidTr="00E16F08">
        <w:tc>
          <w:tcPr>
            <w:tcW w:w="1838" w:type="dxa"/>
            <w:vAlign w:val="center"/>
          </w:tcPr>
          <w:p w:rsidR="00E16F08" w:rsidRDefault="00CA7004" w:rsidP="00E46BAC">
            <w:pPr>
              <w:jc w:val="center"/>
            </w:pPr>
            <w:r>
              <w:rPr>
                <w:rFonts w:hint="eastAsia"/>
              </w:rPr>
              <w:t>159696</w:t>
            </w:r>
          </w:p>
        </w:tc>
        <w:tc>
          <w:tcPr>
            <w:tcW w:w="6540" w:type="dxa"/>
            <w:vAlign w:val="center"/>
          </w:tcPr>
          <w:p w:rsidR="00E16F08" w:rsidRDefault="00CA7004" w:rsidP="00E46BAC">
            <w:pPr>
              <w:jc w:val="center"/>
            </w:pPr>
            <w:r>
              <w:rPr>
                <w:rFonts w:hint="eastAsia"/>
              </w:rPr>
              <w:t>易方达纳斯达克</w:t>
            </w:r>
            <w:r>
              <w:rPr>
                <w:rFonts w:hint="eastAsia"/>
              </w:rPr>
              <w:t>100</w:t>
            </w:r>
            <w:r>
              <w:rPr>
                <w:rFonts w:hint="eastAsia"/>
              </w:rPr>
              <w:t>交易型开放式指数证券投资基金（</w:t>
            </w:r>
            <w:r>
              <w:rPr>
                <w:rFonts w:hint="eastAsia"/>
              </w:rPr>
              <w:t>QDII</w:t>
            </w:r>
            <w:r>
              <w:rPr>
                <w:rFonts w:hint="eastAsia"/>
              </w:rPr>
              <w:t>）</w:t>
            </w:r>
          </w:p>
        </w:tc>
        <w:tc>
          <w:tcPr>
            <w:tcW w:w="1847" w:type="dxa"/>
            <w:vAlign w:val="center"/>
          </w:tcPr>
          <w:p w:rsidR="00E16F08" w:rsidRDefault="00CA7004" w:rsidP="00E46BAC">
            <w:pPr>
              <w:jc w:val="center"/>
            </w:pPr>
            <w:r>
              <w:rPr>
                <w:rFonts w:hint="eastAsia"/>
              </w:rPr>
              <w:t>纳指</w:t>
            </w:r>
            <w:r>
              <w:rPr>
                <w:rFonts w:hint="eastAsia"/>
              </w:rPr>
              <w:t>ETF</w:t>
            </w:r>
            <w:r>
              <w:rPr>
                <w:rFonts w:hint="eastAsia"/>
              </w:rPr>
              <w:t>易方达</w:t>
            </w:r>
          </w:p>
        </w:tc>
        <w:tc>
          <w:tcPr>
            <w:tcW w:w="3723" w:type="dxa"/>
            <w:vMerge w:val="restart"/>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日为纳斯达克证券交易所非交易日</w:t>
            </w:r>
          </w:p>
        </w:tc>
      </w:tr>
      <w:tr w:rsidR="00FF5862" w:rsidTr="00E16F08">
        <w:tc>
          <w:tcPr>
            <w:tcW w:w="1838" w:type="dxa"/>
            <w:vAlign w:val="center"/>
          </w:tcPr>
          <w:p w:rsidR="00E16F08" w:rsidRDefault="00CA7004" w:rsidP="00E46BAC">
            <w:pPr>
              <w:jc w:val="center"/>
            </w:pPr>
            <w:r>
              <w:rPr>
                <w:rFonts w:hint="eastAsia"/>
              </w:rPr>
              <w:t>161125</w:t>
            </w:r>
          </w:p>
        </w:tc>
        <w:tc>
          <w:tcPr>
            <w:tcW w:w="6540" w:type="dxa"/>
            <w:vAlign w:val="center"/>
          </w:tcPr>
          <w:p w:rsidR="00E16F08" w:rsidRDefault="00CA7004"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CA7004" w:rsidP="00E46BAC">
            <w:pPr>
              <w:jc w:val="center"/>
            </w:pPr>
            <w:r>
              <w:rPr>
                <w:rFonts w:hint="eastAsia"/>
              </w:rPr>
              <w:t>标普</w:t>
            </w:r>
            <w:r>
              <w:rPr>
                <w:rFonts w:hint="eastAsia"/>
              </w:rPr>
              <w:t>500LOF</w:t>
            </w:r>
          </w:p>
        </w:tc>
        <w:tc>
          <w:tcPr>
            <w:tcW w:w="3723" w:type="dxa"/>
            <w:vMerge w:val="restart"/>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012860</w:t>
            </w:r>
          </w:p>
        </w:tc>
        <w:tc>
          <w:tcPr>
            <w:tcW w:w="6540" w:type="dxa"/>
            <w:vAlign w:val="center"/>
          </w:tcPr>
          <w:p w:rsidR="00E16F08" w:rsidRDefault="00CA7004"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003718</w:t>
            </w:r>
          </w:p>
        </w:tc>
        <w:tc>
          <w:tcPr>
            <w:tcW w:w="6540" w:type="dxa"/>
            <w:vAlign w:val="center"/>
          </w:tcPr>
          <w:p w:rsidR="00E16F08" w:rsidRDefault="00CA7004"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012861</w:t>
            </w:r>
          </w:p>
        </w:tc>
        <w:tc>
          <w:tcPr>
            <w:tcW w:w="6540" w:type="dxa"/>
            <w:vAlign w:val="center"/>
          </w:tcPr>
          <w:p w:rsidR="00E16F08" w:rsidRDefault="00CA7004"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161126</w:t>
            </w:r>
          </w:p>
        </w:tc>
        <w:tc>
          <w:tcPr>
            <w:tcW w:w="6540" w:type="dxa"/>
            <w:vAlign w:val="center"/>
          </w:tcPr>
          <w:p w:rsidR="00E16F08" w:rsidRDefault="00CA7004" w:rsidP="00E46BAC">
            <w:pPr>
              <w:jc w:val="center"/>
            </w:pPr>
            <w:r>
              <w:rPr>
                <w:rFonts w:hint="eastAsia"/>
              </w:rPr>
              <w:t>易方达标普医疗保健指数证券投资基金（</w:t>
            </w:r>
            <w:r>
              <w:rPr>
                <w:rFonts w:hint="eastAsia"/>
              </w:rPr>
              <w:t>LOF</w:t>
            </w:r>
            <w:r>
              <w:rPr>
                <w:rFonts w:hint="eastAsia"/>
              </w:rPr>
              <w:t>）</w:t>
            </w:r>
            <w:r>
              <w:rPr>
                <w:rFonts w:hint="eastAsia"/>
              </w:rPr>
              <w:t xml:space="preserve"> </w:t>
            </w:r>
            <w:r>
              <w:rPr>
                <w:rFonts w:hint="eastAsia"/>
              </w:rPr>
              <w:t>A</w:t>
            </w:r>
            <w:r>
              <w:rPr>
                <w:rFonts w:hint="eastAsia"/>
              </w:rPr>
              <w:t>类人民币份额</w:t>
            </w:r>
          </w:p>
        </w:tc>
        <w:tc>
          <w:tcPr>
            <w:tcW w:w="1847" w:type="dxa"/>
            <w:vAlign w:val="center"/>
          </w:tcPr>
          <w:p w:rsidR="00E16F08" w:rsidRDefault="00CA7004" w:rsidP="00E46BAC">
            <w:pPr>
              <w:jc w:val="center"/>
            </w:pPr>
            <w:r>
              <w:rPr>
                <w:rFonts w:hint="eastAsia"/>
              </w:rPr>
              <w:t>标普医疗保健</w:t>
            </w:r>
            <w:r>
              <w:rPr>
                <w:rFonts w:hint="eastAsia"/>
              </w:rPr>
              <w:t>LOF</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012864</w:t>
            </w:r>
          </w:p>
        </w:tc>
        <w:tc>
          <w:tcPr>
            <w:tcW w:w="6540" w:type="dxa"/>
            <w:vAlign w:val="center"/>
          </w:tcPr>
          <w:p w:rsidR="00E16F08" w:rsidRDefault="00CA7004" w:rsidP="00E46BAC">
            <w:pPr>
              <w:jc w:val="center"/>
            </w:pPr>
            <w:r>
              <w:rPr>
                <w:rFonts w:hint="eastAsia"/>
              </w:rPr>
              <w:t>易方达标普医疗保健指数证券投资基金（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003719</w:t>
            </w:r>
          </w:p>
        </w:tc>
        <w:tc>
          <w:tcPr>
            <w:tcW w:w="6540" w:type="dxa"/>
            <w:vAlign w:val="center"/>
          </w:tcPr>
          <w:p w:rsidR="00E16F08" w:rsidRDefault="00CA7004" w:rsidP="00E46BAC">
            <w:pPr>
              <w:jc w:val="center"/>
            </w:pPr>
            <w:r>
              <w:rPr>
                <w:rFonts w:hint="eastAsia"/>
              </w:rPr>
              <w:t>易方达标普医疗保健指数证券投资基金（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012865</w:t>
            </w:r>
          </w:p>
        </w:tc>
        <w:tc>
          <w:tcPr>
            <w:tcW w:w="6540" w:type="dxa"/>
            <w:vAlign w:val="center"/>
          </w:tcPr>
          <w:p w:rsidR="00E16F08" w:rsidRDefault="00CA7004" w:rsidP="00E46BAC">
            <w:pPr>
              <w:jc w:val="center"/>
            </w:pPr>
            <w:r>
              <w:rPr>
                <w:rFonts w:hint="eastAsia"/>
              </w:rPr>
              <w:t>易方达标普医疗保健指数证券投资基金（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161127</w:t>
            </w:r>
          </w:p>
        </w:tc>
        <w:tc>
          <w:tcPr>
            <w:tcW w:w="6540" w:type="dxa"/>
            <w:vAlign w:val="center"/>
          </w:tcPr>
          <w:p w:rsidR="00E16F08" w:rsidRDefault="00CA7004" w:rsidP="00E46BAC">
            <w:pPr>
              <w:jc w:val="center"/>
            </w:pPr>
            <w:r>
              <w:rPr>
                <w:rFonts w:hint="eastAsia"/>
              </w:rPr>
              <w:t>易方达标普生物科技指数证券投资基金（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CA7004" w:rsidP="00E46BAC">
            <w:pPr>
              <w:jc w:val="center"/>
            </w:pPr>
            <w:r>
              <w:rPr>
                <w:rFonts w:hint="eastAsia"/>
              </w:rPr>
              <w:t>标普生物科技</w:t>
            </w:r>
            <w:r>
              <w:rPr>
                <w:rFonts w:hint="eastAsia"/>
              </w:rPr>
              <w:t>LOF</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012866</w:t>
            </w:r>
          </w:p>
        </w:tc>
        <w:tc>
          <w:tcPr>
            <w:tcW w:w="6540" w:type="dxa"/>
            <w:vAlign w:val="center"/>
          </w:tcPr>
          <w:p w:rsidR="00E16F08" w:rsidRDefault="00CA7004" w:rsidP="00E46BAC">
            <w:pPr>
              <w:jc w:val="center"/>
            </w:pPr>
            <w:r>
              <w:rPr>
                <w:rFonts w:hint="eastAsia"/>
              </w:rPr>
              <w:t>易方达标普生物科技指数证券投资基金（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003720</w:t>
            </w:r>
          </w:p>
        </w:tc>
        <w:tc>
          <w:tcPr>
            <w:tcW w:w="6540" w:type="dxa"/>
            <w:vAlign w:val="center"/>
          </w:tcPr>
          <w:p w:rsidR="00E16F08" w:rsidRDefault="00CA7004" w:rsidP="00E46BAC">
            <w:pPr>
              <w:jc w:val="center"/>
            </w:pPr>
            <w:r>
              <w:rPr>
                <w:rFonts w:hint="eastAsia"/>
              </w:rPr>
              <w:t>易方达标普生物科技指数证券投资基金（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012867</w:t>
            </w:r>
          </w:p>
        </w:tc>
        <w:tc>
          <w:tcPr>
            <w:tcW w:w="6540" w:type="dxa"/>
            <w:vAlign w:val="center"/>
          </w:tcPr>
          <w:p w:rsidR="00E16F08" w:rsidRDefault="00CA7004" w:rsidP="00E46BAC">
            <w:pPr>
              <w:jc w:val="center"/>
            </w:pPr>
            <w:r>
              <w:rPr>
                <w:rFonts w:hint="eastAsia"/>
              </w:rPr>
              <w:t>易方达标普生物科技指数证券投资基金（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161128</w:t>
            </w:r>
          </w:p>
        </w:tc>
        <w:tc>
          <w:tcPr>
            <w:tcW w:w="6540" w:type="dxa"/>
            <w:vAlign w:val="center"/>
          </w:tcPr>
          <w:p w:rsidR="00E16F08" w:rsidRDefault="00CA7004" w:rsidP="00E46BAC">
            <w:pPr>
              <w:jc w:val="center"/>
            </w:pPr>
            <w:r>
              <w:rPr>
                <w:rFonts w:hint="eastAsia"/>
              </w:rPr>
              <w:t>易方达标普信息科技指数证券投资基金（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CA7004" w:rsidP="00E46BAC">
            <w:pPr>
              <w:jc w:val="center"/>
            </w:pPr>
            <w:r>
              <w:rPr>
                <w:rFonts w:hint="eastAsia"/>
              </w:rPr>
              <w:t>标普信息科技</w:t>
            </w:r>
            <w:r>
              <w:rPr>
                <w:rFonts w:hint="eastAsia"/>
              </w:rPr>
              <w:t>LOF</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012868</w:t>
            </w:r>
          </w:p>
        </w:tc>
        <w:tc>
          <w:tcPr>
            <w:tcW w:w="6540" w:type="dxa"/>
            <w:vAlign w:val="center"/>
          </w:tcPr>
          <w:p w:rsidR="00E16F08" w:rsidRDefault="00CA7004" w:rsidP="00E46BAC">
            <w:pPr>
              <w:jc w:val="center"/>
            </w:pPr>
            <w:r>
              <w:rPr>
                <w:rFonts w:hint="eastAsia"/>
              </w:rPr>
              <w:t>易方达标普信息科技指数证券投资基金（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003721</w:t>
            </w:r>
          </w:p>
        </w:tc>
        <w:tc>
          <w:tcPr>
            <w:tcW w:w="6540" w:type="dxa"/>
            <w:vAlign w:val="center"/>
          </w:tcPr>
          <w:p w:rsidR="00E16F08" w:rsidRDefault="00CA7004" w:rsidP="00E46BAC">
            <w:pPr>
              <w:jc w:val="center"/>
            </w:pPr>
            <w:r>
              <w:rPr>
                <w:rFonts w:hint="eastAsia"/>
              </w:rPr>
              <w:t>易方达标普信息科技指数证券投资基金（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012869</w:t>
            </w:r>
          </w:p>
        </w:tc>
        <w:tc>
          <w:tcPr>
            <w:tcW w:w="6540" w:type="dxa"/>
            <w:vAlign w:val="center"/>
          </w:tcPr>
          <w:p w:rsidR="00E16F08" w:rsidRDefault="00CA7004" w:rsidP="00E46BAC">
            <w:pPr>
              <w:jc w:val="center"/>
            </w:pPr>
            <w:r>
              <w:rPr>
                <w:rFonts w:hint="eastAsia"/>
              </w:rPr>
              <w:t>易方达标普信息科技指数证券投资基金（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161130</w:t>
            </w:r>
          </w:p>
        </w:tc>
        <w:tc>
          <w:tcPr>
            <w:tcW w:w="6540" w:type="dxa"/>
            <w:vAlign w:val="center"/>
          </w:tcPr>
          <w:p w:rsidR="00E16F08" w:rsidRDefault="00CA7004" w:rsidP="00E46BAC">
            <w:pPr>
              <w:jc w:val="center"/>
            </w:pPr>
            <w:r>
              <w:rPr>
                <w:rFonts w:hint="eastAsia"/>
              </w:rPr>
              <w:t>易方达纳斯达克</w:t>
            </w:r>
            <w:r>
              <w:rPr>
                <w:rFonts w:hint="eastAsia"/>
              </w:rPr>
              <w:t>100</w:t>
            </w:r>
            <w:r>
              <w:rPr>
                <w:rFonts w:hint="eastAsia"/>
              </w:rPr>
              <w:t>交易型开放式指数证券投资基金联接基金（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CA7004" w:rsidP="00E46BAC">
            <w:pPr>
              <w:jc w:val="center"/>
            </w:pPr>
            <w:r>
              <w:rPr>
                <w:rFonts w:hint="eastAsia"/>
              </w:rPr>
              <w:t>纳斯达克</w:t>
            </w:r>
            <w:r>
              <w:rPr>
                <w:rFonts w:hint="eastAsia"/>
              </w:rPr>
              <w:t>100LOF</w:t>
            </w:r>
          </w:p>
        </w:tc>
        <w:tc>
          <w:tcPr>
            <w:tcW w:w="3723" w:type="dxa"/>
            <w:vMerge w:val="restart"/>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日为纳斯达克证券交易所非交易日</w:t>
            </w:r>
          </w:p>
        </w:tc>
      </w:tr>
      <w:tr w:rsidR="00FF5862" w:rsidTr="00E16F08">
        <w:tc>
          <w:tcPr>
            <w:tcW w:w="1838" w:type="dxa"/>
            <w:vAlign w:val="center"/>
          </w:tcPr>
          <w:p w:rsidR="00E16F08" w:rsidRDefault="00CA7004" w:rsidP="00E46BAC">
            <w:pPr>
              <w:jc w:val="center"/>
            </w:pPr>
            <w:r>
              <w:rPr>
                <w:rFonts w:hint="eastAsia"/>
              </w:rPr>
              <w:lastRenderedPageBreak/>
              <w:t>012870</w:t>
            </w:r>
          </w:p>
        </w:tc>
        <w:tc>
          <w:tcPr>
            <w:tcW w:w="6540" w:type="dxa"/>
            <w:vAlign w:val="center"/>
          </w:tcPr>
          <w:p w:rsidR="00E16F08" w:rsidRDefault="00CA7004" w:rsidP="00E46BAC">
            <w:pPr>
              <w:jc w:val="center"/>
            </w:pPr>
            <w:r>
              <w:rPr>
                <w:rFonts w:hint="eastAsia"/>
              </w:rPr>
              <w:t>易方达纳斯达克</w:t>
            </w:r>
            <w:r>
              <w:rPr>
                <w:rFonts w:hint="eastAsia"/>
              </w:rPr>
              <w:t>100</w:t>
            </w:r>
            <w:r>
              <w:rPr>
                <w:rFonts w:hint="eastAsia"/>
              </w:rPr>
              <w:t>交易型开放式指数证券投资基金联接基金（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日为纳斯达克证券交易所非交易日</w:t>
            </w:r>
          </w:p>
        </w:tc>
      </w:tr>
      <w:tr w:rsidR="00FF5862" w:rsidTr="00E16F08">
        <w:tc>
          <w:tcPr>
            <w:tcW w:w="1838" w:type="dxa"/>
            <w:vAlign w:val="center"/>
          </w:tcPr>
          <w:p w:rsidR="00E16F08" w:rsidRDefault="00CA7004" w:rsidP="00E46BAC">
            <w:pPr>
              <w:jc w:val="center"/>
            </w:pPr>
            <w:r>
              <w:rPr>
                <w:rFonts w:hint="eastAsia"/>
              </w:rPr>
              <w:t>003722</w:t>
            </w:r>
          </w:p>
        </w:tc>
        <w:tc>
          <w:tcPr>
            <w:tcW w:w="6540" w:type="dxa"/>
            <w:vAlign w:val="center"/>
          </w:tcPr>
          <w:p w:rsidR="00E16F08" w:rsidRDefault="00CA7004" w:rsidP="00E46BAC">
            <w:pPr>
              <w:jc w:val="center"/>
            </w:pPr>
            <w:r>
              <w:rPr>
                <w:rFonts w:hint="eastAsia"/>
              </w:rPr>
              <w:t>易方达纳斯达克</w:t>
            </w:r>
            <w:r>
              <w:rPr>
                <w:rFonts w:hint="eastAsia"/>
              </w:rPr>
              <w:t>100</w:t>
            </w:r>
            <w:r>
              <w:rPr>
                <w:rFonts w:hint="eastAsia"/>
              </w:rPr>
              <w:t>交易型开放式指数证券投资基金联接基金（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日为纳斯达克证券交易所非交易日</w:t>
            </w:r>
          </w:p>
        </w:tc>
      </w:tr>
      <w:tr w:rsidR="00FF5862" w:rsidTr="00E16F08">
        <w:tc>
          <w:tcPr>
            <w:tcW w:w="1838" w:type="dxa"/>
            <w:vAlign w:val="center"/>
          </w:tcPr>
          <w:p w:rsidR="00E16F08" w:rsidRDefault="00CA7004" w:rsidP="00E46BAC">
            <w:pPr>
              <w:jc w:val="center"/>
            </w:pPr>
            <w:r>
              <w:rPr>
                <w:rFonts w:hint="eastAsia"/>
              </w:rPr>
              <w:t>012871</w:t>
            </w:r>
          </w:p>
        </w:tc>
        <w:tc>
          <w:tcPr>
            <w:tcW w:w="6540" w:type="dxa"/>
            <w:vAlign w:val="center"/>
          </w:tcPr>
          <w:p w:rsidR="00E16F08" w:rsidRDefault="00CA7004" w:rsidP="00E46BAC">
            <w:pPr>
              <w:jc w:val="center"/>
            </w:pPr>
            <w:r>
              <w:rPr>
                <w:rFonts w:hint="eastAsia"/>
              </w:rPr>
              <w:t>易方达纳斯达克</w:t>
            </w:r>
            <w:r>
              <w:rPr>
                <w:rFonts w:hint="eastAsia"/>
              </w:rPr>
              <w:t>100</w:t>
            </w:r>
            <w:r>
              <w:rPr>
                <w:rFonts w:hint="eastAsia"/>
              </w:rPr>
              <w:t>交易型开放式指数证券投资基金联接基金（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日为纳斯达克证券交易所非交易日</w:t>
            </w:r>
          </w:p>
        </w:tc>
      </w:tr>
      <w:tr w:rsidR="00FF5862" w:rsidTr="00E16F08">
        <w:tc>
          <w:tcPr>
            <w:tcW w:w="1838" w:type="dxa"/>
            <w:vAlign w:val="center"/>
          </w:tcPr>
          <w:p w:rsidR="00E16F08" w:rsidRDefault="00CA7004" w:rsidP="00E46BAC">
            <w:pPr>
              <w:jc w:val="center"/>
            </w:pPr>
            <w:r>
              <w:rPr>
                <w:rFonts w:hint="eastAsia"/>
              </w:rPr>
              <w:t>513050</w:t>
            </w:r>
          </w:p>
        </w:tc>
        <w:tc>
          <w:tcPr>
            <w:tcW w:w="6540" w:type="dxa"/>
            <w:vAlign w:val="center"/>
          </w:tcPr>
          <w:p w:rsidR="00E16F08" w:rsidRDefault="00CA7004" w:rsidP="00E46BAC">
            <w:pPr>
              <w:jc w:val="center"/>
            </w:pPr>
            <w:r>
              <w:rPr>
                <w:rFonts w:hint="eastAsia"/>
              </w:rPr>
              <w:t>易方达中证海外中国互联网</w:t>
            </w:r>
            <w:r>
              <w:rPr>
                <w:rFonts w:hint="eastAsia"/>
              </w:rPr>
              <w:t>50</w:t>
            </w:r>
            <w:r>
              <w:rPr>
                <w:rFonts w:hint="eastAsia"/>
              </w:rPr>
              <w:t>交易型开放式指数证券投资基金</w:t>
            </w:r>
          </w:p>
        </w:tc>
        <w:tc>
          <w:tcPr>
            <w:tcW w:w="1847" w:type="dxa"/>
            <w:vAlign w:val="center"/>
          </w:tcPr>
          <w:p w:rsidR="00E16F08" w:rsidRDefault="00CA7004" w:rsidP="00E46BAC">
            <w:pPr>
              <w:jc w:val="center"/>
            </w:pPr>
            <w:r>
              <w:rPr>
                <w:rFonts w:hint="eastAsia"/>
              </w:rPr>
              <w:t>中概互联</w:t>
            </w:r>
          </w:p>
        </w:tc>
        <w:tc>
          <w:tcPr>
            <w:tcW w:w="3723" w:type="dxa"/>
            <w:vMerge w:val="restart"/>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513850</w:t>
            </w:r>
          </w:p>
        </w:tc>
        <w:tc>
          <w:tcPr>
            <w:tcW w:w="6540" w:type="dxa"/>
            <w:vAlign w:val="center"/>
          </w:tcPr>
          <w:p w:rsidR="00E16F08" w:rsidRDefault="00CA7004" w:rsidP="00E46BAC">
            <w:pPr>
              <w:jc w:val="center"/>
            </w:pPr>
            <w:r>
              <w:rPr>
                <w:rFonts w:hint="eastAsia"/>
              </w:rPr>
              <w:t>易方达</w:t>
            </w:r>
            <w:r>
              <w:rPr>
                <w:rFonts w:hint="eastAsia"/>
              </w:rPr>
              <w:t>MSCI</w:t>
            </w:r>
            <w:r>
              <w:rPr>
                <w:rFonts w:hint="eastAsia"/>
              </w:rPr>
              <w:t>美国</w:t>
            </w:r>
            <w:r>
              <w:rPr>
                <w:rFonts w:hint="eastAsia"/>
              </w:rPr>
              <w:t>50</w:t>
            </w:r>
            <w:r>
              <w:rPr>
                <w:rFonts w:hint="eastAsia"/>
              </w:rPr>
              <w:t>交易型开放式指数证券投资基金（</w:t>
            </w:r>
            <w:r>
              <w:rPr>
                <w:rFonts w:hint="eastAsia"/>
              </w:rPr>
              <w:t>QDII</w:t>
            </w:r>
            <w:r>
              <w:rPr>
                <w:rFonts w:hint="eastAsia"/>
              </w:rPr>
              <w:t>）</w:t>
            </w:r>
          </w:p>
        </w:tc>
        <w:tc>
          <w:tcPr>
            <w:tcW w:w="1847" w:type="dxa"/>
            <w:vAlign w:val="center"/>
          </w:tcPr>
          <w:p w:rsidR="00E16F08" w:rsidRDefault="00CA7004" w:rsidP="00E46BAC">
            <w:pPr>
              <w:jc w:val="center"/>
            </w:pPr>
            <w:r>
              <w:rPr>
                <w:rFonts w:hint="eastAsia"/>
              </w:rPr>
              <w:t>美国</w:t>
            </w:r>
            <w:r>
              <w:rPr>
                <w:rFonts w:hint="eastAsia"/>
              </w:rPr>
              <w:t>50</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006327</w:t>
            </w:r>
          </w:p>
        </w:tc>
        <w:tc>
          <w:tcPr>
            <w:tcW w:w="6540" w:type="dxa"/>
            <w:vAlign w:val="center"/>
          </w:tcPr>
          <w:p w:rsidR="00E16F08" w:rsidRDefault="00CA7004"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A</w:t>
            </w:r>
            <w:r>
              <w:rPr>
                <w:rFonts w:hint="eastAsia"/>
              </w:rPr>
              <w:t>类人民币份额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006328</w:t>
            </w:r>
          </w:p>
        </w:tc>
        <w:tc>
          <w:tcPr>
            <w:tcW w:w="6540" w:type="dxa"/>
            <w:vAlign w:val="center"/>
          </w:tcPr>
          <w:p w:rsidR="00E16F08" w:rsidRDefault="00CA7004"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C</w:t>
            </w:r>
            <w:r>
              <w:rPr>
                <w:rFonts w:hint="eastAsia"/>
              </w:rPr>
              <w:t>类人民币份额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006329</w:t>
            </w:r>
          </w:p>
        </w:tc>
        <w:tc>
          <w:tcPr>
            <w:tcW w:w="6540" w:type="dxa"/>
            <w:vAlign w:val="center"/>
          </w:tcPr>
          <w:p w:rsidR="00E16F08" w:rsidRDefault="00CA7004"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A</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006330</w:t>
            </w:r>
          </w:p>
        </w:tc>
        <w:tc>
          <w:tcPr>
            <w:tcW w:w="6540" w:type="dxa"/>
            <w:vAlign w:val="center"/>
          </w:tcPr>
          <w:p w:rsidR="00E16F08" w:rsidRDefault="00CA7004"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C</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日为纳斯达克证券交易所和纽约证券交易所非交易日</w:t>
            </w:r>
          </w:p>
        </w:tc>
      </w:tr>
      <w:tr w:rsidR="00FF5862" w:rsidTr="00E16F08">
        <w:tc>
          <w:tcPr>
            <w:tcW w:w="1838" w:type="dxa"/>
            <w:vAlign w:val="center"/>
          </w:tcPr>
          <w:p w:rsidR="00E16F08" w:rsidRDefault="00CA7004" w:rsidP="00E46BAC">
            <w:pPr>
              <w:jc w:val="center"/>
            </w:pPr>
            <w:r>
              <w:rPr>
                <w:rFonts w:hint="eastAsia"/>
              </w:rPr>
              <w:t>007360</w:t>
            </w:r>
          </w:p>
        </w:tc>
        <w:tc>
          <w:tcPr>
            <w:tcW w:w="6540" w:type="dxa"/>
            <w:vAlign w:val="center"/>
          </w:tcPr>
          <w:p w:rsidR="00E16F08" w:rsidRDefault="00CA7004"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A</w:t>
            </w:r>
            <w:r>
              <w:rPr>
                <w:rFonts w:hint="eastAsia"/>
              </w:rPr>
              <w:t>类人民币份额</w:t>
            </w:r>
          </w:p>
        </w:tc>
        <w:tc>
          <w:tcPr>
            <w:tcW w:w="1847" w:type="dxa"/>
            <w:vAlign w:val="center"/>
          </w:tcPr>
          <w:p w:rsidR="00E16F08" w:rsidRDefault="00CA7004" w:rsidP="00E46BAC">
            <w:pPr>
              <w:jc w:val="center"/>
            </w:pPr>
            <w:r>
              <w:rPr>
                <w:rFonts w:hint="eastAsia"/>
              </w:rPr>
              <w:t>--</w:t>
            </w:r>
          </w:p>
        </w:tc>
        <w:tc>
          <w:tcPr>
            <w:tcW w:w="3723" w:type="dxa"/>
            <w:vMerge w:val="restart"/>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日为美国证券市场非交易日</w:t>
            </w:r>
          </w:p>
        </w:tc>
      </w:tr>
      <w:tr w:rsidR="00FF5862" w:rsidTr="00E16F08">
        <w:tc>
          <w:tcPr>
            <w:tcW w:w="1838" w:type="dxa"/>
            <w:vAlign w:val="center"/>
          </w:tcPr>
          <w:p w:rsidR="00E16F08" w:rsidRDefault="00CA7004" w:rsidP="00E46BAC">
            <w:pPr>
              <w:jc w:val="center"/>
            </w:pPr>
            <w:r>
              <w:rPr>
                <w:rFonts w:hint="eastAsia"/>
              </w:rPr>
              <w:t>007361</w:t>
            </w:r>
          </w:p>
        </w:tc>
        <w:tc>
          <w:tcPr>
            <w:tcW w:w="6540" w:type="dxa"/>
            <w:vAlign w:val="center"/>
          </w:tcPr>
          <w:p w:rsidR="00E16F08" w:rsidRDefault="00CA7004"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C</w:t>
            </w:r>
            <w:r>
              <w:rPr>
                <w:rFonts w:hint="eastAsia"/>
              </w:rPr>
              <w:t>类人民币份额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日为美国证券市场非交易日</w:t>
            </w:r>
          </w:p>
        </w:tc>
      </w:tr>
      <w:tr w:rsidR="00FF5862" w:rsidTr="00E16F08">
        <w:tc>
          <w:tcPr>
            <w:tcW w:w="1838" w:type="dxa"/>
            <w:vAlign w:val="center"/>
          </w:tcPr>
          <w:p w:rsidR="00E16F08" w:rsidRDefault="00CA7004" w:rsidP="00E46BAC">
            <w:pPr>
              <w:jc w:val="center"/>
            </w:pPr>
            <w:r>
              <w:rPr>
                <w:rFonts w:hint="eastAsia"/>
              </w:rPr>
              <w:t>007362</w:t>
            </w:r>
          </w:p>
        </w:tc>
        <w:tc>
          <w:tcPr>
            <w:tcW w:w="6540" w:type="dxa"/>
            <w:vAlign w:val="center"/>
          </w:tcPr>
          <w:p w:rsidR="00E16F08" w:rsidRDefault="00CA7004"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A</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日为美国证券市场非交易日</w:t>
            </w:r>
          </w:p>
        </w:tc>
      </w:tr>
      <w:tr w:rsidR="00FF5862" w:rsidTr="00E16F08">
        <w:tc>
          <w:tcPr>
            <w:tcW w:w="1838" w:type="dxa"/>
            <w:vAlign w:val="center"/>
          </w:tcPr>
          <w:p w:rsidR="00E16F08" w:rsidRDefault="00CA7004" w:rsidP="00E46BAC">
            <w:pPr>
              <w:jc w:val="center"/>
            </w:pPr>
            <w:r>
              <w:rPr>
                <w:rFonts w:hint="eastAsia"/>
              </w:rPr>
              <w:t>007363</w:t>
            </w:r>
          </w:p>
        </w:tc>
        <w:tc>
          <w:tcPr>
            <w:tcW w:w="6540" w:type="dxa"/>
            <w:vAlign w:val="center"/>
          </w:tcPr>
          <w:p w:rsidR="00E16F08" w:rsidRDefault="00CA7004"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C</w:t>
            </w:r>
            <w:r>
              <w:rPr>
                <w:rFonts w:hint="eastAsia"/>
              </w:rPr>
              <w:t>类美元现汇份额</w:t>
            </w:r>
          </w:p>
        </w:tc>
        <w:tc>
          <w:tcPr>
            <w:tcW w:w="1847" w:type="dxa"/>
            <w:vAlign w:val="center"/>
          </w:tcPr>
          <w:p w:rsidR="00E16F08" w:rsidRDefault="00CA7004" w:rsidP="00E46BAC">
            <w:pPr>
              <w:jc w:val="center"/>
            </w:pPr>
            <w:r>
              <w:rPr>
                <w:rFonts w:hint="eastAsia"/>
              </w:rPr>
              <w:t>--</w:t>
            </w:r>
          </w:p>
        </w:tc>
        <w:tc>
          <w:tcPr>
            <w:tcW w:w="3723" w:type="dxa"/>
            <w:vMerge/>
            <w:vAlign w:val="center"/>
          </w:tcPr>
          <w:p w:rsidR="00E16F08" w:rsidRDefault="00CA7004" w:rsidP="00E46BAC">
            <w:pPr>
              <w:jc w:val="center"/>
            </w:pPr>
            <w:r>
              <w:rPr>
                <w:rFonts w:hint="eastAsia"/>
              </w:rPr>
              <w:t>2025</w:t>
            </w:r>
            <w:r>
              <w:rPr>
                <w:rFonts w:hint="eastAsia"/>
              </w:rPr>
              <w:t>年</w:t>
            </w:r>
            <w:r>
              <w:rPr>
                <w:rFonts w:hint="eastAsia"/>
              </w:rPr>
              <w:t>1</w:t>
            </w:r>
            <w:r>
              <w:rPr>
                <w:rFonts w:hint="eastAsia"/>
              </w:rPr>
              <w:t>月</w:t>
            </w:r>
            <w:r>
              <w:rPr>
                <w:rFonts w:hint="eastAsia"/>
              </w:rPr>
              <w:t>20</w:t>
            </w:r>
            <w:r>
              <w:rPr>
                <w:rFonts w:hint="eastAsia"/>
              </w:rPr>
              <w:t>日为美国证券市场非交易日</w:t>
            </w:r>
          </w:p>
        </w:tc>
      </w:tr>
    </w:tbl>
    <w:p w:rsidR="00205B0D" w:rsidRPr="00DE6D61" w:rsidRDefault="00205B0D">
      <w:bookmarkStart w:id="0" w:name="_GoBack"/>
      <w:bookmarkEnd w:id="0"/>
    </w:p>
    <w:sectPr w:rsidR="00205B0D" w:rsidRPr="00DE6D61" w:rsidSect="00DE6D6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陆国鑫">
    <w15:presenceInfo w15:providerId="AD" w15:userId="S-1-5-21-4192046361-1944119394-1811551143-263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577"/>
    <w:rsid w:val="00013D76"/>
    <w:rsid w:val="000D4FD7"/>
    <w:rsid w:val="000E3577"/>
    <w:rsid w:val="000F535A"/>
    <w:rsid w:val="001B5758"/>
    <w:rsid w:val="00205B0D"/>
    <w:rsid w:val="00357D2B"/>
    <w:rsid w:val="003A1A76"/>
    <w:rsid w:val="003F164B"/>
    <w:rsid w:val="00456370"/>
    <w:rsid w:val="004F7D05"/>
    <w:rsid w:val="00524061"/>
    <w:rsid w:val="00605ECB"/>
    <w:rsid w:val="00645CF3"/>
    <w:rsid w:val="006F6371"/>
    <w:rsid w:val="0096433F"/>
    <w:rsid w:val="009D16F7"/>
    <w:rsid w:val="009E4E45"/>
    <w:rsid w:val="00B76F7E"/>
    <w:rsid w:val="00C919BB"/>
    <w:rsid w:val="00CA7004"/>
    <w:rsid w:val="00DE6D61"/>
    <w:rsid w:val="00E16F08"/>
    <w:rsid w:val="00E46BAC"/>
    <w:rsid w:val="00FD4BA3"/>
    <w:rsid w:val="00FF0437"/>
    <w:rsid w:val="00FF58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D61"/>
    <w:rPr>
      <w:sz w:val="18"/>
      <w:szCs w:val="18"/>
    </w:rPr>
  </w:style>
  <w:style w:type="paragraph" w:styleId="a4">
    <w:name w:val="footer"/>
    <w:basedOn w:val="a"/>
    <w:link w:val="Char0"/>
    <w:uiPriority w:val="99"/>
    <w:unhideWhenUsed/>
    <w:rsid w:val="00DE6D61"/>
    <w:pPr>
      <w:tabs>
        <w:tab w:val="center" w:pos="4153"/>
        <w:tab w:val="right" w:pos="8306"/>
      </w:tabs>
      <w:snapToGrid w:val="0"/>
      <w:jc w:val="left"/>
    </w:pPr>
    <w:rPr>
      <w:sz w:val="18"/>
      <w:szCs w:val="18"/>
    </w:rPr>
  </w:style>
  <w:style w:type="character" w:customStyle="1" w:styleId="Char0">
    <w:name w:val="页脚 Char"/>
    <w:basedOn w:val="a0"/>
    <w:link w:val="a4"/>
    <w:uiPriority w:val="99"/>
    <w:rsid w:val="00DE6D61"/>
    <w:rPr>
      <w:sz w:val="18"/>
      <w:szCs w:val="18"/>
    </w:rPr>
  </w:style>
  <w:style w:type="table" w:styleId="a5">
    <w:name w:val="Table Grid"/>
    <w:basedOn w:val="a1"/>
    <w:uiPriority w:val="39"/>
    <w:rsid w:val="00E16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E16F08"/>
    <w:rPr>
      <w:sz w:val="21"/>
      <w:szCs w:val="21"/>
    </w:rPr>
  </w:style>
  <w:style w:type="paragraph" w:styleId="a7">
    <w:name w:val="annotation text"/>
    <w:basedOn w:val="a"/>
    <w:link w:val="Char1"/>
    <w:uiPriority w:val="99"/>
    <w:semiHidden/>
    <w:unhideWhenUsed/>
    <w:rsid w:val="00E16F08"/>
    <w:pPr>
      <w:jc w:val="left"/>
    </w:pPr>
  </w:style>
  <w:style w:type="character" w:customStyle="1" w:styleId="Char1">
    <w:name w:val="批注文字 Char"/>
    <w:basedOn w:val="a0"/>
    <w:link w:val="a7"/>
    <w:uiPriority w:val="99"/>
    <w:semiHidden/>
    <w:rsid w:val="00E16F08"/>
  </w:style>
  <w:style w:type="paragraph" w:styleId="a8">
    <w:name w:val="Balloon Text"/>
    <w:basedOn w:val="a"/>
    <w:link w:val="Char2"/>
    <w:uiPriority w:val="99"/>
    <w:semiHidden/>
    <w:unhideWhenUsed/>
    <w:rsid w:val="00E16F08"/>
    <w:rPr>
      <w:sz w:val="18"/>
      <w:szCs w:val="18"/>
    </w:rPr>
  </w:style>
  <w:style w:type="character" w:customStyle="1" w:styleId="Char2">
    <w:name w:val="批注框文本 Char"/>
    <w:basedOn w:val="a0"/>
    <w:link w:val="a8"/>
    <w:uiPriority w:val="99"/>
    <w:semiHidden/>
    <w:rsid w:val="00E16F0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ns9="http://schemas.openxmlformats.org/markup-compatibility/2006" xmlns:ns8="http://schemas.microsoft.com/office/word/2012/wordml" xmlns:ns7="http://schemas.microsoft.com/office/word/2010/wordprocessingDrawing" xmlns:ns6="http://schemas.openxmlformats.org/drawingml/2006/main" xmlns:ns5="http://schemas.openxmlformats.org/drawingml/2006/wordprocessingDrawing" xmlns:ns4="http://schemas.microsoft.com/office/word/2010/wordml" xmlns:ns33="http://schemas.microsoft.com/office/webextensions/webextension/2010/11" xmlns:ns32="http://schemas.microsoft.com/office/webextensions/taskpanes/2010/11" xmlns:ns31="http://schemas.openxmlformats.org/officeDocument/2006/bibliography" xmlns:ns30="http://opendope.org/SmartArt/DataHierarchy" xmlns:ns3="http://schemas.openxmlformats.org/officeDocument/2006/relationships" xmlns:ns29="http://opendope.org/components" xmlns:ns28="http://opendope.org/answers" xmlns:ns27="http://opendope.org/questions" xmlns:ns26="http://opendope.org/conditions" xmlns:ns25="http://opendope.org/xpaths" xmlns:ns21="urn:schemas-microsoft-com:office:word" xmlns:ns20="urn:schemas-microsoft-com:vml" xmlns:ns2="http://schemas.openxmlformats.org/officeDocument/2006/math" xmlns:ns19="urn:schemas-microsoft-com:office:office" xmlns:ns17="http://schemas.microsoft.com/office/drawing/2008/diagram" xmlns:ns16="http://schemas.openxmlformats.org/drawingml/2006/spreadsheetDrawing" xmlns:ns15="http://schemas.openxmlformats.org/drawingml/2006/picture" xmlns:ns14="http://schemas.openxmlformats.org/drawingml/2006/diagram" xmlns:ns12="http://schemas.openxmlformats.org/drawingml/2006/chart" xmlns:ns11="http://schemas.microsoft.com/office/word/2006/wordml" xmlns:ns1="http://schemas.openxmlformats.org/wordprocessingml/2006/main" xmlns:thm15="http://schemas.microsoft.com/office/thememl/2012/main" xmlns:ns35="http://schemas.openxmlformats.org/drawingml/2006/lockedCanvas" xmlns:ns34="http://schemas.openxmlformats.org/drawingml/2006/compatibility" xmlns:we="http://schemas.microsoft.com/office/webextensions/webextension/2010/11" xmlns:wetp="http://schemas.microsoft.com/office/webextensions/taskpanes/2010/11" xmlns:b="http://schemas.openxmlformats.org/officeDocument/2006/bibliography" xmlns:odgm="http://opendope.org/SmartArt/DataHierarchy" xmlns:odi="http://opendope.org/components" xmlns:oda="http://opendope.org/answers" xmlns:odq="http://opendope.org/questions" xmlns:odc="http://opendope.org/conditions" xmlns:odx="http://opendope.org/xpaths" xmlns:ns24="http://schemas.microsoft.com/office/2006/coverPageProps" xmlns:ns22="urn:schemas-microsoft-com:office:powerpoint" xmlns:w10="urn:schemas-microsoft-com:office:word" xmlns:v="urn:schemas-microsoft-com:vml" xmlns:o="urn:schemas-microsoft-com:office:office" xmlns:ns18="urn:schemas-microsoft-com:office:excel" xmlns:dsp="http://schemas.microsoft.com/office/drawing/2008/diagram" xmlns:xdr="http://schemas.openxmlformats.org/drawingml/2006/spreadsheetDrawing" xmlns:pic="http://schemas.openxmlformats.org/drawingml/2006/picture" xmlns:dgm="http://schemas.openxmlformats.org/drawingml/2006/diagram" xmlns:ns13="http://schemas.openxmlformats.org/drawingml/2006/chartDrawing" xmlns:c="http://schemas.openxmlformats.org/drawingml/2006/chart" xmlns:wne="http://schemas.microsoft.com/office/word/2006/wordml" xmlns:ns10="http://schemas.openxmlformats.org/schemaLibrary/2006/main" xmlns:mc="http://schemas.openxmlformats.org/markup-compatibility/2006" xmlns:w15="http://schemas.microsoft.com/office/word/2012/wordml" xmlns:wp14="http://schemas.microsoft.com/office/word/2010/wordprocessingDrawing" xmlns:wp="http://schemas.openxmlformats.org/drawingml/2006/wordprocessingDrawing" xmlns:w14="http://schemas.microsoft.com/office/word/2010/wordml" xmlns:r="http://schemas.openxmlformats.org/officeDocument/2006/relationships" xmlns:m="http://schemas.openxmlformats.org/officeDocument/2006/math" xmlns:w="http://schemas.openxmlformats.org/wordprocessingml/2006/main" xmlns="" id="{62F939B6-93AF-4DB8-9C6B-D6C7DFDC589F}" name="Office Theme"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2507</Characters>
  <Application>Microsoft Office Word</Application>
  <DocSecurity>4</DocSecurity>
  <Lines>20</Lines>
  <Paragraphs>5</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2025-01-14T16:02:00Z</dcterms:created>
  <dcterms:modified xsi:type="dcterms:W3CDTF">2025-01-14T16:02:00Z</dcterms:modified>
</cp:coreProperties>
</file>