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077F9">
      <w:pPr>
        <w:pStyle w:val="XBRL2"/>
        <w:spacing w:before="156"/>
        <w:rPr>
          <w:rFonts w:eastAsia="Cambria" w:cs="Cambria"/>
          <w:lang w:val="en-US"/>
        </w:rPr>
      </w:pPr>
      <w:bookmarkStart w:id="0" w:name="_Toc510201001"/>
      <w:bookmarkEnd w:id="0"/>
      <w:r>
        <w:rPr>
          <w:rFonts w:eastAsia="Cambria" w:cs="Cambria"/>
          <w:lang w:val="en-US"/>
        </w:rPr>
        <w:t xml:space="preserve">　</w:t>
      </w:r>
      <w:r>
        <w:rPr>
          <w:rFonts w:eastAsia="Cambria" w:cs="Cambria"/>
          <w:lang w:val="en-US"/>
        </w:rPr>
        <w:t xml:space="preserve"> </w:t>
      </w:r>
    </w:p>
    <w:p w:rsidR="00000000" w:rsidRDefault="001077F9">
      <w:pPr>
        <w:jc w:val="center"/>
      </w:pPr>
      <w:r>
        <w:rPr>
          <w:b/>
          <w:sz w:val="48"/>
          <w:szCs w:val="48"/>
        </w:rPr>
        <w:t>工银瑞信信用添利债券型证券投资基金</w:t>
      </w:r>
      <w:r>
        <w:rPr>
          <w:b/>
          <w:sz w:val="48"/>
          <w:szCs w:val="48"/>
        </w:rPr>
        <w:t>2024</w:t>
      </w:r>
      <w:r>
        <w:rPr>
          <w:b/>
          <w:sz w:val="48"/>
          <w:szCs w:val="48"/>
        </w:rPr>
        <w:t>年第一次分红公告</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color w:val="000000"/>
          <w:kern w:val="0"/>
          <w:sz w:val="18"/>
        </w:rPr>
      </w:pPr>
      <w:r>
        <w:rPr>
          <w:color w:val="000000"/>
          <w:kern w:val="0"/>
          <w:sz w:val="18"/>
        </w:rPr>
        <w:t xml:space="preserve">　</w:t>
      </w:r>
      <w:r>
        <w:rPr>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1077F9">
      <w:pPr>
        <w:spacing w:line="360" w:lineRule="auto"/>
        <w:jc w:val="center"/>
      </w:pPr>
      <w:r>
        <w:rPr>
          <w:rFonts w:cs="宋体"/>
          <w:b/>
          <w:bCs/>
          <w:sz w:val="24"/>
          <w:szCs w:val="30"/>
        </w:rPr>
        <w:t>公告送出日期：</w:t>
      </w:r>
      <w:r>
        <w:rPr>
          <w:rFonts w:cs="宋体"/>
          <w:b/>
          <w:bCs/>
          <w:sz w:val="24"/>
          <w:szCs w:val="30"/>
        </w:rPr>
        <w:t>2025</w:t>
      </w:r>
      <w:r>
        <w:rPr>
          <w:rFonts w:cs="宋体"/>
          <w:b/>
          <w:bCs/>
          <w:sz w:val="24"/>
          <w:szCs w:val="30"/>
        </w:rPr>
        <w:t>年</w:t>
      </w:r>
      <w:r>
        <w:rPr>
          <w:rFonts w:cs="宋体"/>
          <w:b/>
          <w:bCs/>
          <w:sz w:val="24"/>
          <w:szCs w:val="30"/>
        </w:rPr>
        <w:t>1</w:t>
      </w:r>
      <w:r>
        <w:rPr>
          <w:rFonts w:cs="宋体"/>
          <w:b/>
          <w:bCs/>
          <w:sz w:val="24"/>
          <w:szCs w:val="30"/>
        </w:rPr>
        <w:t>月</w:t>
      </w:r>
      <w:r>
        <w:rPr>
          <w:rFonts w:cs="宋体"/>
          <w:b/>
          <w:bCs/>
          <w:sz w:val="24"/>
          <w:szCs w:val="30"/>
        </w:rPr>
        <w:t>13</w:t>
      </w:r>
      <w:r>
        <w:rPr>
          <w:rFonts w:cs="宋体"/>
          <w:b/>
          <w:bCs/>
          <w:sz w:val="24"/>
          <w:szCs w:val="30"/>
        </w:rPr>
        <w:t>日</w:t>
      </w:r>
    </w:p>
    <w:p w:rsidR="00000000" w:rsidRDefault="001077F9">
      <w:pPr>
        <w:pStyle w:val="XBRLTitle1"/>
        <w:spacing w:before="156"/>
        <w:jc w:val="left"/>
      </w:pPr>
      <w:r>
        <w:rPr>
          <w:rFonts w:cs="宋体"/>
          <w:color w:val="404040"/>
          <w:lang w:val="en-US"/>
        </w:rPr>
        <w:br w:type="page"/>
      </w:r>
      <w:bookmarkStart w:id="1" w:name="_Toc513295892"/>
      <w:bookmarkStart w:id="2" w:name="_Toc513295846"/>
      <w:bookmarkStart w:id="3" w:name="_Toc512519480"/>
      <w:bookmarkStart w:id="4" w:name="_Toc17897936"/>
      <w:bookmarkStart w:id="5" w:name="_Toc481075046"/>
      <w:bookmarkStart w:id="6" w:name="_Toc34322059"/>
      <w:bookmarkStart w:id="7" w:name="_Toc490050000"/>
      <w:bookmarkStart w:id="8" w:name="_Toc438646451"/>
      <w:bookmarkStart w:id="9" w:name="_Toc17898178"/>
      <w:bookmarkStart w:id="10" w:name="m101"/>
      <w:bookmarkStart w:id="11" w:name="_Toc194311890"/>
      <w:bookmarkStart w:id="12" w:name="m01_01"/>
      <w:r>
        <w:rPr>
          <w:szCs w:val="24"/>
          <w:lang w:val="en-US"/>
        </w:rPr>
        <w:lastRenderedPageBreak/>
        <w:t>公告基本信息</w:t>
      </w:r>
      <w:bookmarkEnd w:id="1"/>
      <w:bookmarkEnd w:id="2"/>
      <w:bookmarkEnd w:id="3"/>
      <w:bookmarkEnd w:id="4"/>
      <w:bookmarkEnd w:id="5"/>
      <w:bookmarkEnd w:id="6"/>
      <w:bookmarkEnd w:id="7"/>
      <w:bookmarkEnd w:id="8"/>
      <w:bookmarkEnd w:id="9"/>
      <w:r>
        <w:rPr>
          <w:szCs w:val="24"/>
          <w:lang w:val="en-US"/>
        </w:rPr>
        <w:t xml:space="preserve"> </w:t>
      </w:r>
    </w:p>
    <w:tbl>
      <w:tblPr>
        <w:tblW w:w="8519" w:type="dxa"/>
        <w:tblInd w:w="0" w:type="dxa"/>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000"/>
      </w:tblPr>
      <w:tblGrid>
        <w:gridCol w:w="835"/>
        <w:gridCol w:w="1727"/>
        <w:gridCol w:w="2746"/>
        <w:gridCol w:w="3211"/>
      </w:tblGrid>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基金名称</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工银瑞信信用添利债券型证券投资基金</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基金简称</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工银添利债券</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基金主代码</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485107</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基金合同生效日</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2008</w:t>
            </w:r>
            <w:r>
              <w:rPr>
                <w:szCs w:val="21"/>
              </w:rPr>
              <w:t>年</w:t>
            </w:r>
            <w:r>
              <w:rPr>
                <w:szCs w:val="21"/>
              </w:rPr>
              <w:t>4</w:t>
            </w:r>
            <w:r>
              <w:rPr>
                <w:szCs w:val="21"/>
              </w:rPr>
              <w:t>月</w:t>
            </w:r>
            <w:r>
              <w:rPr>
                <w:szCs w:val="21"/>
              </w:rPr>
              <w:t>14</w:t>
            </w:r>
            <w:r>
              <w:rPr>
                <w:szCs w:val="21"/>
              </w:rPr>
              <w:t>日</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基金管理人名称</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工银瑞信基金管理有限公司</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基金托管人名称</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中国建设银行股份有限公司</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公告依据</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根据《中华人民共和国证券投资基金法》、《公开募集证券投资基金</w:t>
            </w:r>
            <w:r>
              <w:rPr>
                <w:szCs w:val="21"/>
              </w:rPr>
              <w:t>运作管理办法》、《公开募集证券投资基金信息披露管理办法》的有关规定、《工银瑞信信用添利债券型证券投资基金基金合同》的有关约定</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收益分配基准日</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2024</w:t>
            </w:r>
            <w:r>
              <w:rPr>
                <w:szCs w:val="21"/>
              </w:rPr>
              <w:t>年</w:t>
            </w:r>
            <w:r>
              <w:rPr>
                <w:szCs w:val="21"/>
              </w:rPr>
              <w:t>12</w:t>
            </w:r>
            <w:r>
              <w:rPr>
                <w:szCs w:val="21"/>
              </w:rPr>
              <w:t>月</w:t>
            </w:r>
            <w:r>
              <w:rPr>
                <w:szCs w:val="21"/>
              </w:rPr>
              <w:t>31</w:t>
            </w:r>
            <w:r>
              <w:rPr>
                <w:szCs w:val="21"/>
              </w:rPr>
              <w:t>日</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1077F9">
            <w:r>
              <w:rPr>
                <w:szCs w:val="21"/>
              </w:rPr>
              <w:t>有关年度分红次数的说明</w:t>
            </w:r>
            <w:r>
              <w:rPr>
                <w:szCs w:val="21"/>
              </w:rPr>
              <w:t xml:space="preserve"> </w:t>
            </w:r>
          </w:p>
        </w:tc>
        <w:tc>
          <w:tcPr>
            <w:tcW w:w="5957"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本次分红为本基金第十四次分红，</w:t>
            </w:r>
            <w:r>
              <w:rPr>
                <w:szCs w:val="21"/>
              </w:rPr>
              <w:t>2024</w:t>
            </w:r>
            <w:r>
              <w:rPr>
                <w:szCs w:val="21"/>
              </w:rPr>
              <w:t>年第一次分红。</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下属分级基金的基金简称</w:t>
            </w:r>
            <w:r>
              <w:rPr>
                <w:szCs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工银添利债券</w:t>
            </w:r>
            <w:r>
              <w:rPr>
                <w:szCs w:val="21"/>
              </w:rPr>
              <w:t>A</w:t>
            </w:r>
          </w:p>
        </w:tc>
        <w:tc>
          <w:tcPr>
            <w:tcW w:w="3211"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工银添利债券</w:t>
            </w:r>
            <w:r>
              <w:rPr>
                <w:szCs w:val="21"/>
              </w:rPr>
              <w:t>B</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1077F9">
            <w:r>
              <w:rPr>
                <w:szCs w:val="21"/>
              </w:rPr>
              <w:t>下属分级基金的交易代码</w:t>
            </w:r>
            <w:r>
              <w:rPr>
                <w:szCs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485107</w:t>
            </w:r>
          </w:p>
        </w:tc>
        <w:tc>
          <w:tcPr>
            <w:tcW w:w="3211"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485007</w:t>
            </w:r>
          </w:p>
        </w:tc>
      </w:tr>
      <w:tr w:rsidR="00000000">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1077F9">
            <w:r>
              <w:rPr>
                <w:szCs w:val="21"/>
              </w:rPr>
              <w:t>截止基准日下属分级基金的相关指标</w:t>
            </w:r>
            <w:r>
              <w:rPr>
                <w:szCs w:val="21"/>
              </w:rPr>
              <w:t xml:space="preserve"> </w:t>
            </w:r>
          </w:p>
        </w:tc>
        <w:tc>
          <w:tcPr>
            <w:tcW w:w="1727"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基准日下属分级基金份额净值（单位：人民币元）</w:t>
            </w:r>
            <w:r>
              <w:rPr>
                <w:szCs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1.3456</w:t>
            </w:r>
          </w:p>
        </w:tc>
        <w:tc>
          <w:tcPr>
            <w:tcW w:w="3211"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1.3365</w:t>
            </w:r>
          </w:p>
        </w:tc>
      </w:tr>
      <w:tr w:rsidR="00000000">
        <w:tc>
          <w:tcPr>
            <w:tcW w:w="835" w:type="dxa"/>
            <w:vMerge/>
            <w:tcBorders>
              <w:top w:val="single" w:sz="4" w:space="0" w:color="000000"/>
              <w:left w:val="single" w:sz="4" w:space="0" w:color="000000"/>
              <w:bottom w:val="single" w:sz="4" w:space="0" w:color="000000"/>
              <w:right w:val="single" w:sz="4" w:space="0" w:color="000000"/>
            </w:tcBorders>
            <w:vAlign w:val="center"/>
          </w:tcPr>
          <w:p w:rsidR="00000000" w:rsidRDefault="001077F9">
            <w:pPr>
              <w:rPr>
                <w:sz w:val="20"/>
              </w:rPr>
            </w:pPr>
          </w:p>
        </w:tc>
        <w:tc>
          <w:tcPr>
            <w:tcW w:w="1727"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基准日下属分级基金可供分配</w:t>
            </w:r>
            <w:r>
              <w:rPr>
                <w:szCs w:val="21"/>
              </w:rPr>
              <w:t>利润（单位</w:t>
            </w:r>
            <w:r>
              <w:rPr>
                <w:szCs w:val="21"/>
              </w:rPr>
              <w:t>:</w:t>
            </w:r>
            <w:r>
              <w:rPr>
                <w:szCs w:val="21"/>
              </w:rPr>
              <w:t>人民币元）</w:t>
            </w:r>
            <w:r>
              <w:rPr>
                <w:szCs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24,220,561.34</w:t>
            </w:r>
          </w:p>
        </w:tc>
        <w:tc>
          <w:tcPr>
            <w:tcW w:w="3211"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2,629,248.43</w:t>
            </w:r>
          </w:p>
        </w:tc>
      </w:tr>
      <w:tr w:rsidR="00000000">
        <w:tc>
          <w:tcPr>
            <w:tcW w:w="835" w:type="dxa"/>
            <w:vMerge/>
            <w:tcBorders>
              <w:top w:val="single" w:sz="4" w:space="0" w:color="000000"/>
              <w:left w:val="single" w:sz="4" w:space="0" w:color="000000"/>
              <w:bottom w:val="single" w:sz="4" w:space="0" w:color="000000"/>
              <w:right w:val="single" w:sz="4" w:space="0" w:color="000000"/>
            </w:tcBorders>
            <w:vAlign w:val="center"/>
          </w:tcPr>
          <w:p w:rsidR="00000000" w:rsidRDefault="001077F9">
            <w:pPr>
              <w:rPr>
                <w:sz w:val="20"/>
              </w:rPr>
            </w:pPr>
          </w:p>
        </w:tc>
        <w:tc>
          <w:tcPr>
            <w:tcW w:w="1727"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截止基准日按照基金合同约定的分红比例计算的应分配金额（单位：人民币元）</w:t>
            </w:r>
          </w:p>
        </w:tc>
        <w:tc>
          <w:tcPr>
            <w:tcW w:w="2746"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19,376,449.08</w:t>
            </w:r>
          </w:p>
        </w:tc>
        <w:tc>
          <w:tcPr>
            <w:tcW w:w="3211"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2,103,398.75</w:t>
            </w:r>
          </w:p>
        </w:tc>
      </w:tr>
      <w:tr w:rsidR="00000000">
        <w:tc>
          <w:tcPr>
            <w:tcW w:w="2562" w:type="dxa"/>
            <w:gridSpan w:val="2"/>
            <w:tcBorders>
              <w:top w:val="single" w:sz="4" w:space="0" w:color="000000"/>
              <w:left w:val="single" w:sz="4" w:space="0" w:color="000000"/>
              <w:bottom w:val="single" w:sz="4" w:space="0" w:color="000000"/>
              <w:right w:val="single" w:sz="4" w:space="0" w:color="000000"/>
            </w:tcBorders>
          </w:tcPr>
          <w:p w:rsidR="00000000" w:rsidRDefault="001077F9">
            <w:r>
              <w:rPr>
                <w:szCs w:val="21"/>
              </w:rPr>
              <w:t>本次下属分级基金分红方案（单位：元</w:t>
            </w:r>
            <w:r>
              <w:rPr>
                <w:szCs w:val="21"/>
              </w:rPr>
              <w:t>/10</w:t>
            </w:r>
            <w:r>
              <w:rPr>
                <w:szCs w:val="21"/>
              </w:rPr>
              <w:t>份基金份额）</w:t>
            </w:r>
            <w:r>
              <w:rPr>
                <w:szCs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0.205</w:t>
            </w:r>
          </w:p>
        </w:tc>
        <w:tc>
          <w:tcPr>
            <w:tcW w:w="3211" w:type="dxa"/>
            <w:tcBorders>
              <w:top w:val="single" w:sz="4" w:space="0" w:color="000000"/>
              <w:left w:val="single" w:sz="4" w:space="0" w:color="000000"/>
              <w:bottom w:val="single" w:sz="4" w:space="0" w:color="000000"/>
              <w:right w:val="single" w:sz="4" w:space="0" w:color="000000"/>
            </w:tcBorders>
          </w:tcPr>
          <w:p w:rsidR="00000000" w:rsidRDefault="001077F9">
            <w:r>
              <w:rPr>
                <w:szCs w:val="21"/>
              </w:rPr>
              <w:t>0.154</w:t>
            </w:r>
          </w:p>
        </w:tc>
      </w:tr>
    </w:tbl>
    <w:p w:rsidR="00000000" w:rsidRDefault="001077F9">
      <w:pPr>
        <w:adjustRightInd w:val="0"/>
        <w:snapToGrid w:val="0"/>
        <w:spacing w:beforeLines="50" w:line="360" w:lineRule="auto"/>
        <w:jc w:val="left"/>
      </w:pPr>
      <w:r>
        <w:rPr>
          <w:rFonts w:cs="宋体"/>
        </w:rPr>
        <w:t>注：</w:t>
      </w:r>
      <w:r>
        <w:rPr>
          <w:rFonts w:cs="宋体"/>
          <w:szCs w:val="24"/>
        </w:rPr>
        <w:t>在符合有关基金分红条件的前提下，本基金收益每年至少分配一次；本基金收益每年最多分配</w:t>
      </w:r>
      <w:r>
        <w:rPr>
          <w:rFonts w:cs="宋体"/>
          <w:szCs w:val="24"/>
        </w:rPr>
        <w:t>4</w:t>
      </w:r>
      <w:r>
        <w:rPr>
          <w:rFonts w:cs="宋体"/>
          <w:szCs w:val="24"/>
        </w:rPr>
        <w:t>次，每年基金收益分配比例不低于年度可分配收益的</w:t>
      </w:r>
      <w:r>
        <w:rPr>
          <w:rFonts w:cs="宋体"/>
          <w:szCs w:val="24"/>
        </w:rPr>
        <w:t>80%</w:t>
      </w:r>
      <w:r>
        <w:rPr>
          <w:rFonts w:cs="宋体"/>
          <w:szCs w:val="24"/>
        </w:rPr>
        <w:t>。</w:t>
      </w:r>
      <w:r>
        <w:rPr>
          <w:rFonts w:cs="宋体"/>
          <w:szCs w:val="24"/>
        </w:rPr>
        <w:t xml:space="preserve"> </w:t>
      </w:r>
    </w:p>
    <w:p w:rsidR="00000000" w:rsidRDefault="001077F9">
      <w:pPr>
        <w:pStyle w:val="XBRLTitle1"/>
        <w:spacing w:before="156" w:line="360" w:lineRule="auto"/>
        <w:jc w:val="left"/>
      </w:pPr>
      <w:bookmarkStart w:id="13" w:name="_Toc438646452"/>
      <w:bookmarkStart w:id="14" w:name="_Toc481075047"/>
      <w:bookmarkStart w:id="15" w:name="_Toc512519481"/>
      <w:bookmarkStart w:id="16" w:name="_Toc513295893"/>
      <w:bookmarkStart w:id="17" w:name="_Toc17898179"/>
      <w:bookmarkStart w:id="18" w:name="_Toc513295847"/>
      <w:bookmarkStart w:id="19" w:name="_Toc34322060"/>
      <w:bookmarkStart w:id="20" w:name="_Toc490050001"/>
      <w:bookmarkStart w:id="21" w:name="_Toc17897937"/>
      <w:r>
        <w:rPr>
          <w:rFonts w:hAnsi="宋体"/>
          <w:szCs w:val="24"/>
          <w:lang w:val="en-US"/>
        </w:rPr>
        <w:t>与分红相关的其他信息</w:t>
      </w:r>
      <w:bookmarkEnd w:id="10"/>
      <w:bookmarkEnd w:id="13"/>
      <w:bookmarkEnd w:id="14"/>
      <w:bookmarkEnd w:id="15"/>
      <w:bookmarkEnd w:id="16"/>
      <w:bookmarkEnd w:id="17"/>
      <w:bookmarkEnd w:id="18"/>
      <w:bookmarkEnd w:id="19"/>
      <w:bookmarkEnd w:id="20"/>
      <w:bookmarkEnd w:id="21"/>
      <w:r>
        <w:rPr>
          <w:rFonts w:hAnsi="宋体"/>
          <w:szCs w:val="24"/>
          <w:lang w:val="en-US"/>
        </w:rPr>
        <w:t xml:space="preserve"> </w:t>
      </w:r>
      <w:bookmarkEnd w:id="11"/>
      <w:bookmarkEnd w:id="12"/>
    </w:p>
    <w:tbl>
      <w:tblPr>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4"/>
        <w:gridCol w:w="5320"/>
      </w:tblGrid>
      <w:tr w:rsidR="00000000">
        <w:tc>
          <w:tcPr>
            <w:tcW w:w="3424" w:type="dxa"/>
            <w:tcBorders>
              <w:top w:val="single" w:sz="4" w:space="0" w:color="auto"/>
              <w:left w:val="single" w:sz="4" w:space="0" w:color="auto"/>
              <w:bottom w:val="single" w:sz="4" w:space="0" w:color="auto"/>
              <w:right w:val="single" w:sz="4" w:space="0" w:color="auto"/>
            </w:tcBorders>
          </w:tcPr>
          <w:p w:rsidR="00000000" w:rsidRDefault="001077F9">
            <w:r>
              <w:rPr>
                <w:szCs w:val="21"/>
              </w:rPr>
              <w:t>权益登记日</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2025</w:t>
            </w:r>
            <w:r>
              <w:rPr>
                <w:szCs w:val="21"/>
              </w:rPr>
              <w:t>年</w:t>
            </w:r>
            <w:r>
              <w:rPr>
                <w:szCs w:val="21"/>
              </w:rPr>
              <w:t>1</w:t>
            </w:r>
            <w:r>
              <w:rPr>
                <w:szCs w:val="21"/>
              </w:rPr>
              <w:t>月</w:t>
            </w:r>
            <w:r>
              <w:rPr>
                <w:szCs w:val="21"/>
              </w:rPr>
              <w:t>15</w:t>
            </w:r>
            <w:r>
              <w:rPr>
                <w:szCs w:val="21"/>
              </w:rPr>
              <w:t>日</w:t>
            </w:r>
          </w:p>
        </w:tc>
      </w:tr>
      <w:tr w:rsidR="00000000">
        <w:tc>
          <w:tcPr>
            <w:tcW w:w="3424" w:type="dxa"/>
            <w:tcBorders>
              <w:top w:val="single" w:sz="4" w:space="0" w:color="auto"/>
              <w:left w:val="single" w:sz="4" w:space="0" w:color="auto"/>
              <w:bottom w:val="single" w:sz="4" w:space="0" w:color="auto"/>
              <w:right w:val="single" w:sz="4" w:space="0" w:color="auto"/>
            </w:tcBorders>
          </w:tcPr>
          <w:p w:rsidR="00000000" w:rsidRDefault="001077F9">
            <w:r>
              <w:rPr>
                <w:szCs w:val="21"/>
              </w:rPr>
              <w:t>除息日</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2025</w:t>
            </w:r>
            <w:r>
              <w:rPr>
                <w:szCs w:val="21"/>
              </w:rPr>
              <w:t>年</w:t>
            </w:r>
            <w:r>
              <w:rPr>
                <w:szCs w:val="21"/>
              </w:rPr>
              <w:t>1</w:t>
            </w:r>
            <w:r>
              <w:rPr>
                <w:szCs w:val="21"/>
              </w:rPr>
              <w:t>月</w:t>
            </w:r>
            <w:r>
              <w:rPr>
                <w:szCs w:val="21"/>
              </w:rPr>
              <w:t>15</w:t>
            </w:r>
            <w:r>
              <w:rPr>
                <w:szCs w:val="21"/>
              </w:rPr>
              <w:t>日</w:t>
            </w:r>
          </w:p>
        </w:tc>
      </w:tr>
      <w:tr w:rsidR="00000000">
        <w:tc>
          <w:tcPr>
            <w:tcW w:w="3424" w:type="dxa"/>
            <w:tcBorders>
              <w:top w:val="single" w:sz="4" w:space="0" w:color="auto"/>
              <w:left w:val="single" w:sz="4" w:space="0" w:color="auto"/>
              <w:bottom w:val="single" w:sz="4" w:space="0" w:color="auto"/>
              <w:right w:val="single" w:sz="4" w:space="0" w:color="auto"/>
            </w:tcBorders>
          </w:tcPr>
          <w:p w:rsidR="00000000" w:rsidRDefault="001077F9">
            <w:r>
              <w:rPr>
                <w:szCs w:val="21"/>
              </w:rPr>
              <w:t>现金红利发放日</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2025</w:t>
            </w:r>
            <w:r>
              <w:rPr>
                <w:szCs w:val="21"/>
              </w:rPr>
              <w:t>年</w:t>
            </w:r>
            <w:r>
              <w:rPr>
                <w:szCs w:val="21"/>
              </w:rPr>
              <w:t>1</w:t>
            </w:r>
            <w:r>
              <w:rPr>
                <w:szCs w:val="21"/>
              </w:rPr>
              <w:t>月</w:t>
            </w:r>
            <w:r>
              <w:rPr>
                <w:szCs w:val="21"/>
              </w:rPr>
              <w:t>16</w:t>
            </w:r>
            <w:r>
              <w:rPr>
                <w:szCs w:val="21"/>
              </w:rPr>
              <w:t>日</w:t>
            </w:r>
          </w:p>
        </w:tc>
      </w:tr>
      <w:tr w:rsidR="00000000">
        <w:tc>
          <w:tcPr>
            <w:tcW w:w="3424" w:type="dxa"/>
            <w:tcBorders>
              <w:top w:val="single" w:sz="4" w:space="0" w:color="auto"/>
              <w:left w:val="single" w:sz="4" w:space="0" w:color="auto"/>
              <w:bottom w:val="single" w:sz="4" w:space="0" w:color="auto"/>
              <w:right w:val="single" w:sz="4" w:space="0" w:color="auto"/>
            </w:tcBorders>
          </w:tcPr>
          <w:p w:rsidR="00000000" w:rsidRDefault="001077F9">
            <w:r>
              <w:rPr>
                <w:szCs w:val="21"/>
              </w:rPr>
              <w:t>分红对象</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权益登记日在注册登记机构登记在册的本基金全体基金份额持有人。</w:t>
            </w:r>
          </w:p>
        </w:tc>
      </w:tr>
      <w:tr w:rsidR="00000000">
        <w:tc>
          <w:tcPr>
            <w:tcW w:w="3424" w:type="dxa"/>
            <w:tcBorders>
              <w:top w:val="single" w:sz="4" w:space="0" w:color="auto"/>
              <w:left w:val="single" w:sz="4" w:space="0" w:color="auto"/>
              <w:bottom w:val="single" w:sz="4" w:space="0" w:color="auto"/>
              <w:right w:val="single" w:sz="4" w:space="0" w:color="auto"/>
            </w:tcBorders>
            <w:vAlign w:val="center"/>
          </w:tcPr>
          <w:p w:rsidR="00000000" w:rsidRDefault="001077F9">
            <w:r>
              <w:rPr>
                <w:szCs w:val="21"/>
              </w:rPr>
              <w:t>红利再投资相关事项的说明</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选择红利再投资的投资者，其现金红利将按</w:t>
            </w:r>
            <w:r>
              <w:rPr>
                <w:szCs w:val="21"/>
              </w:rPr>
              <w:t>2025</w:t>
            </w:r>
            <w:r>
              <w:rPr>
                <w:szCs w:val="21"/>
              </w:rPr>
              <w:t>年</w:t>
            </w:r>
            <w:r>
              <w:rPr>
                <w:szCs w:val="21"/>
              </w:rPr>
              <w:t>1</w:t>
            </w:r>
            <w:r>
              <w:rPr>
                <w:szCs w:val="21"/>
              </w:rPr>
              <w:t>月</w:t>
            </w:r>
            <w:r>
              <w:rPr>
                <w:szCs w:val="21"/>
              </w:rPr>
              <w:lastRenderedPageBreak/>
              <w:t>15</w:t>
            </w:r>
            <w:r>
              <w:rPr>
                <w:szCs w:val="21"/>
              </w:rPr>
              <w:t>日除息后的基金份额净值转换为基金份额。</w:t>
            </w:r>
            <w:r>
              <w:rPr>
                <w:szCs w:val="21"/>
              </w:rPr>
              <w:t xml:space="preserve"> </w:t>
            </w:r>
          </w:p>
        </w:tc>
      </w:tr>
      <w:tr w:rsidR="00000000">
        <w:tc>
          <w:tcPr>
            <w:tcW w:w="3424" w:type="dxa"/>
            <w:tcBorders>
              <w:top w:val="single" w:sz="4" w:space="0" w:color="auto"/>
              <w:left w:val="single" w:sz="4" w:space="0" w:color="auto"/>
              <w:bottom w:val="single" w:sz="4" w:space="0" w:color="auto"/>
              <w:right w:val="single" w:sz="4" w:space="0" w:color="auto"/>
            </w:tcBorders>
          </w:tcPr>
          <w:p w:rsidR="00000000" w:rsidRDefault="001077F9">
            <w:r>
              <w:rPr>
                <w:szCs w:val="21"/>
              </w:rPr>
              <w:lastRenderedPageBreak/>
              <w:t>税收相关事项的说明</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根据财政部、国家税务总局相关规定，基金向投资者分配的基金收益，暂免征收所得税。</w:t>
            </w:r>
          </w:p>
        </w:tc>
      </w:tr>
      <w:tr w:rsidR="00000000">
        <w:tc>
          <w:tcPr>
            <w:tcW w:w="3424" w:type="dxa"/>
            <w:tcBorders>
              <w:top w:val="single" w:sz="4" w:space="0" w:color="auto"/>
              <w:left w:val="single" w:sz="4" w:space="0" w:color="auto"/>
              <w:bottom w:val="single" w:sz="4" w:space="0" w:color="auto"/>
              <w:right w:val="single" w:sz="4" w:space="0" w:color="auto"/>
            </w:tcBorders>
          </w:tcPr>
          <w:p w:rsidR="00000000" w:rsidRDefault="001077F9">
            <w:r>
              <w:rPr>
                <w:szCs w:val="21"/>
              </w:rPr>
              <w:t>费用相关事项的说明</w:t>
            </w:r>
            <w:r>
              <w:rPr>
                <w:szCs w:val="21"/>
              </w:rPr>
              <w:t xml:space="preserve"> </w:t>
            </w:r>
          </w:p>
        </w:tc>
        <w:tc>
          <w:tcPr>
            <w:tcW w:w="5320" w:type="dxa"/>
            <w:tcBorders>
              <w:top w:val="single" w:sz="4" w:space="0" w:color="auto"/>
              <w:left w:val="single" w:sz="4" w:space="0" w:color="auto"/>
              <w:bottom w:val="single" w:sz="4" w:space="0" w:color="auto"/>
              <w:right w:val="single" w:sz="4" w:space="0" w:color="auto"/>
            </w:tcBorders>
          </w:tcPr>
          <w:p w:rsidR="00000000" w:rsidRDefault="001077F9">
            <w:r>
              <w:rPr>
                <w:szCs w:val="21"/>
              </w:rPr>
              <w:t>1</w:t>
            </w:r>
            <w:r>
              <w:rPr>
                <w:szCs w:val="21"/>
              </w:rPr>
              <w:t>、本基金本次分红免收分红手续费。</w:t>
            </w:r>
            <w:r>
              <w:rPr>
                <w:szCs w:val="21"/>
              </w:rPr>
              <w:t xml:space="preserve"> </w:t>
            </w:r>
            <w:r>
              <w:rPr>
                <w:szCs w:val="21"/>
              </w:rPr>
              <w:br/>
            </w:r>
            <w:r>
              <w:rPr>
                <w:szCs w:val="21"/>
              </w:rPr>
              <w:t>2</w:t>
            </w:r>
            <w:r>
              <w:rPr>
                <w:szCs w:val="21"/>
              </w:rPr>
              <w:t>、选择红利再投资方式的投资者其红利所转换的基金份额免收申购费用。</w:t>
            </w:r>
          </w:p>
        </w:tc>
      </w:tr>
    </w:tbl>
    <w:p w:rsidR="00000000" w:rsidRDefault="001077F9">
      <w:pPr>
        <w:adjustRightInd w:val="0"/>
        <w:snapToGrid w:val="0"/>
        <w:spacing w:beforeLines="50" w:line="360" w:lineRule="auto"/>
        <w:jc w:val="left"/>
      </w:pPr>
      <w:r>
        <w:rPr>
          <w:rFonts w:cs="宋体"/>
        </w:rPr>
        <w:t>注：</w:t>
      </w:r>
      <w:r>
        <w:rPr>
          <w:rFonts w:cs="宋体"/>
          <w:szCs w:val="24"/>
        </w:rPr>
        <w:t>1</w:t>
      </w:r>
      <w:r>
        <w:rPr>
          <w:rFonts w:cs="宋体"/>
          <w:szCs w:val="24"/>
        </w:rPr>
        <w:t>、</w:t>
      </w:r>
      <w:r>
        <w:rPr>
          <w:rFonts w:cs="宋体"/>
          <w:szCs w:val="24"/>
        </w:rPr>
        <w:t>选择现金分红方式的投资者的红利款将于</w:t>
      </w:r>
      <w:r>
        <w:rPr>
          <w:rFonts w:cs="宋体"/>
          <w:szCs w:val="24"/>
        </w:rPr>
        <w:t>2025</w:t>
      </w:r>
      <w:r>
        <w:rPr>
          <w:rFonts w:cs="宋体"/>
          <w:szCs w:val="24"/>
        </w:rPr>
        <w:t>年</w:t>
      </w:r>
      <w:r>
        <w:rPr>
          <w:rFonts w:cs="宋体"/>
          <w:szCs w:val="24"/>
        </w:rPr>
        <w:t>1</w:t>
      </w:r>
      <w:r>
        <w:rPr>
          <w:rFonts w:cs="宋体"/>
          <w:szCs w:val="24"/>
        </w:rPr>
        <w:t>月</w:t>
      </w:r>
      <w:r>
        <w:rPr>
          <w:rFonts w:cs="宋体"/>
          <w:szCs w:val="24"/>
        </w:rPr>
        <w:t>16</w:t>
      </w:r>
      <w:r>
        <w:rPr>
          <w:rFonts w:cs="宋体"/>
          <w:szCs w:val="24"/>
        </w:rPr>
        <w:t>日自基金托管账户划出。</w:t>
      </w:r>
      <w:r>
        <w:rPr>
          <w:rFonts w:cs="宋体"/>
          <w:szCs w:val="24"/>
        </w:rPr>
        <w:t xml:space="preserve"> </w:t>
      </w:r>
      <w:r>
        <w:rPr>
          <w:rFonts w:cs="宋体"/>
          <w:szCs w:val="24"/>
        </w:rPr>
        <w:br/>
      </w:r>
      <w:r>
        <w:rPr>
          <w:rFonts w:cs="宋体"/>
          <w:szCs w:val="24"/>
        </w:rPr>
        <w:t xml:space="preserve">　　</w:t>
      </w:r>
      <w:r>
        <w:rPr>
          <w:rFonts w:cs="宋体"/>
          <w:szCs w:val="24"/>
        </w:rPr>
        <w:t>2</w:t>
      </w:r>
      <w:r>
        <w:rPr>
          <w:rFonts w:cs="宋体"/>
          <w:szCs w:val="24"/>
        </w:rPr>
        <w:t>、选择红利再投资方式的投资者其红利再投资的份额将于</w:t>
      </w:r>
      <w:r>
        <w:rPr>
          <w:rFonts w:cs="宋体"/>
          <w:szCs w:val="24"/>
        </w:rPr>
        <w:t>2025</w:t>
      </w:r>
      <w:r>
        <w:rPr>
          <w:rFonts w:cs="宋体"/>
          <w:szCs w:val="24"/>
        </w:rPr>
        <w:t>年</w:t>
      </w:r>
      <w:r>
        <w:rPr>
          <w:rFonts w:cs="宋体"/>
          <w:szCs w:val="24"/>
        </w:rPr>
        <w:t>1</w:t>
      </w:r>
      <w:r>
        <w:rPr>
          <w:rFonts w:cs="宋体"/>
          <w:szCs w:val="24"/>
        </w:rPr>
        <w:t>月</w:t>
      </w:r>
      <w:r>
        <w:rPr>
          <w:rFonts w:cs="宋体"/>
          <w:szCs w:val="24"/>
        </w:rPr>
        <w:t>16</w:t>
      </w:r>
      <w:r>
        <w:rPr>
          <w:rFonts w:cs="宋体"/>
          <w:szCs w:val="24"/>
        </w:rPr>
        <w:t>日直接计入其基金账户，</w:t>
      </w:r>
      <w:r>
        <w:rPr>
          <w:rFonts w:cs="宋体"/>
          <w:szCs w:val="24"/>
        </w:rPr>
        <w:t>2025</w:t>
      </w:r>
      <w:r>
        <w:rPr>
          <w:rFonts w:cs="宋体"/>
          <w:szCs w:val="24"/>
        </w:rPr>
        <w:t>年</w:t>
      </w:r>
      <w:r>
        <w:rPr>
          <w:rFonts w:cs="宋体"/>
          <w:szCs w:val="24"/>
        </w:rPr>
        <w:t>1</w:t>
      </w:r>
      <w:r>
        <w:rPr>
          <w:rFonts w:cs="宋体"/>
          <w:szCs w:val="24"/>
        </w:rPr>
        <w:t>月</w:t>
      </w:r>
      <w:r>
        <w:rPr>
          <w:rFonts w:cs="宋体"/>
          <w:szCs w:val="24"/>
        </w:rPr>
        <w:t>17</w:t>
      </w:r>
      <w:r>
        <w:rPr>
          <w:rFonts w:cs="宋体"/>
          <w:szCs w:val="24"/>
        </w:rPr>
        <w:t>日起可以查询、赎回。</w:t>
      </w:r>
      <w:r>
        <w:rPr>
          <w:rFonts w:cs="宋体"/>
          <w:szCs w:val="24"/>
        </w:rPr>
        <w:t xml:space="preserve"> </w:t>
      </w:r>
      <w:r>
        <w:rPr>
          <w:rFonts w:cs="宋体"/>
          <w:szCs w:val="24"/>
        </w:rPr>
        <w:br/>
      </w:r>
      <w:r>
        <w:rPr>
          <w:rFonts w:cs="宋体"/>
          <w:szCs w:val="24"/>
        </w:rPr>
        <w:t xml:space="preserve">　　</w:t>
      </w:r>
      <w:r>
        <w:rPr>
          <w:rFonts w:cs="宋体"/>
          <w:szCs w:val="24"/>
        </w:rPr>
        <w:t>3</w:t>
      </w:r>
      <w:r>
        <w:rPr>
          <w:rFonts w:cs="宋体"/>
          <w:szCs w:val="24"/>
        </w:rPr>
        <w:t>、冻结基金份额的红利发放按照《工银瑞信基金管理有限公司证券投资基金注册登记业务规则》的相关规定处理。</w:t>
      </w:r>
      <w:r>
        <w:rPr>
          <w:rFonts w:cs="宋体"/>
          <w:szCs w:val="24"/>
        </w:rPr>
        <w:t xml:space="preserve"> </w:t>
      </w:r>
    </w:p>
    <w:p w:rsidR="00000000" w:rsidRDefault="001077F9">
      <w:pPr>
        <w:pStyle w:val="XBRLTitle1"/>
        <w:spacing w:before="156" w:line="360" w:lineRule="auto"/>
        <w:jc w:val="left"/>
      </w:pPr>
      <w:bookmarkStart w:id="22" w:name="_Toc512519529"/>
      <w:bookmarkStart w:id="23" w:name="_Toc17897969"/>
      <w:bookmarkStart w:id="24" w:name="_Toc513295941"/>
      <w:bookmarkStart w:id="25" w:name="_Toc481075097"/>
      <w:bookmarkStart w:id="26" w:name="_Toc34322063"/>
      <w:bookmarkStart w:id="27" w:name="_Toc513295878"/>
      <w:bookmarkStart w:id="28" w:name="_Toc490050049"/>
      <w:bookmarkStart w:id="29" w:name="_Toc438646481"/>
      <w:bookmarkStart w:id="30" w:name="_Toc17898228"/>
      <w:bookmarkStart w:id="31" w:name="m201_01"/>
      <w:r>
        <w:rPr>
          <w:rFonts w:hAnsi="宋体"/>
          <w:szCs w:val="24"/>
          <w:lang w:val="en-US"/>
        </w:rPr>
        <w:t>其他需要提示的事项</w:t>
      </w:r>
      <w:bookmarkEnd w:id="22"/>
      <w:bookmarkEnd w:id="23"/>
      <w:bookmarkEnd w:id="24"/>
      <w:bookmarkEnd w:id="25"/>
      <w:bookmarkEnd w:id="26"/>
      <w:bookmarkEnd w:id="27"/>
      <w:bookmarkEnd w:id="28"/>
      <w:bookmarkEnd w:id="29"/>
      <w:bookmarkEnd w:id="30"/>
      <w:r>
        <w:rPr>
          <w:rFonts w:hAnsi="宋体"/>
          <w:szCs w:val="24"/>
          <w:lang w:val="en-US"/>
        </w:rPr>
        <w:t xml:space="preserve"> </w:t>
      </w:r>
    </w:p>
    <w:p w:rsidR="00000000" w:rsidRDefault="001077F9">
      <w:pPr>
        <w:spacing w:line="360" w:lineRule="auto"/>
        <w:ind w:firstLineChars="200" w:firstLine="420"/>
        <w:jc w:val="left"/>
        <w:rPr>
          <w:kern w:val="0"/>
          <w:szCs w:val="21"/>
        </w:rPr>
      </w:pPr>
      <w:r>
        <w:rPr>
          <w:kern w:val="0"/>
          <w:szCs w:val="21"/>
        </w:rPr>
        <w:t>1</w:t>
      </w:r>
      <w:r>
        <w:rPr>
          <w:kern w:val="0"/>
          <w:szCs w:val="21"/>
        </w:rPr>
        <w:t>、</w:t>
      </w:r>
      <w:r>
        <w:rPr>
          <w:kern w:val="0"/>
          <w:szCs w:val="21"/>
        </w:rPr>
        <w:t>自</w:t>
      </w:r>
      <w:r>
        <w:rPr>
          <w:kern w:val="0"/>
          <w:szCs w:val="21"/>
        </w:rPr>
        <w:t xml:space="preserve">2023 </w:t>
      </w:r>
      <w:r>
        <w:rPr>
          <w:kern w:val="0"/>
          <w:szCs w:val="21"/>
        </w:rPr>
        <w:t>年</w:t>
      </w:r>
      <w:r>
        <w:rPr>
          <w:kern w:val="0"/>
          <w:szCs w:val="21"/>
        </w:rPr>
        <w:t xml:space="preserve">12 </w:t>
      </w:r>
      <w:r>
        <w:rPr>
          <w:kern w:val="0"/>
          <w:szCs w:val="21"/>
        </w:rPr>
        <w:t>月</w:t>
      </w:r>
      <w:r>
        <w:rPr>
          <w:kern w:val="0"/>
          <w:szCs w:val="21"/>
        </w:rPr>
        <w:t xml:space="preserve">18 </w:t>
      </w:r>
      <w:r>
        <w:rPr>
          <w:kern w:val="0"/>
          <w:szCs w:val="21"/>
        </w:rPr>
        <w:t>日起，对本基金单日单个基金账户单笔或多笔累计高于</w:t>
      </w:r>
      <w:r>
        <w:rPr>
          <w:kern w:val="0"/>
          <w:szCs w:val="21"/>
        </w:rPr>
        <w:t xml:space="preserve">1000 </w:t>
      </w:r>
      <w:r>
        <w:rPr>
          <w:kern w:val="0"/>
          <w:szCs w:val="21"/>
        </w:rPr>
        <w:t>万元的申购、转换转入、定期定额投资业务进行限制；如单日单个基金账户单笔或</w:t>
      </w:r>
      <w:r>
        <w:rPr>
          <w:kern w:val="0"/>
          <w:szCs w:val="21"/>
        </w:rPr>
        <w:t>多笔累计申请金额高于</w:t>
      </w:r>
      <w:r>
        <w:rPr>
          <w:kern w:val="0"/>
          <w:szCs w:val="21"/>
        </w:rPr>
        <w:t xml:space="preserve">1000 </w:t>
      </w:r>
      <w:r>
        <w:rPr>
          <w:kern w:val="0"/>
          <w:szCs w:val="21"/>
        </w:rPr>
        <w:t>万元的，本基金管理人有权拒绝。</w:t>
      </w:r>
    </w:p>
    <w:p w:rsidR="00000000" w:rsidRDefault="001077F9">
      <w:pPr>
        <w:spacing w:line="360" w:lineRule="auto"/>
        <w:ind w:firstLineChars="200" w:firstLine="420"/>
        <w:jc w:val="left"/>
        <w:rPr>
          <w:kern w:val="0"/>
          <w:szCs w:val="21"/>
        </w:rPr>
      </w:pPr>
      <w:r>
        <w:rPr>
          <w:kern w:val="0"/>
          <w:szCs w:val="21"/>
        </w:rPr>
        <w:t>2</w:t>
      </w:r>
      <w:r>
        <w:rPr>
          <w:kern w:val="0"/>
          <w:szCs w:val="21"/>
        </w:rPr>
        <w:t>、</w:t>
      </w:r>
      <w:r>
        <w:rPr>
          <w:kern w:val="0"/>
          <w:szCs w:val="21"/>
        </w:rPr>
        <w:t>权益登记日当日申请申购的基金份额不享有本次分红权益，权益登记日当日申请赎回的基金份额享有本次分红权益。</w:t>
      </w:r>
      <w:r>
        <w:rPr>
          <w:kern w:val="0"/>
          <w:szCs w:val="21"/>
        </w:rPr>
        <w:t xml:space="preserve"> </w:t>
      </w:r>
      <w:r>
        <w:rPr>
          <w:kern w:val="0"/>
          <w:szCs w:val="21"/>
        </w:rPr>
        <w:br/>
      </w:r>
      <w:r>
        <w:rPr>
          <w:kern w:val="0"/>
          <w:szCs w:val="21"/>
        </w:rPr>
        <w:t xml:space="preserve">　　</w:t>
      </w:r>
      <w:r>
        <w:rPr>
          <w:kern w:val="0"/>
          <w:szCs w:val="21"/>
        </w:rPr>
        <w:t>3</w:t>
      </w:r>
      <w:r>
        <w:rPr>
          <w:kern w:val="0"/>
          <w:szCs w:val="21"/>
        </w:rPr>
        <w:t>、对于未选择具体分红方式的投资者，本基金默认的分红方式为现金方式。</w:t>
      </w:r>
      <w:r>
        <w:rPr>
          <w:kern w:val="0"/>
          <w:szCs w:val="21"/>
        </w:rPr>
        <w:t xml:space="preserve"> </w:t>
      </w:r>
      <w:r>
        <w:rPr>
          <w:kern w:val="0"/>
          <w:szCs w:val="21"/>
        </w:rPr>
        <w:br/>
      </w:r>
      <w:r>
        <w:rPr>
          <w:kern w:val="0"/>
          <w:szCs w:val="21"/>
        </w:rPr>
        <w:t xml:space="preserve">　　</w:t>
      </w:r>
      <w:r>
        <w:rPr>
          <w:kern w:val="0"/>
          <w:szCs w:val="21"/>
        </w:rPr>
        <w:t>4</w:t>
      </w:r>
      <w:r>
        <w:rPr>
          <w:kern w:val="0"/>
          <w:szCs w:val="21"/>
        </w:rPr>
        <w:t>、本次分红确认的方式将按照投资者权益登记日当日在注册登记机构登记的分红方式为准。请投资者通过本公司客户服务中心</w:t>
      </w:r>
      <w:r>
        <w:rPr>
          <w:kern w:val="0"/>
          <w:szCs w:val="21"/>
        </w:rPr>
        <w:t>(400-811-9999)</w:t>
      </w:r>
      <w:r>
        <w:rPr>
          <w:kern w:val="0"/>
          <w:szCs w:val="21"/>
        </w:rPr>
        <w:t>查询分红方式，如需修改分红方式的，请务必在权益登记日前一日的交易时间结束前（即</w:t>
      </w:r>
      <w:r>
        <w:rPr>
          <w:kern w:val="0"/>
          <w:szCs w:val="21"/>
        </w:rPr>
        <w:t>2025</w:t>
      </w:r>
      <w:r>
        <w:rPr>
          <w:kern w:val="0"/>
          <w:szCs w:val="21"/>
        </w:rPr>
        <w:t>年</w:t>
      </w:r>
      <w:r>
        <w:rPr>
          <w:kern w:val="0"/>
          <w:szCs w:val="21"/>
        </w:rPr>
        <w:t>1</w:t>
      </w:r>
      <w:r>
        <w:rPr>
          <w:kern w:val="0"/>
          <w:szCs w:val="21"/>
        </w:rPr>
        <w:t>月</w:t>
      </w:r>
      <w:r>
        <w:rPr>
          <w:kern w:val="0"/>
          <w:szCs w:val="21"/>
        </w:rPr>
        <w:t>14</w:t>
      </w:r>
      <w:r>
        <w:rPr>
          <w:kern w:val="0"/>
          <w:szCs w:val="21"/>
        </w:rPr>
        <w:t>日</w:t>
      </w:r>
      <w:r>
        <w:rPr>
          <w:kern w:val="0"/>
          <w:szCs w:val="21"/>
        </w:rPr>
        <w:t>15</w:t>
      </w:r>
      <w:r>
        <w:rPr>
          <w:kern w:val="0"/>
          <w:szCs w:val="21"/>
        </w:rPr>
        <w:t>：</w:t>
      </w:r>
      <w:r>
        <w:rPr>
          <w:kern w:val="0"/>
          <w:szCs w:val="21"/>
        </w:rPr>
        <w:t>00</w:t>
      </w:r>
      <w:r>
        <w:rPr>
          <w:kern w:val="0"/>
          <w:szCs w:val="21"/>
        </w:rPr>
        <w:t>前）到销售网</w:t>
      </w:r>
      <w:r>
        <w:rPr>
          <w:kern w:val="0"/>
          <w:szCs w:val="21"/>
        </w:rPr>
        <w:t>点办理变更手续，投资者在权益登记日前一工作日超过交易时间提交的修改分红方式申请无效。</w:t>
      </w:r>
      <w:r>
        <w:rPr>
          <w:kern w:val="0"/>
          <w:szCs w:val="21"/>
        </w:rPr>
        <w:t xml:space="preserve"> </w:t>
      </w:r>
      <w:r>
        <w:rPr>
          <w:kern w:val="0"/>
          <w:szCs w:val="21"/>
        </w:rPr>
        <w:br/>
      </w:r>
      <w:r>
        <w:rPr>
          <w:kern w:val="0"/>
          <w:szCs w:val="21"/>
        </w:rPr>
        <w:t xml:space="preserve">　　</w:t>
      </w:r>
      <w:r>
        <w:rPr>
          <w:kern w:val="0"/>
          <w:szCs w:val="21"/>
        </w:rPr>
        <w:t>5</w:t>
      </w:r>
      <w:r>
        <w:rPr>
          <w:kern w:val="0"/>
          <w:szCs w:val="21"/>
        </w:rPr>
        <w:t>、本次分红不会改变本基金的风险收益特征，也不会降低本基金的投资风险或提高本基金的投资收益。</w:t>
      </w:r>
      <w:r>
        <w:rPr>
          <w:kern w:val="0"/>
          <w:szCs w:val="21"/>
        </w:rPr>
        <w:t xml:space="preserve"> </w:t>
      </w:r>
      <w:r>
        <w:rPr>
          <w:kern w:val="0"/>
          <w:szCs w:val="21"/>
        </w:rPr>
        <w:br/>
      </w:r>
      <w:r>
        <w:rPr>
          <w:kern w:val="0"/>
          <w:szCs w:val="21"/>
        </w:rPr>
        <w:t xml:space="preserve">　　</w:t>
      </w:r>
      <w:r>
        <w:rPr>
          <w:kern w:val="0"/>
          <w:szCs w:val="21"/>
        </w:rPr>
        <w:t>6</w:t>
      </w:r>
      <w:r>
        <w:rPr>
          <w:kern w:val="0"/>
          <w:szCs w:val="21"/>
        </w:rPr>
        <w:t>、因分红导致基金净值调整至</w:t>
      </w:r>
      <w:r>
        <w:rPr>
          <w:kern w:val="0"/>
          <w:szCs w:val="21"/>
        </w:rPr>
        <w:t>1</w:t>
      </w:r>
      <w:r>
        <w:rPr>
          <w:kern w:val="0"/>
          <w:szCs w:val="21"/>
        </w:rPr>
        <w:t>元初始面值附近，在市场波动等因素的影响下，基金投资仍有可能出现亏损或基金净值仍有可能低于初始面值。</w:t>
      </w:r>
      <w:r>
        <w:rPr>
          <w:kern w:val="0"/>
          <w:szCs w:val="21"/>
        </w:rPr>
        <w:t xml:space="preserve"> </w:t>
      </w:r>
      <w:r>
        <w:rPr>
          <w:kern w:val="0"/>
          <w:szCs w:val="21"/>
        </w:rPr>
        <w:br/>
      </w:r>
      <w:r>
        <w:rPr>
          <w:kern w:val="0"/>
          <w:szCs w:val="21"/>
        </w:rPr>
        <w:t xml:space="preserve">　　</w:t>
      </w:r>
      <w:r>
        <w:rPr>
          <w:kern w:val="0"/>
          <w:szCs w:val="21"/>
        </w:rPr>
        <w:t>7</w:t>
      </w:r>
      <w:r>
        <w:rPr>
          <w:kern w:val="0"/>
          <w:szCs w:val="21"/>
        </w:rPr>
        <w:t>、咨询办法</w:t>
      </w:r>
      <w:r>
        <w:rPr>
          <w:kern w:val="0"/>
          <w:szCs w:val="21"/>
        </w:rPr>
        <w:t xml:space="preserve"> </w:t>
      </w:r>
      <w:r>
        <w:rPr>
          <w:kern w:val="0"/>
          <w:szCs w:val="21"/>
        </w:rPr>
        <w:br/>
      </w:r>
      <w:r>
        <w:rPr>
          <w:kern w:val="0"/>
          <w:szCs w:val="21"/>
        </w:rPr>
        <w:t xml:space="preserve">　　</w:t>
      </w:r>
      <w:r>
        <w:rPr>
          <w:kern w:val="0"/>
          <w:szCs w:val="21"/>
        </w:rPr>
        <w:t>1</w:t>
      </w:r>
      <w:r>
        <w:rPr>
          <w:kern w:val="0"/>
          <w:szCs w:val="21"/>
        </w:rPr>
        <w:t>）本基金管理人网站：</w:t>
      </w:r>
      <w:r>
        <w:rPr>
          <w:kern w:val="0"/>
          <w:szCs w:val="21"/>
        </w:rPr>
        <w:t>http://www.icbccs.com.cn</w:t>
      </w:r>
      <w:r>
        <w:rPr>
          <w:kern w:val="0"/>
          <w:szCs w:val="21"/>
        </w:rPr>
        <w:t>。</w:t>
      </w:r>
      <w:r>
        <w:rPr>
          <w:kern w:val="0"/>
          <w:szCs w:val="21"/>
        </w:rPr>
        <w:t xml:space="preserve"> </w:t>
      </w:r>
      <w:r>
        <w:rPr>
          <w:kern w:val="0"/>
          <w:szCs w:val="21"/>
        </w:rPr>
        <w:br/>
      </w:r>
      <w:r>
        <w:rPr>
          <w:kern w:val="0"/>
          <w:szCs w:val="21"/>
        </w:rPr>
        <w:t xml:space="preserve">　　</w:t>
      </w:r>
      <w:r>
        <w:rPr>
          <w:kern w:val="0"/>
          <w:szCs w:val="21"/>
        </w:rPr>
        <w:t>2</w:t>
      </w:r>
      <w:r>
        <w:rPr>
          <w:kern w:val="0"/>
          <w:szCs w:val="21"/>
        </w:rPr>
        <w:t>）本基金管理人客户服务电话：</w:t>
      </w:r>
      <w:r>
        <w:rPr>
          <w:kern w:val="0"/>
          <w:szCs w:val="21"/>
        </w:rPr>
        <w:t>400-811-9999</w:t>
      </w:r>
      <w:r>
        <w:rPr>
          <w:kern w:val="0"/>
          <w:szCs w:val="21"/>
        </w:rPr>
        <w:t>。</w:t>
      </w:r>
      <w:r>
        <w:rPr>
          <w:kern w:val="0"/>
          <w:szCs w:val="21"/>
        </w:rPr>
        <w:t xml:space="preserve"> </w:t>
      </w:r>
      <w:r>
        <w:rPr>
          <w:kern w:val="0"/>
          <w:szCs w:val="21"/>
        </w:rPr>
        <w:br/>
      </w:r>
      <w:r>
        <w:rPr>
          <w:kern w:val="0"/>
          <w:szCs w:val="21"/>
        </w:rPr>
        <w:t xml:space="preserve">　　</w:t>
      </w:r>
      <w:r>
        <w:rPr>
          <w:kern w:val="0"/>
          <w:szCs w:val="21"/>
        </w:rPr>
        <w:t>8</w:t>
      </w:r>
      <w:r>
        <w:rPr>
          <w:kern w:val="0"/>
          <w:szCs w:val="21"/>
        </w:rPr>
        <w:t>、投资者可登录本公</w:t>
      </w:r>
      <w:r>
        <w:rPr>
          <w:kern w:val="0"/>
          <w:szCs w:val="21"/>
        </w:rPr>
        <w:t>司网站查询本基金销售机构相关信息。</w:t>
      </w:r>
      <w:r>
        <w:rPr>
          <w:kern w:val="0"/>
          <w:szCs w:val="21"/>
        </w:rPr>
        <w:t xml:space="preserve"> </w:t>
      </w:r>
      <w:r>
        <w:rPr>
          <w:kern w:val="0"/>
          <w:szCs w:val="21"/>
        </w:rPr>
        <w:br/>
      </w:r>
      <w:r>
        <w:rPr>
          <w:kern w:val="0"/>
          <w:szCs w:val="21"/>
        </w:rPr>
        <w:t xml:space="preserve">　　</w:t>
      </w:r>
      <w:r>
        <w:rPr>
          <w:kern w:val="0"/>
          <w:szCs w:val="21"/>
        </w:rPr>
        <w:t>9</w:t>
      </w:r>
      <w:r>
        <w:rPr>
          <w:kern w:val="0"/>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r>
        <w:rPr>
          <w:kern w:val="0"/>
          <w:szCs w:val="21"/>
        </w:rPr>
        <w:t xml:space="preserve"> </w:t>
      </w:r>
      <w:r>
        <w:rPr>
          <w:kern w:val="0"/>
          <w:szCs w:val="21"/>
        </w:rPr>
        <w:br/>
      </w:r>
      <w:r>
        <w:rPr>
          <w:kern w:val="0"/>
          <w:szCs w:val="21"/>
        </w:rPr>
        <w:t xml:space="preserve">　　</w:t>
      </w:r>
      <w:r>
        <w:rPr>
          <w:kern w:val="0"/>
          <w:szCs w:val="21"/>
        </w:rPr>
        <w:t xml:space="preserve"> </w:t>
      </w:r>
    </w:p>
    <w:p w:rsidR="00000000" w:rsidRDefault="001077F9">
      <w:pPr>
        <w:spacing w:line="360" w:lineRule="auto"/>
        <w:ind w:firstLineChars="600" w:firstLine="1446"/>
        <w:jc w:val="right"/>
        <w:rPr>
          <w:rFonts w:cs="宋体"/>
          <w:b/>
          <w:bCs/>
          <w:sz w:val="24"/>
          <w:szCs w:val="30"/>
        </w:rPr>
      </w:pPr>
      <w:r>
        <w:rPr>
          <w:rFonts w:cs="宋体"/>
          <w:b/>
          <w:bCs/>
          <w:sz w:val="24"/>
          <w:szCs w:val="30"/>
        </w:rPr>
        <w:t xml:space="preserve">　</w:t>
      </w:r>
      <w:r>
        <w:rPr>
          <w:rFonts w:cs="宋体"/>
          <w:b/>
          <w:bCs/>
          <w:sz w:val="24"/>
          <w:szCs w:val="30"/>
        </w:rPr>
        <w:t xml:space="preserve"> </w:t>
      </w:r>
    </w:p>
    <w:p w:rsidR="00000000" w:rsidRDefault="001077F9">
      <w:pPr>
        <w:spacing w:line="360" w:lineRule="auto"/>
        <w:ind w:firstLineChars="600" w:firstLine="1446"/>
        <w:jc w:val="right"/>
        <w:rPr>
          <w:rFonts w:cs="宋体"/>
          <w:b/>
          <w:bCs/>
          <w:sz w:val="24"/>
          <w:szCs w:val="30"/>
        </w:rPr>
      </w:pPr>
      <w:r>
        <w:rPr>
          <w:rFonts w:cs="宋体"/>
          <w:b/>
          <w:bCs/>
          <w:sz w:val="24"/>
          <w:szCs w:val="30"/>
        </w:rPr>
        <w:t xml:space="preserve">　</w:t>
      </w:r>
      <w:r>
        <w:rPr>
          <w:rFonts w:cs="宋体"/>
          <w:b/>
          <w:bCs/>
          <w:sz w:val="24"/>
          <w:szCs w:val="30"/>
        </w:rPr>
        <w:t xml:space="preserve"> </w:t>
      </w:r>
    </w:p>
    <w:p w:rsidR="00000000" w:rsidRDefault="001077F9">
      <w:pPr>
        <w:spacing w:line="360" w:lineRule="auto"/>
        <w:ind w:firstLineChars="600" w:firstLine="1446"/>
        <w:jc w:val="right"/>
      </w:pPr>
      <w:r>
        <w:rPr>
          <w:rFonts w:cs="宋体"/>
          <w:b/>
          <w:bCs/>
          <w:sz w:val="24"/>
          <w:szCs w:val="24"/>
        </w:rPr>
        <w:t>工银瑞信基金管理有限公司</w:t>
      </w:r>
    </w:p>
    <w:p w:rsidR="00000000" w:rsidRDefault="001077F9">
      <w:pPr>
        <w:spacing w:line="360" w:lineRule="auto"/>
        <w:ind w:firstLineChars="600" w:firstLine="1446"/>
        <w:jc w:val="right"/>
      </w:pPr>
      <w:r>
        <w:rPr>
          <w:rFonts w:cs="宋体"/>
          <w:b/>
          <w:bCs/>
          <w:sz w:val="24"/>
          <w:szCs w:val="24"/>
        </w:rPr>
        <w:t>2025</w:t>
      </w:r>
      <w:r>
        <w:rPr>
          <w:rFonts w:cs="宋体"/>
          <w:b/>
          <w:bCs/>
          <w:sz w:val="24"/>
          <w:szCs w:val="24"/>
        </w:rPr>
        <w:t>年</w:t>
      </w:r>
      <w:r>
        <w:rPr>
          <w:rFonts w:cs="宋体"/>
          <w:b/>
          <w:bCs/>
          <w:sz w:val="24"/>
          <w:szCs w:val="24"/>
        </w:rPr>
        <w:t>1</w:t>
      </w:r>
      <w:r>
        <w:rPr>
          <w:rFonts w:cs="宋体"/>
          <w:b/>
          <w:bCs/>
          <w:sz w:val="24"/>
          <w:szCs w:val="24"/>
        </w:rPr>
        <w:t>月</w:t>
      </w:r>
      <w:r>
        <w:rPr>
          <w:rFonts w:cs="宋体"/>
          <w:b/>
          <w:bCs/>
          <w:sz w:val="24"/>
          <w:szCs w:val="24"/>
        </w:rPr>
        <w:t>13</w:t>
      </w:r>
      <w:r>
        <w:rPr>
          <w:rFonts w:cs="宋体"/>
          <w:b/>
          <w:bCs/>
          <w:sz w:val="24"/>
          <w:szCs w:val="24"/>
        </w:rPr>
        <w:t>日</w:t>
      </w:r>
      <w:bookmarkEnd w:id="31"/>
      <w:r>
        <w:rPr>
          <w:b/>
          <w:bCs/>
          <w:sz w:val="24"/>
          <w:szCs w:val="24"/>
        </w:rPr>
        <w:t xml:space="preserve"> </w:t>
      </w:r>
    </w:p>
    <w:sectPr w:rsidR="00000000">
      <w:headerReference w:type="default" r:id="rId7"/>
      <w:footerReference w:type="default" r:id="rId8"/>
      <w:headerReference w:type="first" r:id="rId9"/>
      <w:footerReference w:type="first" r:id="rId10"/>
      <w:pgSz w:w="11915" w:h="16839"/>
      <w:pgMar w:top="1440" w:right="1531" w:bottom="1135"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077F9">
      <w:r>
        <w:separator/>
      </w:r>
    </w:p>
  </w:endnote>
  <w:endnote w:type="continuationSeparator" w:id="0">
    <w:p w:rsidR="00000000" w:rsidRDefault="0010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icrosoft YaHei UI">
    <w:charset w:val="86"/>
    <w:family w:val="auto"/>
    <w:pitch w:val="default"/>
    <w:sig w:usb0="80000287" w:usb1="2ACF3C50" w:usb2="00000016" w:usb3="00000000" w:csb0="0004001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77F9">
    <w:pPr>
      <w:jc w:val="center"/>
    </w:pPr>
    <w:r>
      <w:rPr>
        <w:rFonts w:cs="宋体"/>
        <w:sz w:val="18"/>
        <w:szCs w:val="18"/>
      </w:rPr>
      <w:t>第</w:t>
    </w:r>
    <w:r>
      <w:t xml:space="preserve"> </w:t>
    </w:r>
    <w:r>
      <w:rPr>
        <w:sz w:val="18"/>
        <w:szCs w:val="18"/>
      </w:rPr>
      <w:fldChar w:fldCharType="begin"/>
    </w:r>
    <w:r>
      <w:rPr>
        <w:sz w:val="18"/>
        <w:szCs w:val="18"/>
      </w:rPr>
      <w:instrText xml:space="preserve">PAGE </w:instrText>
    </w:r>
    <w:r>
      <w:rPr>
        <w:sz w:val="18"/>
        <w:szCs w:val="18"/>
      </w:rPr>
      <w:fldChar w:fldCharType="separate"/>
    </w:r>
    <w:r>
      <w:rPr>
        <w:rFonts w:hint="default"/>
        <w:noProof/>
        <w:sz w:val="18"/>
        <w:szCs w:val="18"/>
      </w:rPr>
      <w:t>2</w:t>
    </w:r>
    <w:r>
      <w:rPr>
        <w:sz w:val="18"/>
        <w:szCs w:val="18"/>
      </w:rPr>
      <w:fldChar w:fldCharType="end"/>
    </w:r>
    <w:r>
      <w:rPr>
        <w:sz w:val="18"/>
        <w:szCs w:val="18"/>
        <w:lang w:val="zh-CN"/>
      </w:rPr>
      <w:t>页</w:t>
    </w:r>
    <w:r>
      <w:rPr>
        <w:sz w:val="18"/>
        <w:szCs w:val="18"/>
        <w:lang w:val="zh-CN"/>
      </w:rPr>
      <w:t xml:space="preserve"> </w:t>
    </w:r>
    <w:r>
      <w:rPr>
        <w:sz w:val="18"/>
        <w:szCs w:val="18"/>
        <w:lang w:val="zh-CN"/>
      </w:rPr>
      <w:t>共</w:t>
    </w:r>
    <w:r>
      <w:t xml:space="preserve"> </w:t>
    </w:r>
    <w:r>
      <w:rPr>
        <w:sz w:val="18"/>
        <w:szCs w:val="18"/>
      </w:rPr>
      <w:fldChar w:fldCharType="begin"/>
    </w:r>
    <w:r>
      <w:rPr>
        <w:sz w:val="18"/>
        <w:szCs w:val="18"/>
      </w:rPr>
      <w:instrText xml:space="preserve">NUMPAGES  </w:instrText>
    </w:r>
    <w:r>
      <w:rPr>
        <w:sz w:val="18"/>
        <w:szCs w:val="18"/>
      </w:rPr>
      <w:fldChar w:fldCharType="separate"/>
    </w:r>
    <w:r>
      <w:rPr>
        <w:rFonts w:hint="default"/>
        <w:noProof/>
        <w:sz w:val="18"/>
        <w:szCs w:val="18"/>
      </w:rPr>
      <w:t>2</w:t>
    </w:r>
    <w:r>
      <w:rPr>
        <w:sz w:val="18"/>
        <w:szCs w:val="18"/>
      </w:rPr>
      <w:fldChar w:fldCharType="end"/>
    </w:r>
    <w:r>
      <w:rPr>
        <w:sz w:val="18"/>
        <w:szCs w:val="18"/>
      </w:rPr>
      <w:t>页</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77F9">
    <w:pPr>
      <w:pStyle w:val="a6"/>
      <w:rPr>
        <w:rFonts w:cs="宋体"/>
      </w:rPr>
    </w:pPr>
    <w:r>
      <w:rPr>
        <w:rFonts w:cs="宋体"/>
      </w:rPr>
      <w:t xml:space="preserve"> </w:t>
    </w:r>
  </w:p>
  <w:p w:rsidR="00000000" w:rsidRDefault="001077F9">
    <w:pPr>
      <w:jc w:val="center"/>
    </w:pPr>
    <w:r>
      <w:rPr>
        <w:rFonts w:cs="宋体"/>
        <w:sz w:val="18"/>
        <w:szCs w:val="18"/>
      </w:rPr>
      <w:t>第</w:t>
    </w:r>
    <w:r>
      <w:t xml:space="preserve"> </w:t>
    </w:r>
    <w:r>
      <w:rPr>
        <w:sz w:val="18"/>
        <w:szCs w:val="18"/>
      </w:rPr>
      <w:fldChar w:fldCharType="begin"/>
    </w:r>
    <w:r>
      <w:rPr>
        <w:sz w:val="18"/>
        <w:szCs w:val="18"/>
      </w:rPr>
      <w:instrText xml:space="preserve">PAGE </w:instrText>
    </w:r>
    <w:r>
      <w:rPr>
        <w:sz w:val="18"/>
        <w:szCs w:val="18"/>
      </w:rPr>
      <w:fldChar w:fldCharType="separate"/>
    </w:r>
    <w:r>
      <w:rPr>
        <w:rFonts w:hint="default"/>
        <w:noProof/>
        <w:sz w:val="18"/>
        <w:szCs w:val="18"/>
      </w:rPr>
      <w:t>1</w:t>
    </w:r>
    <w:r>
      <w:rPr>
        <w:sz w:val="18"/>
        <w:szCs w:val="18"/>
      </w:rPr>
      <w:fldChar w:fldCharType="end"/>
    </w:r>
    <w:r>
      <w:rPr>
        <w:sz w:val="18"/>
        <w:szCs w:val="18"/>
        <w:lang w:val="zh-CN"/>
      </w:rPr>
      <w:t>页</w:t>
    </w:r>
    <w:r>
      <w:rPr>
        <w:sz w:val="18"/>
        <w:szCs w:val="18"/>
        <w:lang w:val="zh-CN"/>
      </w:rPr>
      <w:t xml:space="preserve"> </w:t>
    </w:r>
    <w:r>
      <w:rPr>
        <w:sz w:val="18"/>
        <w:szCs w:val="18"/>
        <w:lang w:val="zh-CN"/>
      </w:rPr>
      <w:t>共</w:t>
    </w:r>
    <w:r>
      <w:t xml:space="preserve"> </w:t>
    </w:r>
    <w:r>
      <w:rPr>
        <w:sz w:val="18"/>
        <w:szCs w:val="18"/>
      </w:rPr>
      <w:fldChar w:fldCharType="begin"/>
    </w:r>
    <w:r>
      <w:rPr>
        <w:sz w:val="18"/>
        <w:szCs w:val="18"/>
      </w:rPr>
      <w:instrText xml:space="preserve">NUMPAGES  </w:instrText>
    </w:r>
    <w:r>
      <w:rPr>
        <w:sz w:val="18"/>
        <w:szCs w:val="18"/>
      </w:rPr>
      <w:fldChar w:fldCharType="separate"/>
    </w:r>
    <w:r>
      <w:rPr>
        <w:rFonts w:hint="default"/>
        <w:noProof/>
        <w:sz w:val="18"/>
        <w:szCs w:val="18"/>
      </w:rPr>
      <w:t>1</w:t>
    </w:r>
    <w:r>
      <w:rPr>
        <w:sz w:val="18"/>
        <w:szCs w:val="18"/>
      </w:rPr>
      <w:fldChar w:fldCharType="end"/>
    </w:r>
    <w:r>
      <w:rPr>
        <w:sz w:val="18"/>
        <w:szCs w:val="18"/>
      </w:rPr>
      <w:t>页</w:t>
    </w:r>
    <w:r>
      <w:t xml:space="preserve"> </w:t>
    </w:r>
  </w:p>
  <w:p w:rsidR="00000000" w:rsidRDefault="001077F9">
    <w:pPr>
      <w:pStyle w:val="a6"/>
      <w:rPr>
        <w:rFonts w:cs="宋体"/>
      </w:rPr>
    </w:pPr>
    <w:r>
      <w:rPr>
        <w:rFonts w:cs="宋体"/>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077F9">
      <w:r>
        <w:separator/>
      </w:r>
    </w:p>
  </w:footnote>
  <w:footnote w:type="continuationSeparator" w:id="0">
    <w:p w:rsidR="00000000" w:rsidRDefault="00107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77F9">
    <w:pPr>
      <w:pStyle w:val="a7"/>
      <w:jc w:val="right"/>
    </w:pPr>
    <w:r>
      <w:rPr>
        <w:rFonts w:cs="宋体"/>
      </w:rPr>
      <w:t>工银瑞信信用添利债券型证券投资基金</w:t>
    </w:r>
    <w:r>
      <w:rPr>
        <w:rFonts w:cs="宋体"/>
      </w:rPr>
      <w:t>2024</w:t>
    </w:r>
    <w:r>
      <w:rPr>
        <w:rFonts w:cs="宋体"/>
      </w:rPr>
      <w:t>年第一次分红公告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77F9">
    <w:pPr>
      <w:pStyle w:val="a7"/>
      <w:jc w:val="right"/>
    </w:pPr>
    <w:r>
      <w:rPr>
        <w:rFonts w:cs="宋体"/>
      </w:rPr>
      <w:t>工银瑞信信用添利债券型证券投资基金</w:t>
    </w:r>
    <w:r>
      <w:rPr>
        <w:rFonts w:cs="宋体"/>
      </w:rPr>
      <w:t>2024</w:t>
    </w:r>
    <w:r>
      <w:rPr>
        <w:rFonts w:cs="宋体"/>
      </w:rPr>
      <w:t>年第一次分红公告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A2D9E"/>
    <w:multiLevelType w:val="multilevel"/>
    <w:tmpl w:val="4E5A2D9E"/>
    <w:lvl w:ilvl="0">
      <w:start w:val="1"/>
      <w:numFmt w:val="decimal"/>
      <w:lvlText w:val="%1."/>
      <w:lvlJc w:val="left"/>
      <w:pPr>
        <w:ind w:left="425" w:hanging="425"/>
      </w:pPr>
      <w:rPr>
        <w:sz w:val="24"/>
        <w:szCs w:val="24"/>
      </w:rPr>
    </w:lvl>
    <w:lvl w:ilvl="1">
      <w:start w:val="1"/>
      <w:numFmt w:val="decimal"/>
      <w:suff w:val="space"/>
      <w:lvlText w:val="%1.%2"/>
      <w:lvlJc w:val="left"/>
      <w:pPr>
        <w:ind w:left="3148" w:hanging="454"/>
      </w:pPr>
    </w:lvl>
    <w:lvl w:ilvl="2">
      <w:start w:val="1"/>
      <w:numFmt w:val="decimal"/>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bordersDoNotSurroundHeader/>
  <w:bordersDoNotSurroundFooter/>
  <w:doNotTrackMoves/>
  <w:defaultTabStop w:val="420"/>
  <w:drawingGridHorizontalSpacing w:val="106"/>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077F9"/>
    <w:rsid w:val="38623AF4"/>
    <w:rsid w:val="4DAB5EF4"/>
    <w:rsid w:val="694506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page number" w:semiHidden="0" w:uiPriority="0" w:unhideWhenUsed="0"/>
    <w:lsdException w:name="Title" w:semiHidden="0" w:uiPriority="10" w:unhideWhenUsed="0" w:qFormat="1"/>
    <w:lsdException w:name="Default Paragraph Font" w:semiHidden="0"/>
    <w:lsdException w:name="Subtitle" w:semiHidden="0" w:uiPriority="0" w:unhideWhenUsed="0" w:qFormat="1"/>
    <w:lsdException w:name="Date" w:semiHidden="0" w:uiPriority="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HTML Preformatted" w:semiHidden="0"/>
    <w:lsdException w:name="Normal Table" w:semiHidden="0"/>
    <w:lsdException w:name="Balloon Text" w:semiHidden="0"/>
    <w:lsdException w:name="Table Grid" w:semiHidden="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jc w:val="both"/>
    </w:pPr>
    <w:rPr>
      <w:rFonts w:hint="eastAsia"/>
      <w:kern w:val="2"/>
      <w:sz w:val="21"/>
    </w:rPr>
  </w:style>
  <w:style w:type="paragraph" w:styleId="1">
    <w:name w:val="heading 1"/>
    <w:basedOn w:val="a"/>
    <w:next w:val="a"/>
    <w:link w:val="1Char2"/>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1"/>
    <w:uiPriority w:val="9"/>
    <w:qFormat/>
    <w:pPr>
      <w:keepNext/>
      <w:keepLines/>
      <w:spacing w:before="260" w:after="260" w:line="408" w:lineRule="auto"/>
      <w:outlineLvl w:val="1"/>
    </w:pPr>
    <w:rPr>
      <w:rFonts w:ascii="Cambria" w:eastAsia="Cambria" w:hAnsi="Cambria" w:hint="default"/>
      <w:b/>
      <w:bCs/>
      <w:kern w:val="0"/>
      <w:sz w:val="32"/>
      <w:szCs w:val="32"/>
    </w:rPr>
  </w:style>
  <w:style w:type="paragraph" w:styleId="3">
    <w:name w:val="heading 3"/>
    <w:basedOn w:val="a"/>
    <w:next w:val="a"/>
    <w:link w:val="3Char"/>
    <w:uiPriority w:val="9"/>
    <w:qFormat/>
    <w:pPr>
      <w:keepNext/>
      <w:keepLines/>
      <w:spacing w:before="260" w:after="260" w:line="408" w:lineRule="auto"/>
      <w:outlineLvl w:val="2"/>
    </w:pPr>
    <w:rPr>
      <w:b/>
      <w:bCs/>
      <w:kern w:val="0"/>
      <w:sz w:val="32"/>
      <w:szCs w:val="32"/>
    </w:rPr>
  </w:style>
  <w:style w:type="paragraph" w:styleId="4">
    <w:name w:val="heading 4"/>
    <w:basedOn w:val="a"/>
    <w:next w:val="a"/>
    <w:link w:val="4Char"/>
    <w:qFormat/>
    <w:pPr>
      <w:keepNext/>
      <w:keepLines/>
      <w:spacing w:before="240" w:after="290" w:line="372" w:lineRule="auto"/>
      <w:outlineLvl w:val="3"/>
    </w:pPr>
    <w:rPr>
      <w:rFonts w:ascii="Cambria" w:eastAsia="Cambria" w:hAnsi="Cambria" w:hint="default"/>
      <w:b/>
      <w:bCs/>
      <w:kern w:val="0"/>
      <w:sz w:val="24"/>
      <w:szCs w:val="24"/>
    </w:rPr>
  </w:style>
  <w:style w:type="paragraph" w:styleId="5">
    <w:name w:val="heading 5"/>
    <w:basedOn w:val="a"/>
    <w:next w:val="a"/>
    <w:link w:val="5Char1"/>
    <w:uiPriority w:val="9"/>
    <w:qFormat/>
    <w:pPr>
      <w:keepNext/>
      <w:keepLines/>
      <w:spacing w:before="240" w:after="290" w:line="372" w:lineRule="auto"/>
      <w:outlineLvl w:val="4"/>
    </w:pPr>
    <w:rPr>
      <w:b/>
      <w:bCs/>
      <w:sz w:val="24"/>
      <w:szCs w:val="24"/>
    </w:rPr>
  </w:style>
  <w:style w:type="paragraph" w:styleId="6">
    <w:name w:val="heading 6"/>
    <w:basedOn w:val="a"/>
    <w:next w:val="a"/>
    <w:link w:val="6Char"/>
    <w:uiPriority w:val="9"/>
    <w:qFormat/>
    <w:pPr>
      <w:keepNext/>
      <w:keepLines/>
      <w:spacing w:before="240" w:after="64" w:line="312" w:lineRule="auto"/>
      <w:outlineLvl w:val="5"/>
    </w:pPr>
    <w:rPr>
      <w:rFonts w:ascii="Cambria" w:hAnsi="Cambria" w:hint="default"/>
      <w:b/>
      <w:bCs/>
      <w:sz w:val="24"/>
      <w:szCs w:val="24"/>
    </w:rPr>
  </w:style>
  <w:style w:type="character" w:default="1" w:styleId="a0">
    <w:name w:val="Default Paragraph Font"/>
    <w:uiPriority w:val="99"/>
    <w:unhideWhenUsed/>
  </w:style>
  <w:style w:type="table" w:default="1" w:styleId="a1">
    <w:name w:val="Normal Table"/>
    <w:uiPriority w:val="99"/>
    <w:unhideWhenUsed/>
    <w:rPr>
      <w:rFonts w:cs="宋体" w:hint="eastAsia"/>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locked/>
    <w:rPr>
      <w:b/>
      <w:bCs/>
      <w:kern w:val="44"/>
      <w:sz w:val="44"/>
      <w:szCs w:val="44"/>
    </w:rPr>
  </w:style>
  <w:style w:type="character" w:customStyle="1" w:styleId="2Char1">
    <w:name w:val="标题 2 Char1"/>
    <w:basedOn w:val="a0"/>
    <w:link w:val="2"/>
    <w:locked/>
    <w:rPr>
      <w:rFonts w:ascii="Cambria" w:eastAsia="宋体" w:hAnsi="Cambria" w:cs="宋体" w:hint="default"/>
      <w:b/>
      <w:bCs/>
      <w:sz w:val="32"/>
      <w:szCs w:val="32"/>
    </w:rPr>
  </w:style>
  <w:style w:type="character" w:customStyle="1" w:styleId="3Char">
    <w:name w:val="标题 3 Char"/>
    <w:basedOn w:val="a0"/>
    <w:link w:val="3"/>
    <w:locked/>
    <w:rPr>
      <w:b/>
      <w:bCs/>
      <w:kern w:val="2"/>
      <w:sz w:val="32"/>
      <w:szCs w:val="32"/>
    </w:rPr>
  </w:style>
  <w:style w:type="character" w:customStyle="1" w:styleId="4Char">
    <w:name w:val="标题 4 Char"/>
    <w:basedOn w:val="a0"/>
    <w:link w:val="4"/>
    <w:locked/>
    <w:rPr>
      <w:rFonts w:ascii="Cambria" w:eastAsia="宋体" w:hAnsi="Cambria" w:cs="Times New Roman" w:hint="default"/>
      <w:b/>
      <w:bCs/>
      <w:kern w:val="2"/>
      <w:sz w:val="24"/>
      <w:szCs w:val="24"/>
    </w:rPr>
  </w:style>
  <w:style w:type="character" w:customStyle="1" w:styleId="5Char1">
    <w:name w:val="标题 5 Char1"/>
    <w:basedOn w:val="a0"/>
    <w:link w:val="5"/>
    <w:locked/>
    <w:rPr>
      <w:b/>
      <w:bCs/>
      <w:kern w:val="2"/>
      <w:sz w:val="24"/>
      <w:szCs w:val="24"/>
    </w:rPr>
  </w:style>
  <w:style w:type="character" w:customStyle="1" w:styleId="6Char">
    <w:name w:val="标题 6 Char"/>
    <w:basedOn w:val="a0"/>
    <w:link w:val="6"/>
    <w:locked/>
    <w:rPr>
      <w:rFonts w:ascii="Cambria" w:eastAsia="宋体" w:hAnsi="Cambria" w:cs="Times New Roman" w:hint="default"/>
      <w:b/>
      <w:bCs/>
      <w:kern w:val="2"/>
      <w:sz w:val="24"/>
      <w:szCs w:val="24"/>
    </w:rPr>
  </w:style>
  <w:style w:type="paragraph" w:styleId="a3">
    <w:name w:val="Document Map"/>
    <w:basedOn w:val="a"/>
    <w:link w:val="Char"/>
    <w:pPr>
      <w:shd w:val="clear" w:color="auto" w:fill="000080"/>
    </w:pPr>
  </w:style>
  <w:style w:type="character" w:customStyle="1" w:styleId="Char">
    <w:name w:val="文档结构图 Char"/>
    <w:basedOn w:val="a0"/>
    <w:link w:val="a3"/>
    <w:locked/>
    <w:rPr>
      <w:rFonts w:ascii="宋体" w:eastAsia="宋体" w:hAnsi="宋体" w:cs="宋体" w:hint="eastAsia"/>
      <w:kern w:val="2"/>
      <w:sz w:val="18"/>
      <w:szCs w:val="18"/>
    </w:rPr>
  </w:style>
  <w:style w:type="paragraph" w:styleId="30">
    <w:name w:val="toc 3"/>
    <w:basedOn w:val="a"/>
    <w:next w:val="a"/>
    <w:uiPriority w:val="39"/>
  </w:style>
  <w:style w:type="paragraph" w:styleId="a4">
    <w:name w:val="Date"/>
    <w:basedOn w:val="a"/>
    <w:next w:val="a"/>
    <w:link w:val="Char1"/>
    <w:rPr>
      <w:sz w:val="32"/>
    </w:rPr>
  </w:style>
  <w:style w:type="character" w:customStyle="1" w:styleId="Char1">
    <w:name w:val="日期 Char1"/>
    <w:basedOn w:val="a0"/>
    <w:link w:val="a4"/>
    <w:locked/>
    <w:rPr>
      <w:rFonts w:ascii="宋体" w:eastAsia="宋体" w:hAnsi="宋体" w:cs="宋体" w:hint="eastAsia"/>
      <w:kern w:val="2"/>
      <w:sz w:val="32"/>
    </w:rPr>
  </w:style>
  <w:style w:type="paragraph" w:styleId="a5">
    <w:name w:val="Balloon Text"/>
    <w:basedOn w:val="a"/>
    <w:link w:val="Char0"/>
    <w:uiPriority w:val="99"/>
    <w:unhideWhenUsed/>
    <w:rPr>
      <w:sz w:val="18"/>
      <w:szCs w:val="18"/>
    </w:rPr>
  </w:style>
  <w:style w:type="character" w:customStyle="1" w:styleId="Char0">
    <w:name w:val="批注框文本 Char"/>
    <w:basedOn w:val="a0"/>
    <w:link w:val="a5"/>
    <w:locked/>
    <w:rPr>
      <w:kern w:val="2"/>
      <w:sz w:val="18"/>
      <w:szCs w:val="18"/>
    </w:rPr>
  </w:style>
  <w:style w:type="paragraph" w:styleId="a6">
    <w:name w:val="footer"/>
    <w:basedOn w:val="a"/>
    <w:link w:val="Char2"/>
    <w:pPr>
      <w:tabs>
        <w:tab w:val="center" w:pos="4153"/>
        <w:tab w:val="right" w:pos="8306"/>
      </w:tabs>
      <w:snapToGrid w:val="0"/>
      <w:jc w:val="left"/>
    </w:pPr>
    <w:rPr>
      <w:sz w:val="18"/>
      <w:szCs w:val="18"/>
    </w:rPr>
  </w:style>
  <w:style w:type="character" w:customStyle="1" w:styleId="Char2">
    <w:name w:val="页脚 Char"/>
    <w:basedOn w:val="a0"/>
    <w:link w:val="a6"/>
    <w:locked/>
    <w:rPr>
      <w:kern w:val="2"/>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locked/>
    <w:rPr>
      <w:kern w:val="2"/>
      <w:sz w:val="18"/>
      <w:szCs w:val="18"/>
    </w:rPr>
  </w:style>
  <w:style w:type="paragraph" w:styleId="10">
    <w:name w:val="toc 1"/>
    <w:basedOn w:val="a"/>
    <w:next w:val="a"/>
    <w:uiPriority w:val="39"/>
    <w:pPr>
      <w:tabs>
        <w:tab w:val="right" w:leader="dot" w:pos="8835"/>
      </w:tabs>
    </w:pPr>
  </w:style>
  <w:style w:type="paragraph" w:styleId="a8">
    <w:name w:val="Subtitle"/>
    <w:basedOn w:val="2"/>
    <w:next w:val="3"/>
    <w:link w:val="Char4"/>
    <w:qFormat/>
    <w:pPr>
      <w:spacing w:before="240" w:after="60" w:line="312" w:lineRule="auto"/>
      <w:jc w:val="left"/>
    </w:pPr>
    <w:rPr>
      <w:rFonts w:eastAsia="宋体"/>
      <w:bCs w:val="0"/>
      <w:kern w:val="24"/>
      <w:sz w:val="24"/>
    </w:rPr>
  </w:style>
  <w:style w:type="character" w:customStyle="1" w:styleId="Char4">
    <w:name w:val="副标题 Char"/>
    <w:basedOn w:val="a0"/>
    <w:link w:val="a8"/>
    <w:locked/>
    <w:rPr>
      <w:rFonts w:ascii="Cambria" w:eastAsia="Cambria" w:hAnsi="Cambria" w:cs="Times New Roman" w:hint="default"/>
      <w:b/>
      <w:bCs/>
      <w:kern w:val="24"/>
      <w:sz w:val="32"/>
      <w:szCs w:val="32"/>
    </w:rPr>
  </w:style>
  <w:style w:type="paragraph" w:styleId="a9">
    <w:name w:val="footnote text"/>
    <w:basedOn w:val="a"/>
    <w:link w:val="Char10"/>
    <w:pPr>
      <w:snapToGrid w:val="0"/>
      <w:jc w:val="left"/>
    </w:pPr>
    <w:rPr>
      <w:sz w:val="18"/>
      <w:szCs w:val="18"/>
    </w:rPr>
  </w:style>
  <w:style w:type="character" w:customStyle="1" w:styleId="Char10">
    <w:name w:val="脚注文本 Char1"/>
    <w:basedOn w:val="a0"/>
    <w:link w:val="a9"/>
    <w:locked/>
    <w:rPr>
      <w:kern w:val="2"/>
      <w:sz w:val="18"/>
      <w:szCs w:val="18"/>
    </w:rPr>
  </w:style>
  <w:style w:type="paragraph" w:styleId="20">
    <w:name w:val="toc 2"/>
    <w:basedOn w:val="a"/>
    <w:next w:val="a"/>
    <w:uiPriority w:val="39"/>
    <w:pPr>
      <w:ind w:leftChars="200" w:left="420"/>
    </w:pPr>
  </w:style>
  <w:style w:type="paragraph" w:styleId="HTML">
    <w:name w:val="HTML Preformatted"/>
    <w:basedOn w:val="a"/>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aa">
    <w:name w:val="Normal (Web)"/>
    <w:basedOn w:val="a"/>
    <w:pPr>
      <w:widowControl/>
      <w:spacing w:before="100" w:beforeAutospacing="1" w:after="100" w:afterAutospacing="1"/>
      <w:jc w:val="left"/>
    </w:pPr>
    <w:rPr>
      <w:kern w:val="0"/>
      <w:sz w:val="24"/>
    </w:rPr>
  </w:style>
  <w:style w:type="paragraph" w:styleId="ab">
    <w:name w:val="Title"/>
    <w:basedOn w:val="1"/>
    <w:next w:val="2"/>
    <w:link w:val="Char5"/>
    <w:uiPriority w:val="10"/>
    <w:qFormat/>
    <w:pPr>
      <w:keepNext w:val="0"/>
      <w:keepLines w:val="0"/>
      <w:spacing w:before="240" w:after="60"/>
      <w:jc w:val="center"/>
    </w:pPr>
    <w:rPr>
      <w:rFonts w:ascii="Cambria" w:hAnsi="Cambria" w:hint="default"/>
      <w:kern w:val="0"/>
      <w:sz w:val="32"/>
      <w:szCs w:val="32"/>
    </w:rPr>
  </w:style>
  <w:style w:type="character" w:customStyle="1" w:styleId="Char5">
    <w:name w:val="标题 Char"/>
    <w:basedOn w:val="a0"/>
    <w:link w:val="ab"/>
    <w:locked/>
    <w:rPr>
      <w:rFonts w:ascii="Cambria" w:eastAsia="Cambria" w:hAnsi="Cambria" w:cs="Times New Roman" w:hint="default"/>
      <w:b/>
      <w:bCs/>
      <w:kern w:val="2"/>
      <w:sz w:val="32"/>
      <w:szCs w:val="32"/>
    </w:rPr>
  </w:style>
  <w:style w:type="table" w:styleId="ac">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basedOn w:val="a0"/>
    <w:uiPriority w:val="99"/>
    <w:unhideWhenUsed/>
    <w:rPr>
      <w:color w:val="800080"/>
      <w:u w:val="single"/>
    </w:rPr>
  </w:style>
  <w:style w:type="character" w:styleId="ae">
    <w:name w:val="Hyperlink"/>
    <w:basedOn w:val="a0"/>
    <w:uiPriority w:val="99"/>
    <w:unhideWhenUsed/>
    <w:rPr>
      <w:color w:val="0000FF"/>
      <w:u w:val="single"/>
    </w:rPr>
  </w:style>
  <w:style w:type="character" w:styleId="af">
    <w:name w:val="footnote reference"/>
    <w:basedOn w:val="a0"/>
    <w:rPr>
      <w:vertAlign w:val="superscript"/>
    </w:rPr>
  </w:style>
  <w:style w:type="character" w:customStyle="1" w:styleId="1Char">
    <w:name w:val="标题 1 Char"/>
    <w:basedOn w:val="a0"/>
    <w:link w:val="1"/>
    <w:locked/>
    <w:rPr>
      <w:b/>
      <w:bCs/>
      <w:kern w:val="44"/>
      <w:sz w:val="44"/>
      <w:szCs w:val="44"/>
    </w:rPr>
  </w:style>
  <w:style w:type="character" w:customStyle="1" w:styleId="2Char">
    <w:name w:val="标题 2 Char"/>
    <w:basedOn w:val="a0"/>
    <w:link w:val="2"/>
    <w:locked/>
    <w:rPr>
      <w:rFonts w:ascii="Cambria" w:eastAsia="宋体" w:hAnsi="Cambria" w:cs="Times New Roman" w:hint="default"/>
      <w:b/>
      <w:bCs/>
      <w:kern w:val="2"/>
      <w:sz w:val="32"/>
      <w:szCs w:val="32"/>
    </w:rPr>
  </w:style>
  <w:style w:type="character" w:customStyle="1" w:styleId="3Char1">
    <w:name w:val="标题 3 Char1"/>
    <w:basedOn w:val="a0"/>
    <w:link w:val="3"/>
    <w:locked/>
    <w:rPr>
      <w:b/>
      <w:bCs/>
      <w:sz w:val="32"/>
      <w:szCs w:val="32"/>
    </w:rPr>
  </w:style>
  <w:style w:type="character" w:customStyle="1" w:styleId="40">
    <w:name w:val="标题 4 字符"/>
    <w:basedOn w:val="a0"/>
    <w:link w:val="4"/>
    <w:locked/>
    <w:rPr>
      <w:rFonts w:ascii="Cambria" w:eastAsia="宋体" w:hAnsi="Cambria" w:cs="Times New Roman" w:hint="default"/>
      <w:b/>
      <w:bCs/>
      <w:kern w:val="2"/>
      <w:sz w:val="24"/>
      <w:szCs w:val="24"/>
    </w:rPr>
  </w:style>
  <w:style w:type="character" w:customStyle="1" w:styleId="5Char">
    <w:name w:val="标题 5 Char"/>
    <w:basedOn w:val="a0"/>
    <w:link w:val="5"/>
    <w:locked/>
    <w:rPr>
      <w:b/>
      <w:bCs/>
      <w:kern w:val="2"/>
      <w:sz w:val="24"/>
      <w:szCs w:val="24"/>
    </w:rPr>
  </w:style>
  <w:style w:type="character" w:customStyle="1" w:styleId="6Char1">
    <w:name w:val="标题 6 Char1"/>
    <w:basedOn w:val="a0"/>
    <w:link w:val="6"/>
    <w:locked/>
    <w:rPr>
      <w:rFonts w:ascii="Cambria" w:eastAsia="宋体" w:hAnsi="Cambria" w:cs="Times New Roman" w:hint="default"/>
      <w:b/>
      <w:bCs/>
      <w:kern w:val="2"/>
      <w:sz w:val="24"/>
      <w:szCs w:val="24"/>
    </w:rPr>
  </w:style>
  <w:style w:type="character" w:customStyle="1" w:styleId="af0">
    <w:name w:val="文档结构图 字符"/>
    <w:basedOn w:val="a0"/>
    <w:link w:val="a3"/>
    <w:locked/>
    <w:rPr>
      <w:rFonts w:ascii="Microsoft YaHei UI" w:eastAsia="Microsoft YaHei UI" w:hAnsi="Microsoft YaHei UI" w:cs="Microsoft YaHei UI" w:hint="eastAsia"/>
      <w:kern w:val="2"/>
      <w:sz w:val="18"/>
      <w:szCs w:val="18"/>
    </w:rPr>
  </w:style>
  <w:style w:type="character" w:customStyle="1" w:styleId="Char6">
    <w:name w:val="日期 Char"/>
    <w:basedOn w:val="a0"/>
    <w:link w:val="a4"/>
    <w:locked/>
    <w:rPr>
      <w:kern w:val="2"/>
      <w:sz w:val="21"/>
    </w:rPr>
  </w:style>
  <w:style w:type="character" w:customStyle="1" w:styleId="af1">
    <w:name w:val="批注框文本 字符"/>
    <w:basedOn w:val="a0"/>
    <w:link w:val="a5"/>
    <w:locked/>
    <w:rPr>
      <w:kern w:val="2"/>
      <w:sz w:val="18"/>
      <w:szCs w:val="18"/>
    </w:rPr>
  </w:style>
  <w:style w:type="character" w:customStyle="1" w:styleId="af2">
    <w:name w:val="页脚 字符"/>
    <w:basedOn w:val="a0"/>
    <w:link w:val="a6"/>
    <w:locked/>
    <w:rPr>
      <w:kern w:val="2"/>
      <w:sz w:val="18"/>
      <w:szCs w:val="18"/>
    </w:rPr>
  </w:style>
  <w:style w:type="character" w:customStyle="1" w:styleId="af3">
    <w:name w:val="页眉 字符"/>
    <w:basedOn w:val="a0"/>
    <w:link w:val="a7"/>
    <w:locked/>
    <w:rPr>
      <w:kern w:val="2"/>
      <w:sz w:val="18"/>
      <w:szCs w:val="18"/>
    </w:rPr>
  </w:style>
  <w:style w:type="character" w:customStyle="1" w:styleId="af4">
    <w:name w:val="副标题 字符"/>
    <w:basedOn w:val="a0"/>
    <w:link w:val="a8"/>
    <w:locked/>
    <w:rPr>
      <w:rFonts w:ascii="Calibri" w:eastAsia="宋体" w:hAnsi="Calibri" w:cs="Times New Roman" w:hint="default"/>
      <w:b/>
      <w:bCs/>
      <w:kern w:val="24"/>
      <w:sz w:val="32"/>
      <w:szCs w:val="32"/>
    </w:rPr>
  </w:style>
  <w:style w:type="character" w:customStyle="1" w:styleId="Char7">
    <w:name w:val="脚注文本 Char"/>
    <w:basedOn w:val="a0"/>
    <w:link w:val="a9"/>
    <w:locked/>
    <w:rPr>
      <w:kern w:val="2"/>
      <w:sz w:val="18"/>
      <w:szCs w:val="18"/>
    </w:rPr>
  </w:style>
  <w:style w:type="character" w:customStyle="1" w:styleId="af5">
    <w:name w:val="标题 字符"/>
    <w:basedOn w:val="a0"/>
    <w:link w:val="ab"/>
    <w:locked/>
    <w:rPr>
      <w:rFonts w:ascii="Cambria" w:eastAsia="宋体" w:hAnsi="Cambria" w:cs="Times New Roman" w:hint="default"/>
      <w:b/>
      <w:bCs/>
      <w:kern w:val="2"/>
      <w:sz w:val="32"/>
      <w:szCs w:val="32"/>
    </w:rPr>
  </w:style>
  <w:style w:type="character" w:customStyle="1" w:styleId="1Char1">
    <w:name w:val="标题 1 Char1"/>
    <w:basedOn w:val="a0"/>
    <w:link w:val="1"/>
    <w:locked/>
    <w:rPr>
      <w:b/>
      <w:bCs/>
      <w:kern w:val="44"/>
      <w:sz w:val="44"/>
      <w:szCs w:val="44"/>
    </w:rPr>
  </w:style>
  <w:style w:type="character" w:customStyle="1" w:styleId="21">
    <w:name w:val="标题 2 字符"/>
    <w:basedOn w:val="a0"/>
    <w:link w:val="2"/>
    <w:locked/>
    <w:rPr>
      <w:rFonts w:ascii="Cambria" w:eastAsia="宋体" w:hAnsi="Cambria" w:cs="Times New Roman" w:hint="default"/>
      <w:b/>
      <w:bCs/>
      <w:kern w:val="2"/>
      <w:sz w:val="32"/>
      <w:szCs w:val="32"/>
    </w:rPr>
  </w:style>
  <w:style w:type="character" w:customStyle="1" w:styleId="31">
    <w:name w:val="标题 3 字符"/>
    <w:basedOn w:val="a0"/>
    <w:link w:val="3"/>
    <w:locked/>
    <w:rPr>
      <w:b/>
      <w:bCs/>
      <w:kern w:val="2"/>
      <w:sz w:val="32"/>
      <w:szCs w:val="32"/>
    </w:rPr>
  </w:style>
  <w:style w:type="character" w:customStyle="1" w:styleId="4Char1">
    <w:name w:val="标题 4 Char1"/>
    <w:basedOn w:val="a0"/>
    <w:link w:val="4"/>
    <w:locked/>
    <w:rPr>
      <w:rFonts w:ascii="Cambria" w:eastAsia="宋体" w:hAnsi="Cambria" w:cs="宋体" w:hint="default"/>
      <w:b/>
      <w:bCs/>
      <w:sz w:val="24"/>
      <w:szCs w:val="24"/>
    </w:rPr>
  </w:style>
  <w:style w:type="character" w:customStyle="1" w:styleId="Char11">
    <w:name w:val="文档结构图 Char1"/>
    <w:basedOn w:val="a0"/>
    <w:link w:val="a3"/>
    <w:locked/>
    <w:rPr>
      <w:rFonts w:ascii="宋体" w:eastAsia="宋体" w:hAnsi="宋体" w:cs="宋体" w:hint="eastAsia"/>
      <w:kern w:val="2"/>
      <w:sz w:val="18"/>
      <w:szCs w:val="18"/>
    </w:rPr>
  </w:style>
  <w:style w:type="character" w:customStyle="1" w:styleId="af6">
    <w:name w:val="日期 字符"/>
    <w:basedOn w:val="a0"/>
    <w:link w:val="a4"/>
    <w:locked/>
    <w:rPr>
      <w:kern w:val="2"/>
      <w:sz w:val="21"/>
    </w:rPr>
  </w:style>
  <w:style w:type="character" w:customStyle="1" w:styleId="Char12">
    <w:name w:val="批注框文本 Char1"/>
    <w:basedOn w:val="a0"/>
    <w:link w:val="a5"/>
    <w:locked/>
    <w:rPr>
      <w:kern w:val="2"/>
      <w:sz w:val="18"/>
      <w:szCs w:val="18"/>
    </w:rPr>
  </w:style>
  <w:style w:type="character" w:customStyle="1" w:styleId="Char13">
    <w:name w:val="页脚 Char1"/>
    <w:basedOn w:val="a0"/>
    <w:link w:val="a6"/>
    <w:locked/>
    <w:rPr>
      <w:kern w:val="2"/>
      <w:sz w:val="18"/>
      <w:szCs w:val="18"/>
    </w:rPr>
  </w:style>
  <w:style w:type="character" w:customStyle="1" w:styleId="Char14">
    <w:name w:val="页眉 Char1"/>
    <w:basedOn w:val="a0"/>
    <w:link w:val="a7"/>
    <w:locked/>
    <w:rPr>
      <w:kern w:val="2"/>
      <w:sz w:val="18"/>
      <w:szCs w:val="18"/>
    </w:rPr>
  </w:style>
  <w:style w:type="character" w:customStyle="1" w:styleId="Char15">
    <w:name w:val="副标题 Char1"/>
    <w:basedOn w:val="a0"/>
    <w:link w:val="a8"/>
    <w:locked/>
    <w:rPr>
      <w:rFonts w:ascii="Cambria" w:eastAsia="宋体" w:hAnsi="Cambria" w:cs="宋体" w:hint="default"/>
      <w:b/>
      <w:bCs w:val="0"/>
      <w:kern w:val="24"/>
      <w:sz w:val="24"/>
      <w:szCs w:val="32"/>
    </w:rPr>
  </w:style>
  <w:style w:type="character" w:customStyle="1" w:styleId="af7">
    <w:name w:val="脚注文本 字符"/>
    <w:basedOn w:val="a0"/>
    <w:link w:val="a9"/>
    <w:locked/>
    <w:rPr>
      <w:kern w:val="2"/>
      <w:sz w:val="18"/>
      <w:szCs w:val="18"/>
    </w:rPr>
  </w:style>
  <w:style w:type="character" w:customStyle="1" w:styleId="Char16">
    <w:name w:val="标题 Char1"/>
    <w:basedOn w:val="a0"/>
    <w:link w:val="ab"/>
    <w:locked/>
    <w:rPr>
      <w:rFonts w:ascii="Cambria" w:eastAsia="Cambria" w:hAnsi="Cambria" w:cs="宋体" w:hint="default"/>
      <w:b/>
      <w:bCs/>
      <w:sz w:val="32"/>
      <w:szCs w:val="32"/>
    </w:rPr>
  </w:style>
  <w:style w:type="paragraph" w:customStyle="1" w:styleId="XBRL2">
    <w:name w:val="XBRL标题2"/>
    <w:basedOn w:val="a8"/>
    <w:next w:val="4"/>
    <w:pPr>
      <w:spacing w:beforeLines="50" w:after="0"/>
    </w:pPr>
    <w:rPr>
      <w:bCs/>
    </w:rPr>
  </w:style>
  <w:style w:type="paragraph" w:customStyle="1" w:styleId="XBRLTitle2">
    <w:name w:val="XBRLTitle2"/>
    <w:basedOn w:val="a8"/>
    <w:next w:val="4"/>
    <w:pPr>
      <w:keepNext w:val="0"/>
      <w:keepLines w:val="0"/>
      <w:numPr>
        <w:ilvl w:val="1"/>
        <w:numId w:val="1"/>
      </w:numPr>
      <w:spacing w:beforeLines="50" w:after="0"/>
      <w:ind w:left="454"/>
    </w:pPr>
    <w:rPr>
      <w:rFonts w:ascii="宋体" w:hint="eastAsia"/>
      <w:bCs/>
    </w:rPr>
  </w:style>
  <w:style w:type="paragraph" w:customStyle="1" w:styleId="XBRL3">
    <w:name w:val="XBRL标题3"/>
    <w:basedOn w:val="a8"/>
    <w:next w:val="4"/>
    <w:pPr>
      <w:spacing w:beforeLines="50" w:after="0"/>
    </w:pPr>
    <w:rPr>
      <w:bCs/>
    </w:rPr>
  </w:style>
  <w:style w:type="paragraph" w:customStyle="1" w:styleId="af8">
    <w:name w:val="次标题"/>
    <w:basedOn w:val="3"/>
    <w:next w:val="a"/>
    <w:pPr>
      <w:spacing w:before="120" w:after="120"/>
      <w:jc w:val="left"/>
    </w:pPr>
    <w:rPr>
      <w:sz w:val="21"/>
    </w:rPr>
  </w:style>
  <w:style w:type="paragraph" w:customStyle="1" w:styleId="XBRL1">
    <w:name w:val="XBRL标题1"/>
    <w:basedOn w:val="1"/>
    <w:next w:val="2"/>
    <w:pPr>
      <w:spacing w:beforeLines="50" w:after="0"/>
      <w:jc w:val="center"/>
    </w:pPr>
    <w:rPr>
      <w:rFonts w:ascii="Cambria" w:hAnsi="Cambria" w:hint="default"/>
      <w:sz w:val="24"/>
    </w:rPr>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Title5">
    <w:name w:val="XBRLTitle5"/>
    <w:basedOn w:val="a8"/>
    <w:next w:val="4"/>
    <w:pPr>
      <w:numPr>
        <w:ilvl w:val="4"/>
        <w:numId w:val="1"/>
      </w:numPr>
      <w:spacing w:beforeLines="50" w:after="0"/>
    </w:pPr>
    <w:rPr>
      <w:bCs/>
    </w:rPr>
  </w:style>
  <w:style w:type="paragraph" w:customStyle="1" w:styleId="msotocheading0">
    <w:name w:val="msotocheading"/>
    <w:basedOn w:val="1"/>
    <w:next w:val="a"/>
    <w:pPr>
      <w:widowControl/>
      <w:spacing w:before="480" w:after="0" w:line="276" w:lineRule="auto"/>
      <w:jc w:val="left"/>
    </w:pPr>
    <w:rPr>
      <w:rFonts w:ascii="Cambria" w:hAnsi="Cambria" w:hint="default"/>
      <w:color w:val="365F91"/>
      <w:kern w:val="0"/>
      <w:sz w:val="24"/>
      <w:szCs w:val="24"/>
    </w:rPr>
  </w:style>
  <w:style w:type="character" w:customStyle="1" w:styleId="11">
    <w:name w:val="页眉 字符1"/>
    <w:basedOn w:val="a0"/>
    <w:locked/>
    <w:rPr>
      <w:kern w:val="2"/>
      <w:sz w:val="18"/>
      <w:szCs w:val="18"/>
    </w:rPr>
  </w:style>
  <w:style w:type="paragraph" w:customStyle="1" w:styleId="XBRL5">
    <w:name w:val="XBRL标题5"/>
    <w:basedOn w:val="a8"/>
    <w:next w:val="4"/>
    <w:pPr>
      <w:spacing w:beforeLines="50" w:after="0"/>
    </w:pPr>
    <w:rPr>
      <w:bCs/>
    </w:rPr>
  </w:style>
  <w:style w:type="paragraph" w:customStyle="1" w:styleId="msonormal1">
    <w:name w:val="msonormal1"/>
    <w:basedOn w:val="a"/>
    <w:pPr>
      <w:widowControl/>
      <w:spacing w:before="100" w:beforeAutospacing="1" w:after="100" w:afterAutospacing="1"/>
      <w:jc w:val="left"/>
    </w:pPr>
    <w:rPr>
      <w:kern w:val="0"/>
      <w:sz w:val="24"/>
    </w:rPr>
  </w:style>
  <w:style w:type="paragraph" w:customStyle="1" w:styleId="XBRLTitle6">
    <w:name w:val="XBRLTitle6"/>
    <w:basedOn w:val="a8"/>
    <w:next w:val="4"/>
    <w:pPr>
      <w:numPr>
        <w:ilvl w:val="5"/>
        <w:numId w:val="1"/>
      </w:numPr>
      <w:spacing w:beforeLines="50" w:after="0"/>
    </w:pPr>
    <w:rPr>
      <w:bCs/>
    </w:rPr>
  </w:style>
  <w:style w:type="paragraph" w:customStyle="1" w:styleId="XBRLTitle4">
    <w:name w:val="XBRLTitle4"/>
    <w:basedOn w:val="a8"/>
    <w:next w:val="4"/>
    <w:pPr>
      <w:numPr>
        <w:ilvl w:val="3"/>
        <w:numId w:val="1"/>
      </w:numPr>
      <w:spacing w:beforeLines="50" w:after="0"/>
    </w:pPr>
    <w:rPr>
      <w:bCs/>
    </w:rPr>
  </w:style>
  <w:style w:type="paragraph" w:customStyle="1" w:styleId="XBRL6">
    <w:name w:val="XBRL标题6"/>
    <w:basedOn w:val="a8"/>
    <w:next w:val="4"/>
    <w:pPr>
      <w:spacing w:beforeLines="50" w:after="0"/>
    </w:pPr>
    <w:rPr>
      <w:bCs/>
    </w:rPr>
  </w:style>
  <w:style w:type="paragraph" w:customStyle="1" w:styleId="XBRLTitle1">
    <w:name w:val="XBRLTitle1"/>
    <w:basedOn w:val="1"/>
    <w:next w:val="2"/>
    <w:pPr>
      <w:keepNext w:val="0"/>
      <w:keepLines w:val="0"/>
      <w:numPr>
        <w:numId w:val="1"/>
      </w:numPr>
      <w:spacing w:beforeLines="50" w:after="0"/>
      <w:jc w:val="center"/>
    </w:pPr>
    <w:rPr>
      <w:rFonts w:hAnsi="Cambria"/>
      <w:sz w:val="24"/>
    </w:rPr>
  </w:style>
  <w:style w:type="paragraph" w:customStyle="1" w:styleId="Char8">
    <w:name w:val="Char"/>
    <w:basedOn w:val="a"/>
  </w:style>
  <w:style w:type="paragraph" w:customStyle="1" w:styleId="XBRL4">
    <w:name w:val="XBRL标题4"/>
    <w:basedOn w:val="a8"/>
    <w:next w:val="4"/>
    <w:pPr>
      <w:spacing w:beforeLines="50" w:after="0"/>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8"/>
    <w:next w:val="4"/>
    <w:pPr>
      <w:keepNext w:val="0"/>
      <w:keepLines w:val="0"/>
      <w:numPr>
        <w:ilvl w:val="2"/>
        <w:numId w:val="1"/>
      </w:numPr>
      <w:spacing w:beforeLines="50" w:after="0" w:line="360" w:lineRule="auto"/>
      <w:ind w:left="0" w:firstLine="0"/>
    </w:pPr>
    <w:rPr>
      <w:rFonts w:ascii="宋体" w:hint="eastAsia"/>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1689</Characters>
  <Application>Microsoft Office Word</Application>
  <DocSecurity>4</DocSecurity>
  <Lines>14</Lines>
  <Paragraphs>3</Paragraphs>
  <ScaleCrop>false</ScaleCrop>
  <Company>CNSTOCK</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cp:lastModifiedBy>ZHONGM</cp:lastModifiedBy>
  <cp:revision>2</cp:revision>
  <dcterms:created xsi:type="dcterms:W3CDTF">2025-01-12T16:02:00Z</dcterms:created>
  <dcterms:modified xsi:type="dcterms:W3CDTF">2025-01-12T16:02:00Z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654BAAAE32BF4D489344882E321388ED</vt:lpwstr>
  </property>
</Properties>
</file>