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2" w:rsidRDefault="00797ABB" w:rsidP="00B532B4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关于</w:t>
      </w:r>
      <w:r w:rsidR="00A46493" w:rsidRPr="00A46493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嘉实中证软件服务交易型开放式指数证券投资基金</w:t>
      </w:r>
    </w:p>
    <w:p w:rsidR="00FC2A28" w:rsidRPr="00FC2A28" w:rsidRDefault="00792A96" w:rsidP="00B532B4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新增</w:t>
      </w:r>
      <w:r w:rsidR="00FC2A28" w:rsidRPr="00FC2A28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流动性服务商的公告</w:t>
      </w:r>
    </w:p>
    <w:p w:rsidR="007E116A" w:rsidRDefault="007E116A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</w:p>
    <w:p w:rsidR="00B532B4" w:rsidRPr="00D46413" w:rsidRDefault="00B532B4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为促进</w:t>
      </w:r>
      <w:r w:rsidR="00A4649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嘉实中证软件服务交易型开放式指数证券投资基金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（以下简称“</w:t>
      </w:r>
      <w:r w:rsidR="00A4649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软件</w:t>
      </w:r>
      <w:r w:rsidR="00FE5005" w:rsidRPr="00D46413">
        <w:rPr>
          <w:rFonts w:ascii="楷体" w:eastAsia="楷体" w:hAnsi="楷体" w:cs="Times New Roman"/>
          <w:bCs/>
          <w:kern w:val="0"/>
          <w:sz w:val="24"/>
          <w:szCs w:val="32"/>
        </w:rPr>
        <w:t>ETF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”）的市场流动性和平稳运行，根据《深圳证券交易所证券投资基金业务指引第</w:t>
      </w:r>
      <w:r w:rsidRPr="00D46413">
        <w:rPr>
          <w:rFonts w:ascii="楷体" w:eastAsia="楷体" w:hAnsi="楷体" w:cs="Times New Roman"/>
          <w:bCs/>
          <w:kern w:val="0"/>
          <w:sz w:val="24"/>
          <w:szCs w:val="32"/>
        </w:rPr>
        <w:t>2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号</w:t>
      </w:r>
      <w:r w:rsidRPr="00D46413">
        <w:rPr>
          <w:rFonts w:ascii="楷体" w:eastAsia="楷体" w:hAnsi="楷体" w:cs="Times New Roman"/>
          <w:bCs/>
          <w:kern w:val="0"/>
          <w:sz w:val="24"/>
          <w:szCs w:val="32"/>
        </w:rPr>
        <w:t>——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流动性服务》等有关规定，</w:t>
      </w:r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自</w:t>
      </w:r>
      <w:r w:rsidR="00F50A53"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2025年1月14日</w:t>
      </w:r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起，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本公司新增</w:t>
      </w:r>
      <w:r w:rsidR="00F50A53">
        <w:rPr>
          <w:rFonts w:ascii="楷体" w:eastAsia="楷体" w:hAnsi="楷体" w:cs="Times New Roman" w:hint="eastAsia"/>
          <w:bCs/>
          <w:kern w:val="0"/>
          <w:sz w:val="24"/>
          <w:szCs w:val="32"/>
        </w:rPr>
        <w:t>东方</w:t>
      </w:r>
      <w:bookmarkStart w:id="0" w:name="_GoBack"/>
      <w:bookmarkEnd w:id="0"/>
      <w:r w:rsidR="00D46413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证券股份有限公司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为</w:t>
      </w:r>
      <w:r w:rsidR="001A2917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软件</w:t>
      </w:r>
      <w:r w:rsidR="00FE5005" w:rsidRPr="00D46413">
        <w:rPr>
          <w:rFonts w:ascii="楷体" w:eastAsia="楷体" w:hAnsi="楷体" w:cs="Times New Roman"/>
          <w:bCs/>
          <w:kern w:val="0"/>
          <w:sz w:val="24"/>
          <w:szCs w:val="32"/>
        </w:rPr>
        <w:t>ETF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（基金代码：</w:t>
      </w:r>
      <w:r w:rsidR="001A2917" w:rsidRPr="00D46413">
        <w:rPr>
          <w:rFonts w:ascii="楷体" w:eastAsia="楷体" w:hAnsi="楷体" w:cs="Times New Roman"/>
          <w:bCs/>
          <w:kern w:val="0"/>
          <w:sz w:val="24"/>
          <w:szCs w:val="32"/>
        </w:rPr>
        <w:t>159852</w:t>
      </w: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）的流动性服务商。</w:t>
      </w:r>
    </w:p>
    <w:p w:rsidR="00B532B4" w:rsidRPr="00D46413" w:rsidRDefault="00B532B4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</w:p>
    <w:p w:rsidR="00FC2A28" w:rsidRPr="00D46413" w:rsidRDefault="00FC2A28" w:rsidP="00B532B4">
      <w:pPr>
        <w:spacing w:line="480" w:lineRule="auto"/>
        <w:ind w:firstLineChars="200" w:firstLine="480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特此公告。</w:t>
      </w:r>
    </w:p>
    <w:p w:rsidR="00FC2A28" w:rsidRPr="00D46413" w:rsidRDefault="00FC2A28" w:rsidP="00FC2A28">
      <w:pPr>
        <w:jc w:val="right"/>
        <w:rPr>
          <w:rFonts w:ascii="楷体" w:eastAsia="楷体" w:hAnsi="楷体" w:cs="Times New Roman"/>
          <w:szCs w:val="20"/>
        </w:rPr>
      </w:pPr>
    </w:p>
    <w:p w:rsidR="00FC2A28" w:rsidRPr="00D46413" w:rsidRDefault="00B532B4" w:rsidP="00B532B4">
      <w:pPr>
        <w:spacing w:line="480" w:lineRule="auto"/>
        <w:ind w:firstLineChars="200" w:firstLine="480"/>
        <w:jc w:val="right"/>
        <w:rPr>
          <w:rFonts w:ascii="楷体" w:eastAsia="楷体" w:hAnsi="楷体" w:cs="Times New Roman"/>
          <w:bCs/>
          <w:kern w:val="0"/>
          <w:sz w:val="24"/>
          <w:szCs w:val="32"/>
        </w:rPr>
      </w:pPr>
      <w:r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嘉实基金管理有限</w:t>
      </w:r>
      <w:r w:rsidR="00FC2A28" w:rsidRPr="00D46413">
        <w:rPr>
          <w:rFonts w:ascii="楷体" w:eastAsia="楷体" w:hAnsi="楷体" w:cs="Times New Roman" w:hint="eastAsia"/>
          <w:bCs/>
          <w:kern w:val="0"/>
          <w:sz w:val="24"/>
          <w:szCs w:val="32"/>
        </w:rPr>
        <w:t>公司</w:t>
      </w:r>
    </w:p>
    <w:p w:rsidR="00D46413" w:rsidRPr="00D46413" w:rsidRDefault="00F50A53" w:rsidP="00D46413">
      <w:pPr>
        <w:spacing w:line="480" w:lineRule="auto"/>
        <w:ind w:right="240" w:firstLineChars="200" w:firstLine="480"/>
        <w:jc w:val="right"/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</w:pPr>
      <w:r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2025年1月1</w:t>
      </w:r>
      <w:r>
        <w:rPr>
          <w:rFonts w:ascii="楷体" w:eastAsia="楷体" w:hAnsi="楷体" w:cs="Times New Roman"/>
          <w:bCs/>
          <w:color w:val="000000" w:themeColor="text1"/>
          <w:kern w:val="0"/>
          <w:sz w:val="24"/>
          <w:szCs w:val="32"/>
        </w:rPr>
        <w:t>3</w:t>
      </w:r>
      <w:r>
        <w:rPr>
          <w:rFonts w:ascii="楷体" w:eastAsia="楷体" w:hAnsi="楷体" w:cs="Times New Roman" w:hint="eastAsia"/>
          <w:bCs/>
          <w:color w:val="000000" w:themeColor="text1"/>
          <w:kern w:val="0"/>
          <w:sz w:val="24"/>
          <w:szCs w:val="32"/>
        </w:rPr>
        <w:t>日</w:t>
      </w:r>
    </w:p>
    <w:sectPr w:rsidR="00D46413" w:rsidRPr="00D46413" w:rsidSect="004F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6F" w:rsidRDefault="00A3356F" w:rsidP="00092C75">
      <w:r>
        <w:separator/>
      </w:r>
    </w:p>
  </w:endnote>
  <w:endnote w:type="continuationSeparator" w:id="0">
    <w:p w:rsidR="00A3356F" w:rsidRDefault="00A3356F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6F" w:rsidRDefault="00A3356F" w:rsidP="00092C75">
      <w:r>
        <w:separator/>
      </w:r>
    </w:p>
  </w:footnote>
  <w:footnote w:type="continuationSeparator" w:id="0">
    <w:p w:rsidR="00A3356F" w:rsidRDefault="00A3356F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3F79"/>
    <w:rsid w:val="00016315"/>
    <w:rsid w:val="00092C75"/>
    <w:rsid w:val="00186B81"/>
    <w:rsid w:val="001A2917"/>
    <w:rsid w:val="00214E7A"/>
    <w:rsid w:val="002178A2"/>
    <w:rsid w:val="002D3F78"/>
    <w:rsid w:val="003F333F"/>
    <w:rsid w:val="004578E9"/>
    <w:rsid w:val="00487491"/>
    <w:rsid w:val="004F48CD"/>
    <w:rsid w:val="00535673"/>
    <w:rsid w:val="00557C9B"/>
    <w:rsid w:val="00595D75"/>
    <w:rsid w:val="005C6C5C"/>
    <w:rsid w:val="006033B6"/>
    <w:rsid w:val="00702B4A"/>
    <w:rsid w:val="00744021"/>
    <w:rsid w:val="00792A96"/>
    <w:rsid w:val="00797ABB"/>
    <w:rsid w:val="007B2188"/>
    <w:rsid w:val="007B441D"/>
    <w:rsid w:val="007E116A"/>
    <w:rsid w:val="007F509D"/>
    <w:rsid w:val="00805D90"/>
    <w:rsid w:val="00877B1E"/>
    <w:rsid w:val="00891791"/>
    <w:rsid w:val="008D0F9B"/>
    <w:rsid w:val="00940419"/>
    <w:rsid w:val="009D1DE7"/>
    <w:rsid w:val="00A058EB"/>
    <w:rsid w:val="00A064C8"/>
    <w:rsid w:val="00A3356F"/>
    <w:rsid w:val="00A45C87"/>
    <w:rsid w:val="00A46100"/>
    <w:rsid w:val="00A46493"/>
    <w:rsid w:val="00AC2BCE"/>
    <w:rsid w:val="00B0546A"/>
    <w:rsid w:val="00B50B2B"/>
    <w:rsid w:val="00B532B4"/>
    <w:rsid w:val="00B564BD"/>
    <w:rsid w:val="00C0329C"/>
    <w:rsid w:val="00CA7EA9"/>
    <w:rsid w:val="00CC0D39"/>
    <w:rsid w:val="00D15295"/>
    <w:rsid w:val="00D46413"/>
    <w:rsid w:val="00D90A7A"/>
    <w:rsid w:val="00DD67DC"/>
    <w:rsid w:val="00E13483"/>
    <w:rsid w:val="00E61A93"/>
    <w:rsid w:val="00E65C2E"/>
    <w:rsid w:val="00F50A53"/>
    <w:rsid w:val="00F5506A"/>
    <w:rsid w:val="00F84257"/>
    <w:rsid w:val="00F8460C"/>
    <w:rsid w:val="00FB06A4"/>
    <w:rsid w:val="00FC2A28"/>
    <w:rsid w:val="00FE0443"/>
    <w:rsid w:val="00FE5005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2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2B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42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842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842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842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84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4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2025-01-12T16:01:00Z</dcterms:created>
  <dcterms:modified xsi:type="dcterms:W3CDTF">2025-01-12T16:01:00Z</dcterms:modified>
</cp:coreProperties>
</file>