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5053F">
      <w:pPr>
        <w:pStyle w:val="XBRL2"/>
        <w:spacing w:before="156"/>
        <w:rPr>
          <w:rFonts w:eastAsia="Cambria" w:cs="Cambria"/>
          <w:lang w:val="en-US"/>
        </w:rPr>
      </w:pPr>
      <w:bookmarkStart w:id="0" w:name="_Toc510201001"/>
      <w:bookmarkEnd w:id="0"/>
      <w:r>
        <w:rPr>
          <w:rFonts w:eastAsia="Cambria" w:cs="Cambria"/>
          <w:lang w:val="en-US"/>
        </w:rPr>
        <w:t xml:space="preserve">　</w:t>
      </w:r>
      <w:r>
        <w:rPr>
          <w:rFonts w:eastAsia="Cambria" w:cs="Cambria"/>
          <w:lang w:val="en-US"/>
        </w:rPr>
        <w:t xml:space="preserve"> </w:t>
      </w:r>
    </w:p>
    <w:p w:rsidR="00000000" w:rsidRDefault="0025053F">
      <w:pPr>
        <w:jc w:val="center"/>
      </w:pPr>
      <w:r>
        <w:rPr>
          <w:b/>
          <w:sz w:val="48"/>
          <w:szCs w:val="48"/>
        </w:rPr>
        <w:t>工银瑞信纯债定期开放债券型证券投资基金</w:t>
      </w:r>
      <w:r>
        <w:rPr>
          <w:b/>
          <w:sz w:val="48"/>
          <w:szCs w:val="48"/>
        </w:rPr>
        <w:t>2024</w:t>
      </w:r>
      <w:r>
        <w:rPr>
          <w:b/>
          <w:sz w:val="48"/>
          <w:szCs w:val="48"/>
        </w:rPr>
        <w:t>年第一次分红公告</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color w:val="000000"/>
          <w:kern w:val="0"/>
          <w:sz w:val="18"/>
        </w:rPr>
      </w:pPr>
      <w:r>
        <w:rPr>
          <w:color w:val="000000"/>
          <w:kern w:val="0"/>
          <w:sz w:val="18"/>
        </w:rPr>
        <w:t xml:space="preserve">　</w:t>
      </w:r>
      <w:r>
        <w:rPr>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560" w:lineRule="exact"/>
        <w:jc w:val="center"/>
        <w:rPr>
          <w:rFonts w:cs="宋体"/>
          <w:color w:val="000000"/>
          <w:kern w:val="0"/>
          <w:sz w:val="18"/>
        </w:rPr>
      </w:pPr>
      <w:r>
        <w:rPr>
          <w:rFonts w:cs="宋体"/>
          <w:color w:val="000000"/>
          <w:kern w:val="0"/>
          <w:sz w:val="18"/>
        </w:rPr>
        <w:t xml:space="preserve">　</w:t>
      </w:r>
      <w:r>
        <w:rPr>
          <w:rFonts w:cs="宋体"/>
          <w:color w:val="000000"/>
          <w:kern w:val="0"/>
          <w:sz w:val="18"/>
        </w:rPr>
        <w:t xml:space="preserve"> </w:t>
      </w:r>
    </w:p>
    <w:p w:rsidR="00000000" w:rsidRDefault="0025053F">
      <w:pPr>
        <w:spacing w:line="360" w:lineRule="auto"/>
        <w:jc w:val="center"/>
      </w:pPr>
      <w:r>
        <w:rPr>
          <w:rFonts w:cs="宋体"/>
          <w:b/>
          <w:bCs/>
          <w:sz w:val="24"/>
          <w:szCs w:val="30"/>
        </w:rPr>
        <w:t>公告送出日期：</w:t>
      </w:r>
      <w:r>
        <w:rPr>
          <w:rFonts w:cs="宋体"/>
          <w:b/>
          <w:bCs/>
          <w:sz w:val="24"/>
          <w:szCs w:val="30"/>
        </w:rPr>
        <w:t>2025</w:t>
      </w:r>
      <w:r>
        <w:rPr>
          <w:rFonts w:cs="宋体"/>
          <w:b/>
          <w:bCs/>
          <w:sz w:val="24"/>
          <w:szCs w:val="30"/>
        </w:rPr>
        <w:t>年</w:t>
      </w:r>
      <w:r>
        <w:rPr>
          <w:rFonts w:cs="宋体"/>
          <w:b/>
          <w:bCs/>
          <w:sz w:val="24"/>
          <w:szCs w:val="30"/>
        </w:rPr>
        <w:t>1</w:t>
      </w:r>
      <w:r>
        <w:rPr>
          <w:rFonts w:cs="宋体"/>
          <w:b/>
          <w:bCs/>
          <w:sz w:val="24"/>
          <w:szCs w:val="30"/>
        </w:rPr>
        <w:t>月</w:t>
      </w:r>
      <w:r>
        <w:rPr>
          <w:rFonts w:cs="宋体"/>
          <w:b/>
          <w:bCs/>
          <w:sz w:val="24"/>
          <w:szCs w:val="30"/>
        </w:rPr>
        <w:t>10</w:t>
      </w:r>
      <w:r>
        <w:rPr>
          <w:rFonts w:cs="宋体"/>
          <w:b/>
          <w:bCs/>
          <w:sz w:val="24"/>
          <w:szCs w:val="30"/>
        </w:rPr>
        <w:t>日</w:t>
      </w:r>
    </w:p>
    <w:p w:rsidR="00000000" w:rsidRDefault="0025053F">
      <w:pPr>
        <w:pStyle w:val="XBRLTitle1"/>
        <w:spacing w:before="156"/>
        <w:jc w:val="left"/>
      </w:pPr>
      <w:r>
        <w:rPr>
          <w:rFonts w:cs="宋体"/>
          <w:color w:val="404040"/>
          <w:lang w:val="en-US"/>
        </w:rPr>
        <w:br w:type="page"/>
      </w:r>
      <w:bookmarkStart w:id="1" w:name="_Toc438646451"/>
      <w:bookmarkStart w:id="2" w:name="_Toc512519480"/>
      <w:bookmarkStart w:id="3" w:name="_Toc17897936"/>
      <w:bookmarkStart w:id="4" w:name="_Toc17898178"/>
      <w:bookmarkStart w:id="5" w:name="_Toc34322059"/>
      <w:bookmarkStart w:id="6" w:name="_Toc513295846"/>
      <w:bookmarkStart w:id="7" w:name="_Toc490050000"/>
      <w:bookmarkStart w:id="8" w:name="_Toc481075046"/>
      <w:bookmarkStart w:id="9" w:name="_Toc513295892"/>
      <w:bookmarkStart w:id="10" w:name="m101"/>
      <w:bookmarkStart w:id="11" w:name="_Toc194311890"/>
      <w:bookmarkStart w:id="12" w:name="m01_01"/>
      <w:r>
        <w:rPr>
          <w:szCs w:val="24"/>
          <w:lang w:val="en-US"/>
        </w:rPr>
        <w:lastRenderedPageBreak/>
        <w:t>公告基本信息</w:t>
      </w:r>
      <w:bookmarkEnd w:id="1"/>
      <w:bookmarkEnd w:id="2"/>
      <w:bookmarkEnd w:id="3"/>
      <w:bookmarkEnd w:id="4"/>
      <w:bookmarkEnd w:id="5"/>
      <w:bookmarkEnd w:id="6"/>
      <w:bookmarkEnd w:id="7"/>
      <w:bookmarkEnd w:id="8"/>
      <w:bookmarkEnd w:id="9"/>
      <w:r>
        <w:rPr>
          <w:szCs w:val="24"/>
          <w:lang w:val="en-US"/>
        </w:rPr>
        <w:t xml:space="preserve"> </w:t>
      </w:r>
    </w:p>
    <w:tbl>
      <w:tblPr>
        <w:tblW w:w="881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3"/>
        <w:gridCol w:w="1909"/>
        <w:gridCol w:w="5057"/>
      </w:tblGrid>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基金名称</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工银瑞信纯债定期开放债券型证券投资基金</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基金简称</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工银纯债定期开放债券（场内简称：工银纯债定开）</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基金主代码</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164810</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基金合同生效日</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2012</w:t>
            </w:r>
            <w:r>
              <w:rPr>
                <w:szCs w:val="21"/>
              </w:rPr>
              <w:t>年</w:t>
            </w:r>
            <w:r>
              <w:rPr>
                <w:szCs w:val="21"/>
              </w:rPr>
              <w:t>6</w:t>
            </w:r>
            <w:r>
              <w:rPr>
                <w:szCs w:val="21"/>
              </w:rPr>
              <w:t>月</w:t>
            </w:r>
            <w:r>
              <w:rPr>
                <w:szCs w:val="21"/>
              </w:rPr>
              <w:t>21</w:t>
            </w:r>
            <w:r>
              <w:rPr>
                <w:szCs w:val="21"/>
              </w:rPr>
              <w:t>日</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基金管理人名称</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工银瑞信基金管理有限公司</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基金托管人名称</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交通银行股份有限公司</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公告依据</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根据《中华人民共和国证</w:t>
            </w:r>
            <w:r>
              <w:rPr>
                <w:szCs w:val="21"/>
              </w:rPr>
              <w:t>券投资基金法》、《公开募集证券投资基金运作管理办法》、《公开募集证券投资基金信息披露管理办法》的有关规定、《工银瑞信纯债定期开放债券型证券投资基金基金合同》的有关约定</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收益分配基准日</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2024</w:t>
            </w:r>
            <w:r>
              <w:rPr>
                <w:szCs w:val="21"/>
              </w:rPr>
              <w:t>年</w:t>
            </w:r>
            <w:r>
              <w:rPr>
                <w:szCs w:val="21"/>
              </w:rPr>
              <w:t>12</w:t>
            </w:r>
            <w:r>
              <w:rPr>
                <w:szCs w:val="21"/>
              </w:rPr>
              <w:t>月</w:t>
            </w:r>
            <w:r>
              <w:rPr>
                <w:szCs w:val="21"/>
              </w:rPr>
              <w:t>31</w:t>
            </w:r>
            <w:r>
              <w:rPr>
                <w:szCs w:val="21"/>
              </w:rPr>
              <w:t>日</w:t>
            </w:r>
          </w:p>
        </w:tc>
      </w:tr>
      <w:tr w:rsidR="00000000">
        <w:tc>
          <w:tcPr>
            <w:tcW w:w="1853" w:type="dxa"/>
            <w:vMerge w:val="restart"/>
            <w:tcBorders>
              <w:top w:val="single" w:sz="4" w:space="0" w:color="auto"/>
              <w:left w:val="single" w:sz="4" w:space="0" w:color="auto"/>
              <w:bottom w:val="single" w:sz="4" w:space="0" w:color="auto"/>
              <w:right w:val="single" w:sz="4" w:space="0" w:color="auto"/>
            </w:tcBorders>
            <w:vAlign w:val="center"/>
          </w:tcPr>
          <w:p w:rsidR="00000000" w:rsidRDefault="0025053F">
            <w:r>
              <w:rPr>
                <w:szCs w:val="21"/>
              </w:rPr>
              <w:t>截止收益分配基准日的相关指标</w:t>
            </w:r>
            <w:r>
              <w:rPr>
                <w:szCs w:val="21"/>
              </w:rPr>
              <w:t xml:space="preserve"> </w:t>
            </w:r>
          </w:p>
        </w:tc>
        <w:tc>
          <w:tcPr>
            <w:tcW w:w="1909" w:type="dxa"/>
            <w:tcBorders>
              <w:top w:val="single" w:sz="4" w:space="0" w:color="auto"/>
              <w:left w:val="single" w:sz="4" w:space="0" w:color="auto"/>
              <w:bottom w:val="single" w:sz="4" w:space="0" w:color="auto"/>
              <w:right w:val="single" w:sz="4" w:space="0" w:color="auto"/>
            </w:tcBorders>
          </w:tcPr>
          <w:p w:rsidR="00000000" w:rsidRDefault="0025053F">
            <w:r>
              <w:rPr>
                <w:szCs w:val="21"/>
              </w:rPr>
              <w:t>基准日基金份额净值（单位：</w:t>
            </w:r>
            <w:r>
              <w:rPr>
                <w:szCs w:val="21"/>
              </w:rPr>
              <w:t xml:space="preserve"> </w:t>
            </w:r>
            <w:r>
              <w:rPr>
                <w:szCs w:val="21"/>
              </w:rPr>
              <w:t>人民币元）</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1.0611</w:t>
            </w:r>
          </w:p>
        </w:tc>
      </w:tr>
      <w:tr w:rsidR="00000000">
        <w:tc>
          <w:tcPr>
            <w:tcW w:w="1853" w:type="dxa"/>
            <w:vMerge/>
            <w:tcBorders>
              <w:top w:val="single" w:sz="4" w:space="0" w:color="auto"/>
              <w:left w:val="single" w:sz="4" w:space="0" w:color="auto"/>
              <w:bottom w:val="single" w:sz="4" w:space="0" w:color="auto"/>
              <w:right w:val="single" w:sz="4" w:space="0" w:color="auto"/>
            </w:tcBorders>
            <w:vAlign w:val="center"/>
          </w:tcPr>
          <w:p w:rsidR="00000000" w:rsidRDefault="0025053F">
            <w:pPr>
              <w:rPr>
                <w:sz w:val="20"/>
              </w:rPr>
            </w:pPr>
          </w:p>
        </w:tc>
        <w:tc>
          <w:tcPr>
            <w:tcW w:w="1909" w:type="dxa"/>
            <w:tcBorders>
              <w:top w:val="single" w:sz="4" w:space="0" w:color="auto"/>
              <w:left w:val="single" w:sz="4" w:space="0" w:color="auto"/>
              <w:bottom w:val="single" w:sz="4" w:space="0" w:color="auto"/>
              <w:right w:val="single" w:sz="4" w:space="0" w:color="auto"/>
            </w:tcBorders>
          </w:tcPr>
          <w:p w:rsidR="00000000" w:rsidRDefault="0025053F">
            <w:r>
              <w:rPr>
                <w:szCs w:val="21"/>
              </w:rPr>
              <w:t>基准日基金可供分配利润（单位：</w:t>
            </w:r>
            <w:r>
              <w:rPr>
                <w:szCs w:val="21"/>
              </w:rPr>
              <w:t xml:space="preserve"> </w:t>
            </w:r>
            <w:r>
              <w:rPr>
                <w:szCs w:val="21"/>
              </w:rPr>
              <w:t>人民币元）</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13,581,021.36</w:t>
            </w:r>
          </w:p>
        </w:tc>
      </w:tr>
      <w:tr w:rsidR="00000000">
        <w:tc>
          <w:tcPr>
            <w:tcW w:w="1853" w:type="dxa"/>
            <w:vMerge/>
            <w:tcBorders>
              <w:top w:val="single" w:sz="4" w:space="0" w:color="auto"/>
              <w:left w:val="single" w:sz="4" w:space="0" w:color="auto"/>
              <w:bottom w:val="single" w:sz="4" w:space="0" w:color="auto"/>
              <w:right w:val="single" w:sz="4" w:space="0" w:color="auto"/>
            </w:tcBorders>
            <w:vAlign w:val="center"/>
          </w:tcPr>
          <w:p w:rsidR="00000000" w:rsidRDefault="0025053F">
            <w:pPr>
              <w:rPr>
                <w:sz w:val="20"/>
              </w:rPr>
            </w:pPr>
          </w:p>
        </w:tc>
        <w:tc>
          <w:tcPr>
            <w:tcW w:w="1909" w:type="dxa"/>
            <w:tcBorders>
              <w:top w:val="single" w:sz="4" w:space="0" w:color="auto"/>
              <w:left w:val="single" w:sz="4" w:space="0" w:color="auto"/>
              <w:bottom w:val="single" w:sz="4" w:space="0" w:color="auto"/>
              <w:right w:val="single" w:sz="4" w:space="0" w:color="auto"/>
            </w:tcBorders>
          </w:tcPr>
          <w:p w:rsidR="00000000" w:rsidRDefault="0025053F">
            <w:r>
              <w:rPr>
                <w:szCs w:val="21"/>
              </w:rPr>
              <w:t>截止基</w:t>
            </w:r>
            <w:r>
              <w:rPr>
                <w:szCs w:val="21"/>
                <w:shd w:val="clear" w:color="auto" w:fill="FFFFFF"/>
              </w:rPr>
              <w:t>准日按照基金合同约定的分红比例计算的应分配金额（单位：</w:t>
            </w:r>
            <w:r>
              <w:rPr>
                <w:szCs w:val="21"/>
                <w:shd w:val="clear" w:color="auto" w:fill="FFFFFF"/>
              </w:rPr>
              <w:t xml:space="preserve"> </w:t>
            </w:r>
            <w:r>
              <w:rPr>
                <w:szCs w:val="21"/>
                <w:shd w:val="clear" w:color="auto" w:fill="FFFFFF"/>
              </w:rPr>
              <w:t>人民币元</w:t>
            </w:r>
            <w:r>
              <w:rPr>
                <w:szCs w:val="21"/>
              </w:rPr>
              <w:t>）</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12,222,919.23</w:t>
            </w:r>
          </w:p>
        </w:tc>
      </w:tr>
      <w:tr w:rsidR="00000000">
        <w:tc>
          <w:tcPr>
            <w:tcW w:w="3762"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本次分红方案（单位：元</w:t>
            </w:r>
            <w:r>
              <w:rPr>
                <w:szCs w:val="21"/>
              </w:rPr>
              <w:t>/10</w:t>
            </w:r>
            <w:r>
              <w:rPr>
                <w:szCs w:val="21"/>
              </w:rPr>
              <w:t>份基金份额）</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tcPr>
          <w:p w:rsidR="00000000" w:rsidRDefault="0025053F">
            <w:r>
              <w:rPr>
                <w:szCs w:val="21"/>
              </w:rPr>
              <w:t>0.550</w:t>
            </w:r>
          </w:p>
        </w:tc>
      </w:tr>
      <w:tr w:rsidR="00000000">
        <w:tc>
          <w:tcPr>
            <w:tcW w:w="3762" w:type="dxa"/>
            <w:gridSpan w:val="2"/>
            <w:tcBorders>
              <w:top w:val="single" w:sz="4" w:space="0" w:color="auto"/>
              <w:left w:val="single" w:sz="4" w:space="0" w:color="auto"/>
              <w:bottom w:val="single" w:sz="4" w:space="0" w:color="auto"/>
              <w:right w:val="single" w:sz="4" w:space="0" w:color="auto"/>
            </w:tcBorders>
            <w:vAlign w:val="center"/>
          </w:tcPr>
          <w:p w:rsidR="00000000" w:rsidRDefault="0025053F">
            <w:r>
              <w:rPr>
                <w:szCs w:val="21"/>
              </w:rPr>
              <w:t>有关年度分红次数的说明</w:t>
            </w:r>
            <w:r>
              <w:rPr>
                <w:szCs w:val="21"/>
              </w:rPr>
              <w:t xml:space="preserve"> </w:t>
            </w:r>
          </w:p>
        </w:tc>
        <w:tc>
          <w:tcPr>
            <w:tcW w:w="5057" w:type="dxa"/>
            <w:tcBorders>
              <w:top w:val="single" w:sz="4" w:space="0" w:color="auto"/>
              <w:left w:val="single" w:sz="4" w:space="0" w:color="auto"/>
              <w:bottom w:val="single" w:sz="4" w:space="0" w:color="auto"/>
              <w:right w:val="single" w:sz="4" w:space="0" w:color="auto"/>
            </w:tcBorders>
            <w:vAlign w:val="center"/>
          </w:tcPr>
          <w:p w:rsidR="00000000" w:rsidRDefault="0025053F">
            <w:r>
              <w:rPr>
                <w:szCs w:val="21"/>
              </w:rPr>
              <w:t>本次分红为本基金第十三次分红，</w:t>
            </w:r>
            <w:r>
              <w:rPr>
                <w:szCs w:val="21"/>
              </w:rPr>
              <w:t>2024</w:t>
            </w:r>
            <w:r>
              <w:rPr>
                <w:szCs w:val="21"/>
              </w:rPr>
              <w:t>年第一次分红</w:t>
            </w:r>
          </w:p>
        </w:tc>
      </w:tr>
    </w:tbl>
    <w:p w:rsidR="00000000" w:rsidRDefault="0025053F">
      <w:pPr>
        <w:adjustRightInd w:val="0"/>
        <w:snapToGrid w:val="0"/>
        <w:spacing w:beforeLines="50" w:line="360" w:lineRule="auto"/>
        <w:jc w:val="left"/>
      </w:pPr>
      <w:r>
        <w:rPr>
          <w:rFonts w:cs="宋体"/>
        </w:rPr>
        <w:t>注：</w:t>
      </w:r>
      <w:r>
        <w:rPr>
          <w:rFonts w:cs="宋体"/>
          <w:szCs w:val="24"/>
        </w:rPr>
        <w:t>在符合有关基金分红条件的前提下，本基金每年收益分配次数最多为</w:t>
      </w:r>
      <w:r>
        <w:rPr>
          <w:rFonts w:cs="宋体"/>
          <w:szCs w:val="24"/>
        </w:rPr>
        <w:t>12</w:t>
      </w:r>
      <w:r>
        <w:rPr>
          <w:rFonts w:cs="宋体"/>
          <w:szCs w:val="24"/>
        </w:rPr>
        <w:t>次，每年基金收益分配比例不低于该年度可供分配利润的</w:t>
      </w:r>
      <w:r>
        <w:rPr>
          <w:rFonts w:cs="宋体"/>
          <w:szCs w:val="24"/>
        </w:rPr>
        <w:t>90%</w:t>
      </w:r>
      <w:r>
        <w:rPr>
          <w:rFonts w:cs="宋体"/>
          <w:szCs w:val="24"/>
        </w:rPr>
        <w:t>。</w:t>
      </w:r>
      <w:r>
        <w:rPr>
          <w:rFonts w:cs="宋体"/>
          <w:szCs w:val="24"/>
        </w:rPr>
        <w:t xml:space="preserve"> </w:t>
      </w:r>
    </w:p>
    <w:p w:rsidR="00000000" w:rsidRDefault="0025053F">
      <w:pPr>
        <w:pStyle w:val="XBRLTitle1"/>
        <w:spacing w:before="156" w:line="360" w:lineRule="auto"/>
        <w:jc w:val="left"/>
      </w:pPr>
      <w:bookmarkStart w:id="13" w:name="_Toc34322060"/>
      <w:bookmarkStart w:id="14" w:name="_Toc513295893"/>
      <w:bookmarkStart w:id="15" w:name="_Toc438646452"/>
      <w:bookmarkStart w:id="16" w:name="_Toc481075047"/>
      <w:bookmarkStart w:id="17" w:name="_Toc513295847"/>
      <w:bookmarkStart w:id="18" w:name="_Toc490050001"/>
      <w:bookmarkStart w:id="19" w:name="_Toc17898179"/>
      <w:bookmarkStart w:id="20" w:name="_Toc17897937"/>
      <w:bookmarkStart w:id="21" w:name="_Toc512519481"/>
      <w:r>
        <w:rPr>
          <w:rFonts w:hAnsi="宋体"/>
          <w:szCs w:val="24"/>
          <w:lang w:val="en-US"/>
        </w:rPr>
        <w:t>与分红相关的其他信息</w:t>
      </w:r>
      <w:bookmarkEnd w:id="10"/>
      <w:bookmarkEnd w:id="13"/>
      <w:bookmarkEnd w:id="14"/>
      <w:bookmarkEnd w:id="15"/>
      <w:bookmarkEnd w:id="16"/>
      <w:bookmarkEnd w:id="17"/>
      <w:bookmarkEnd w:id="18"/>
      <w:bookmarkEnd w:id="19"/>
      <w:bookmarkEnd w:id="20"/>
      <w:bookmarkEnd w:id="21"/>
      <w:r>
        <w:rPr>
          <w:rFonts w:hAnsi="宋体"/>
          <w:szCs w:val="24"/>
          <w:lang w:val="en-US"/>
        </w:rPr>
        <w:t xml:space="preserve"> </w:t>
      </w:r>
      <w:bookmarkEnd w:id="11"/>
      <w:bookmarkEnd w:id="12"/>
    </w:p>
    <w:tbl>
      <w:tblPr>
        <w:tblW w:w="874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2836"/>
        <w:gridCol w:w="2682"/>
      </w:tblGrid>
      <w:tr w:rsidR="00000000">
        <w:tc>
          <w:tcPr>
            <w:tcW w:w="3227" w:type="dxa"/>
            <w:tcBorders>
              <w:top w:val="single" w:sz="4" w:space="0" w:color="auto"/>
              <w:left w:val="single" w:sz="4" w:space="0" w:color="auto"/>
              <w:bottom w:val="single" w:sz="4" w:space="0" w:color="auto"/>
              <w:right w:val="single" w:sz="4" w:space="0" w:color="auto"/>
            </w:tcBorders>
          </w:tcPr>
          <w:p w:rsidR="00000000" w:rsidRDefault="0025053F">
            <w:r>
              <w:rPr>
                <w:szCs w:val="21"/>
              </w:rPr>
              <w:t>权益登记日</w:t>
            </w:r>
            <w:r>
              <w:rPr>
                <w:szCs w:val="21"/>
              </w:rPr>
              <w:t xml:space="preserve"> </w:t>
            </w:r>
          </w:p>
        </w:tc>
        <w:tc>
          <w:tcPr>
            <w:tcW w:w="5518"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2025</w:t>
            </w:r>
            <w:r>
              <w:rPr>
                <w:szCs w:val="21"/>
              </w:rPr>
              <w:t>年</w:t>
            </w:r>
            <w:r>
              <w:rPr>
                <w:szCs w:val="21"/>
              </w:rPr>
              <w:t>1</w:t>
            </w:r>
            <w:r>
              <w:rPr>
                <w:szCs w:val="21"/>
              </w:rPr>
              <w:t>月</w:t>
            </w:r>
            <w:r>
              <w:rPr>
                <w:szCs w:val="21"/>
              </w:rPr>
              <w:t>14</w:t>
            </w:r>
            <w:r>
              <w:rPr>
                <w:szCs w:val="21"/>
              </w:rPr>
              <w:t>日</w:t>
            </w:r>
          </w:p>
        </w:tc>
      </w:tr>
      <w:tr w:rsidR="00000000">
        <w:tc>
          <w:tcPr>
            <w:tcW w:w="3227" w:type="dxa"/>
            <w:tcBorders>
              <w:top w:val="single" w:sz="4" w:space="0" w:color="auto"/>
              <w:left w:val="single" w:sz="4" w:space="0" w:color="auto"/>
              <w:bottom w:val="single" w:sz="4" w:space="0" w:color="auto"/>
              <w:right w:val="single" w:sz="4" w:space="0" w:color="auto"/>
            </w:tcBorders>
          </w:tcPr>
          <w:p w:rsidR="00000000" w:rsidRDefault="0025053F">
            <w:r>
              <w:rPr>
                <w:szCs w:val="21"/>
              </w:rPr>
              <w:t>除息日</w:t>
            </w:r>
            <w:r>
              <w:rPr>
                <w:szCs w:val="21"/>
              </w:rPr>
              <w:t xml:space="preserve"> </w:t>
            </w:r>
          </w:p>
        </w:tc>
        <w:tc>
          <w:tcPr>
            <w:tcW w:w="2837" w:type="dxa"/>
            <w:tcBorders>
              <w:top w:val="single" w:sz="4" w:space="0" w:color="auto"/>
              <w:left w:val="single" w:sz="4" w:space="0" w:color="auto"/>
              <w:bottom w:val="single" w:sz="4" w:space="0" w:color="auto"/>
              <w:right w:val="single" w:sz="4" w:space="0" w:color="auto"/>
            </w:tcBorders>
          </w:tcPr>
          <w:p w:rsidR="00000000" w:rsidRDefault="0025053F">
            <w:pPr>
              <w:rPr>
                <w:rFonts w:hint="default"/>
              </w:rPr>
            </w:pPr>
            <w:r>
              <w:rPr>
                <w:szCs w:val="21"/>
              </w:rPr>
              <w:t>2025</w:t>
            </w:r>
            <w:r>
              <w:rPr>
                <w:szCs w:val="21"/>
              </w:rPr>
              <w:t>年</w:t>
            </w:r>
            <w:r>
              <w:rPr>
                <w:szCs w:val="21"/>
              </w:rPr>
              <w:t>1</w:t>
            </w:r>
            <w:r>
              <w:rPr>
                <w:szCs w:val="21"/>
              </w:rPr>
              <w:t>月</w:t>
            </w:r>
            <w:r>
              <w:rPr>
                <w:szCs w:val="21"/>
              </w:rPr>
              <w:t>15</w:t>
            </w:r>
            <w:r>
              <w:rPr>
                <w:szCs w:val="21"/>
              </w:rPr>
              <w:t>日</w:t>
            </w:r>
            <w:r>
              <w:rPr>
                <w:szCs w:val="21"/>
              </w:rPr>
              <w:t xml:space="preserve"> </w:t>
            </w:r>
            <w:r>
              <w:rPr>
                <w:szCs w:val="21"/>
              </w:rPr>
              <w:t>(</w:t>
            </w:r>
            <w:r>
              <w:rPr>
                <w:szCs w:val="21"/>
              </w:rPr>
              <w:t>场内）</w:t>
            </w:r>
          </w:p>
        </w:tc>
        <w:tc>
          <w:tcPr>
            <w:tcW w:w="2683" w:type="dxa"/>
            <w:tcBorders>
              <w:top w:val="single" w:sz="4" w:space="0" w:color="auto"/>
              <w:left w:val="single" w:sz="4" w:space="0" w:color="auto"/>
              <w:bottom w:val="single" w:sz="4" w:space="0" w:color="auto"/>
              <w:right w:val="single" w:sz="4" w:space="0" w:color="auto"/>
            </w:tcBorders>
          </w:tcPr>
          <w:p w:rsidR="00000000" w:rsidRDefault="0025053F">
            <w:pPr>
              <w:rPr>
                <w:rFonts w:hint="default"/>
              </w:rPr>
            </w:pPr>
            <w:r>
              <w:rPr>
                <w:szCs w:val="21"/>
              </w:rPr>
              <w:t>2025</w:t>
            </w:r>
            <w:r>
              <w:rPr>
                <w:szCs w:val="21"/>
              </w:rPr>
              <w:t>年</w:t>
            </w:r>
            <w:r>
              <w:rPr>
                <w:szCs w:val="21"/>
              </w:rPr>
              <w:t>1</w:t>
            </w:r>
            <w:r>
              <w:rPr>
                <w:szCs w:val="21"/>
              </w:rPr>
              <w:t>月</w:t>
            </w:r>
            <w:r>
              <w:rPr>
                <w:szCs w:val="21"/>
              </w:rPr>
              <w:t>14</w:t>
            </w:r>
            <w:r>
              <w:rPr>
                <w:szCs w:val="21"/>
              </w:rPr>
              <w:t>日</w:t>
            </w:r>
            <w:r>
              <w:rPr>
                <w:szCs w:val="21"/>
              </w:rPr>
              <w:t>（场外）</w:t>
            </w:r>
          </w:p>
        </w:tc>
      </w:tr>
      <w:tr w:rsidR="00000000">
        <w:tc>
          <w:tcPr>
            <w:tcW w:w="3227" w:type="dxa"/>
            <w:tcBorders>
              <w:top w:val="single" w:sz="4" w:space="0" w:color="auto"/>
              <w:left w:val="single" w:sz="4" w:space="0" w:color="auto"/>
              <w:bottom w:val="single" w:sz="4" w:space="0" w:color="auto"/>
              <w:right w:val="single" w:sz="4" w:space="0" w:color="auto"/>
            </w:tcBorders>
          </w:tcPr>
          <w:p w:rsidR="00000000" w:rsidRDefault="0025053F">
            <w:r>
              <w:rPr>
                <w:szCs w:val="21"/>
              </w:rPr>
              <w:t>现金红利发放日</w:t>
            </w:r>
            <w:r>
              <w:rPr>
                <w:szCs w:val="21"/>
              </w:rPr>
              <w:t xml:space="preserve"> </w:t>
            </w:r>
          </w:p>
        </w:tc>
        <w:tc>
          <w:tcPr>
            <w:tcW w:w="5518"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2025</w:t>
            </w:r>
            <w:r>
              <w:rPr>
                <w:szCs w:val="21"/>
              </w:rPr>
              <w:t>年</w:t>
            </w:r>
            <w:r>
              <w:rPr>
                <w:szCs w:val="21"/>
              </w:rPr>
              <w:t>1</w:t>
            </w:r>
            <w:r>
              <w:rPr>
                <w:szCs w:val="21"/>
              </w:rPr>
              <w:t>月</w:t>
            </w:r>
            <w:r>
              <w:rPr>
                <w:szCs w:val="21"/>
              </w:rPr>
              <w:t>16</w:t>
            </w:r>
            <w:r>
              <w:rPr>
                <w:szCs w:val="21"/>
              </w:rPr>
              <w:t>日</w:t>
            </w:r>
          </w:p>
        </w:tc>
      </w:tr>
      <w:tr w:rsidR="00000000">
        <w:tc>
          <w:tcPr>
            <w:tcW w:w="3227" w:type="dxa"/>
            <w:tcBorders>
              <w:top w:val="single" w:sz="4" w:space="0" w:color="auto"/>
              <w:left w:val="single" w:sz="4" w:space="0" w:color="auto"/>
              <w:bottom w:val="single" w:sz="4" w:space="0" w:color="auto"/>
              <w:right w:val="single" w:sz="4" w:space="0" w:color="auto"/>
            </w:tcBorders>
          </w:tcPr>
          <w:p w:rsidR="00000000" w:rsidRDefault="0025053F">
            <w:r>
              <w:rPr>
                <w:szCs w:val="21"/>
              </w:rPr>
              <w:t>分红对象</w:t>
            </w:r>
            <w:r>
              <w:rPr>
                <w:szCs w:val="21"/>
              </w:rPr>
              <w:t xml:space="preserve"> </w:t>
            </w:r>
          </w:p>
        </w:tc>
        <w:tc>
          <w:tcPr>
            <w:tcW w:w="5518"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权益登记日在注册登记机构登记在册的本基金全体基金份额持有人。</w:t>
            </w:r>
          </w:p>
        </w:tc>
      </w:tr>
      <w:tr w:rsidR="00000000">
        <w:tc>
          <w:tcPr>
            <w:tcW w:w="3227" w:type="dxa"/>
            <w:tcBorders>
              <w:top w:val="single" w:sz="4" w:space="0" w:color="auto"/>
              <w:left w:val="single" w:sz="4" w:space="0" w:color="auto"/>
              <w:bottom w:val="single" w:sz="4" w:space="0" w:color="auto"/>
              <w:right w:val="single" w:sz="4" w:space="0" w:color="auto"/>
            </w:tcBorders>
            <w:vAlign w:val="center"/>
          </w:tcPr>
          <w:p w:rsidR="00000000" w:rsidRDefault="0025053F">
            <w:r>
              <w:rPr>
                <w:szCs w:val="21"/>
              </w:rPr>
              <w:t>红利再投资相</w:t>
            </w:r>
            <w:r>
              <w:rPr>
                <w:szCs w:val="21"/>
              </w:rPr>
              <w:t>关事项的说明</w:t>
            </w:r>
            <w:r>
              <w:rPr>
                <w:szCs w:val="21"/>
              </w:rPr>
              <w:t xml:space="preserve"> </w:t>
            </w:r>
          </w:p>
        </w:tc>
        <w:tc>
          <w:tcPr>
            <w:tcW w:w="5518"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选择红利再投资的投资者，其现金红利将按</w:t>
            </w:r>
            <w:r>
              <w:rPr>
                <w:szCs w:val="21"/>
              </w:rPr>
              <w:t>2025</w:t>
            </w:r>
            <w:r>
              <w:rPr>
                <w:szCs w:val="21"/>
              </w:rPr>
              <w:t>年</w:t>
            </w:r>
            <w:r>
              <w:rPr>
                <w:szCs w:val="21"/>
              </w:rPr>
              <w:t>1</w:t>
            </w:r>
            <w:r>
              <w:rPr>
                <w:szCs w:val="21"/>
              </w:rPr>
              <w:t>月</w:t>
            </w:r>
            <w:r>
              <w:rPr>
                <w:szCs w:val="21"/>
              </w:rPr>
              <w:t>14</w:t>
            </w:r>
            <w:r>
              <w:rPr>
                <w:szCs w:val="21"/>
              </w:rPr>
              <w:t>日的基金份额净值转换为基金份额。</w:t>
            </w:r>
          </w:p>
        </w:tc>
      </w:tr>
      <w:tr w:rsidR="00000000">
        <w:tc>
          <w:tcPr>
            <w:tcW w:w="3227" w:type="dxa"/>
            <w:tcBorders>
              <w:top w:val="single" w:sz="4" w:space="0" w:color="auto"/>
              <w:left w:val="single" w:sz="4" w:space="0" w:color="auto"/>
              <w:bottom w:val="single" w:sz="4" w:space="0" w:color="auto"/>
              <w:right w:val="single" w:sz="4" w:space="0" w:color="auto"/>
            </w:tcBorders>
          </w:tcPr>
          <w:p w:rsidR="00000000" w:rsidRDefault="0025053F">
            <w:r>
              <w:rPr>
                <w:szCs w:val="21"/>
              </w:rPr>
              <w:t>税收相关事项的说明</w:t>
            </w:r>
            <w:r>
              <w:rPr>
                <w:szCs w:val="21"/>
              </w:rPr>
              <w:t xml:space="preserve"> </w:t>
            </w:r>
          </w:p>
        </w:tc>
        <w:tc>
          <w:tcPr>
            <w:tcW w:w="5518"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根据财政部、国家税务总局相关规定，基金向投资者分配的基金收益，暂免征收所得税。</w:t>
            </w:r>
          </w:p>
        </w:tc>
      </w:tr>
      <w:tr w:rsidR="00000000">
        <w:tc>
          <w:tcPr>
            <w:tcW w:w="3227" w:type="dxa"/>
            <w:tcBorders>
              <w:top w:val="single" w:sz="4" w:space="0" w:color="auto"/>
              <w:left w:val="single" w:sz="4" w:space="0" w:color="auto"/>
              <w:bottom w:val="single" w:sz="4" w:space="0" w:color="auto"/>
              <w:right w:val="single" w:sz="4" w:space="0" w:color="auto"/>
            </w:tcBorders>
          </w:tcPr>
          <w:p w:rsidR="00000000" w:rsidRDefault="0025053F">
            <w:r>
              <w:rPr>
                <w:szCs w:val="21"/>
              </w:rPr>
              <w:t>费用相关事项的说明</w:t>
            </w:r>
            <w:r>
              <w:rPr>
                <w:szCs w:val="21"/>
              </w:rPr>
              <w:t xml:space="preserve"> </w:t>
            </w:r>
          </w:p>
        </w:tc>
        <w:tc>
          <w:tcPr>
            <w:tcW w:w="5518" w:type="dxa"/>
            <w:gridSpan w:val="2"/>
            <w:tcBorders>
              <w:top w:val="single" w:sz="4" w:space="0" w:color="auto"/>
              <w:left w:val="single" w:sz="4" w:space="0" w:color="auto"/>
              <w:bottom w:val="single" w:sz="4" w:space="0" w:color="auto"/>
              <w:right w:val="single" w:sz="4" w:space="0" w:color="auto"/>
            </w:tcBorders>
          </w:tcPr>
          <w:p w:rsidR="00000000" w:rsidRDefault="0025053F">
            <w:r>
              <w:rPr>
                <w:szCs w:val="21"/>
              </w:rPr>
              <w:t>1</w:t>
            </w:r>
            <w:r>
              <w:rPr>
                <w:szCs w:val="21"/>
              </w:rPr>
              <w:t>、本基金本次分红免收分红手续费。</w:t>
            </w:r>
            <w:r>
              <w:rPr>
                <w:szCs w:val="21"/>
              </w:rPr>
              <w:br/>
            </w:r>
            <w:r>
              <w:rPr>
                <w:szCs w:val="21"/>
              </w:rPr>
              <w:t>2</w:t>
            </w:r>
            <w:r>
              <w:rPr>
                <w:szCs w:val="21"/>
              </w:rPr>
              <w:t>、选择红利再投资方式的投资者其红利所转换的基金份额</w:t>
            </w:r>
            <w:r>
              <w:rPr>
                <w:szCs w:val="21"/>
              </w:rPr>
              <w:lastRenderedPageBreak/>
              <w:t>免收申购费用。</w:t>
            </w:r>
          </w:p>
        </w:tc>
      </w:tr>
    </w:tbl>
    <w:p w:rsidR="00000000" w:rsidRDefault="0025053F">
      <w:pPr>
        <w:adjustRightInd w:val="0"/>
        <w:snapToGrid w:val="0"/>
        <w:spacing w:beforeLines="50" w:line="360" w:lineRule="auto"/>
        <w:jc w:val="left"/>
      </w:pPr>
      <w:r>
        <w:rPr>
          <w:rFonts w:cs="宋体"/>
        </w:rPr>
        <w:lastRenderedPageBreak/>
        <w:t>注：</w:t>
      </w:r>
      <w:r>
        <w:rPr>
          <w:rFonts w:cs="宋体"/>
          <w:szCs w:val="24"/>
        </w:rPr>
        <w:t>1</w:t>
      </w:r>
      <w:r>
        <w:rPr>
          <w:rFonts w:cs="宋体"/>
          <w:szCs w:val="24"/>
        </w:rPr>
        <w:t>、本基金场内除息日为</w:t>
      </w:r>
      <w:r>
        <w:rPr>
          <w:rFonts w:cs="宋体"/>
          <w:szCs w:val="24"/>
        </w:rPr>
        <w:t>2025</w:t>
      </w:r>
      <w:r>
        <w:rPr>
          <w:rFonts w:cs="宋体"/>
          <w:szCs w:val="24"/>
        </w:rPr>
        <w:t>年</w:t>
      </w:r>
      <w:r>
        <w:rPr>
          <w:rFonts w:cs="宋体"/>
          <w:szCs w:val="24"/>
        </w:rPr>
        <w:t>1</w:t>
      </w:r>
      <w:r>
        <w:rPr>
          <w:rFonts w:cs="宋体"/>
          <w:szCs w:val="24"/>
        </w:rPr>
        <w:t>月</w:t>
      </w:r>
      <w:r>
        <w:rPr>
          <w:rFonts w:cs="宋体"/>
          <w:szCs w:val="24"/>
        </w:rPr>
        <w:t>15</w:t>
      </w:r>
      <w:r>
        <w:rPr>
          <w:rFonts w:cs="宋体"/>
          <w:szCs w:val="24"/>
        </w:rPr>
        <w:t>日，场外除息日为</w:t>
      </w:r>
      <w:r>
        <w:rPr>
          <w:rFonts w:cs="宋体"/>
          <w:szCs w:val="24"/>
        </w:rPr>
        <w:t>2025</w:t>
      </w:r>
      <w:r>
        <w:rPr>
          <w:rFonts w:cs="宋体"/>
          <w:szCs w:val="24"/>
        </w:rPr>
        <w:t>年</w:t>
      </w:r>
      <w:r>
        <w:rPr>
          <w:rFonts w:cs="宋体"/>
          <w:szCs w:val="24"/>
        </w:rPr>
        <w:t>1</w:t>
      </w:r>
      <w:r>
        <w:rPr>
          <w:rFonts w:cs="宋体"/>
          <w:szCs w:val="24"/>
        </w:rPr>
        <w:t>月</w:t>
      </w:r>
      <w:r>
        <w:rPr>
          <w:rFonts w:cs="宋体"/>
          <w:szCs w:val="24"/>
        </w:rPr>
        <w:t>14</w:t>
      </w:r>
      <w:r>
        <w:rPr>
          <w:rFonts w:cs="宋体"/>
          <w:szCs w:val="24"/>
        </w:rPr>
        <w:t>日。</w:t>
      </w:r>
      <w:r>
        <w:rPr>
          <w:rFonts w:cs="宋体"/>
          <w:szCs w:val="24"/>
        </w:rPr>
        <w:br/>
      </w:r>
      <w:r>
        <w:rPr>
          <w:rFonts w:cs="宋体"/>
          <w:szCs w:val="24"/>
        </w:rPr>
        <w:t xml:space="preserve">　　</w:t>
      </w:r>
      <w:r>
        <w:rPr>
          <w:rFonts w:cs="宋体"/>
          <w:szCs w:val="24"/>
        </w:rPr>
        <w:t>2</w:t>
      </w:r>
      <w:r>
        <w:rPr>
          <w:rFonts w:cs="宋体"/>
          <w:szCs w:val="24"/>
        </w:rPr>
        <w:t>、本次向场内、场外基金份额派发的现金红利于</w:t>
      </w:r>
      <w:r>
        <w:rPr>
          <w:rFonts w:cs="宋体"/>
          <w:szCs w:val="24"/>
        </w:rPr>
        <w:t>2025</w:t>
      </w:r>
      <w:r>
        <w:rPr>
          <w:rFonts w:cs="宋体"/>
          <w:szCs w:val="24"/>
        </w:rPr>
        <w:t>年</w:t>
      </w:r>
      <w:r>
        <w:rPr>
          <w:rFonts w:cs="宋体"/>
          <w:szCs w:val="24"/>
        </w:rPr>
        <w:t>1</w:t>
      </w:r>
      <w:r>
        <w:rPr>
          <w:rFonts w:cs="宋体"/>
          <w:szCs w:val="24"/>
        </w:rPr>
        <w:t>月</w:t>
      </w:r>
      <w:r>
        <w:rPr>
          <w:rFonts w:cs="宋体"/>
          <w:szCs w:val="24"/>
        </w:rPr>
        <w:t>16</w:t>
      </w:r>
      <w:r>
        <w:rPr>
          <w:rFonts w:cs="宋体"/>
          <w:szCs w:val="24"/>
        </w:rPr>
        <w:t>日自基金托管账户划出。</w:t>
      </w:r>
      <w:r>
        <w:rPr>
          <w:rFonts w:cs="宋体"/>
          <w:szCs w:val="24"/>
        </w:rPr>
        <w:t xml:space="preserve"> </w:t>
      </w:r>
      <w:r>
        <w:rPr>
          <w:rFonts w:cs="宋体"/>
          <w:szCs w:val="24"/>
        </w:rPr>
        <w:br/>
      </w:r>
      <w:r>
        <w:rPr>
          <w:rFonts w:cs="宋体"/>
          <w:szCs w:val="24"/>
        </w:rPr>
        <w:t xml:space="preserve">　　</w:t>
      </w:r>
      <w:r>
        <w:rPr>
          <w:rFonts w:cs="宋体"/>
          <w:szCs w:val="24"/>
        </w:rPr>
        <w:t>3</w:t>
      </w:r>
      <w:r>
        <w:rPr>
          <w:rFonts w:cs="宋体"/>
          <w:szCs w:val="24"/>
        </w:rPr>
        <w:t>、本基金登记结算机构将于</w:t>
      </w:r>
      <w:r>
        <w:rPr>
          <w:rFonts w:cs="宋体"/>
          <w:szCs w:val="24"/>
        </w:rPr>
        <w:t>2025</w:t>
      </w:r>
      <w:r>
        <w:rPr>
          <w:rFonts w:cs="宋体"/>
          <w:szCs w:val="24"/>
        </w:rPr>
        <w:t>年</w:t>
      </w:r>
      <w:r>
        <w:rPr>
          <w:rFonts w:cs="宋体"/>
          <w:szCs w:val="24"/>
        </w:rPr>
        <w:t>1</w:t>
      </w:r>
      <w:r>
        <w:rPr>
          <w:rFonts w:cs="宋体"/>
          <w:szCs w:val="24"/>
        </w:rPr>
        <w:t>月</w:t>
      </w:r>
      <w:r>
        <w:rPr>
          <w:rFonts w:cs="宋体"/>
          <w:szCs w:val="24"/>
        </w:rPr>
        <w:t>15</w:t>
      </w:r>
      <w:r>
        <w:rPr>
          <w:rFonts w:cs="宋体"/>
          <w:szCs w:val="24"/>
        </w:rPr>
        <w:t>日对红利再投资的基金份额进行确认并通知各销售机构，本次红利再投资所得份额的持有期限自</w:t>
      </w:r>
      <w:r>
        <w:rPr>
          <w:rFonts w:cs="宋体"/>
          <w:szCs w:val="24"/>
        </w:rPr>
        <w:t>2025</w:t>
      </w:r>
      <w:r>
        <w:rPr>
          <w:rFonts w:cs="宋体"/>
          <w:szCs w:val="24"/>
        </w:rPr>
        <w:t>年</w:t>
      </w:r>
      <w:r>
        <w:rPr>
          <w:rFonts w:cs="宋体"/>
          <w:szCs w:val="24"/>
        </w:rPr>
        <w:t>1</w:t>
      </w:r>
      <w:r>
        <w:rPr>
          <w:rFonts w:cs="宋体"/>
          <w:szCs w:val="24"/>
        </w:rPr>
        <w:t>月</w:t>
      </w:r>
      <w:r>
        <w:rPr>
          <w:rFonts w:cs="宋体"/>
          <w:szCs w:val="24"/>
        </w:rPr>
        <w:t>15</w:t>
      </w:r>
      <w:r>
        <w:rPr>
          <w:rFonts w:cs="宋体"/>
          <w:szCs w:val="24"/>
        </w:rPr>
        <w:t>日开始计算。</w:t>
      </w:r>
      <w:r>
        <w:rPr>
          <w:rFonts w:cs="宋体"/>
          <w:szCs w:val="24"/>
        </w:rPr>
        <w:t>2025</w:t>
      </w:r>
      <w:r>
        <w:rPr>
          <w:rFonts w:cs="宋体"/>
          <w:szCs w:val="24"/>
        </w:rPr>
        <w:t>年</w:t>
      </w:r>
      <w:r>
        <w:rPr>
          <w:rFonts w:cs="宋体"/>
          <w:szCs w:val="24"/>
        </w:rPr>
        <w:t>1</w:t>
      </w:r>
      <w:r>
        <w:rPr>
          <w:rFonts w:cs="宋体"/>
          <w:szCs w:val="24"/>
        </w:rPr>
        <w:t>月</w:t>
      </w:r>
      <w:r>
        <w:rPr>
          <w:rFonts w:cs="宋体"/>
          <w:szCs w:val="24"/>
        </w:rPr>
        <w:t>16</w:t>
      </w:r>
      <w:r>
        <w:rPr>
          <w:rFonts w:cs="宋体"/>
          <w:szCs w:val="24"/>
        </w:rPr>
        <w:t>日起投资者可以查询，并可以在基金规定的开放运作期内赎回。</w:t>
      </w:r>
      <w:r>
        <w:rPr>
          <w:rFonts w:cs="宋体"/>
          <w:szCs w:val="24"/>
        </w:rPr>
        <w:br/>
      </w:r>
      <w:r>
        <w:rPr>
          <w:rFonts w:cs="宋体"/>
          <w:szCs w:val="24"/>
        </w:rPr>
        <w:t xml:space="preserve">　　</w:t>
      </w:r>
      <w:r>
        <w:rPr>
          <w:rFonts w:cs="宋体"/>
          <w:szCs w:val="24"/>
        </w:rPr>
        <w:t>4</w:t>
      </w:r>
      <w:r>
        <w:rPr>
          <w:rFonts w:cs="宋体"/>
          <w:szCs w:val="24"/>
        </w:rPr>
        <w:t>、冻结基金份额的红利发放按照《工银瑞信基金管理有限公司证券投资基金注册登记业务规则》的相关规定处理。</w:t>
      </w:r>
      <w:r>
        <w:rPr>
          <w:rFonts w:cs="宋体"/>
          <w:szCs w:val="24"/>
        </w:rPr>
        <w:t xml:space="preserve"> </w:t>
      </w:r>
    </w:p>
    <w:p w:rsidR="00000000" w:rsidRDefault="0025053F">
      <w:pPr>
        <w:pStyle w:val="XBRLTitle1"/>
        <w:spacing w:before="156" w:line="360" w:lineRule="auto"/>
        <w:jc w:val="left"/>
      </w:pPr>
      <w:bookmarkStart w:id="22" w:name="_Toc512519529"/>
      <w:bookmarkStart w:id="23" w:name="_Toc17897969"/>
      <w:bookmarkStart w:id="24" w:name="_Toc17898228"/>
      <w:bookmarkStart w:id="25" w:name="_Toc490050049"/>
      <w:bookmarkStart w:id="26" w:name="_Toc438646481"/>
      <w:bookmarkStart w:id="27" w:name="_Toc481075097"/>
      <w:bookmarkStart w:id="28" w:name="_Toc34322063"/>
      <w:bookmarkStart w:id="29" w:name="_Toc513295941"/>
      <w:bookmarkStart w:id="30" w:name="_Toc513295878"/>
      <w:bookmarkStart w:id="31" w:name="m201_01"/>
      <w:r>
        <w:rPr>
          <w:rFonts w:hAnsi="宋体"/>
          <w:szCs w:val="24"/>
          <w:lang w:val="en-US"/>
        </w:rPr>
        <w:t>其他需要提示的事项</w:t>
      </w:r>
      <w:bookmarkEnd w:id="22"/>
      <w:bookmarkEnd w:id="23"/>
      <w:bookmarkEnd w:id="24"/>
      <w:bookmarkEnd w:id="25"/>
      <w:bookmarkEnd w:id="26"/>
      <w:bookmarkEnd w:id="27"/>
      <w:bookmarkEnd w:id="28"/>
      <w:bookmarkEnd w:id="29"/>
      <w:bookmarkEnd w:id="30"/>
      <w:r>
        <w:rPr>
          <w:rFonts w:hAnsi="宋体"/>
          <w:szCs w:val="24"/>
          <w:lang w:val="en-US"/>
        </w:rPr>
        <w:t xml:space="preserve"> </w:t>
      </w:r>
    </w:p>
    <w:p w:rsidR="00000000" w:rsidRDefault="0025053F">
      <w:pPr>
        <w:spacing w:line="360" w:lineRule="auto"/>
        <w:ind w:firstLineChars="200" w:firstLine="420"/>
        <w:jc w:val="left"/>
        <w:rPr>
          <w:kern w:val="0"/>
          <w:szCs w:val="21"/>
        </w:rPr>
      </w:pPr>
      <w:r>
        <w:rPr>
          <w:kern w:val="0"/>
          <w:szCs w:val="21"/>
        </w:rPr>
        <w:t>1</w:t>
      </w:r>
      <w:r>
        <w:rPr>
          <w:kern w:val="0"/>
          <w:szCs w:val="21"/>
        </w:rPr>
        <w:t>、本基金将于</w:t>
      </w:r>
      <w:r>
        <w:rPr>
          <w:kern w:val="0"/>
          <w:szCs w:val="21"/>
        </w:rPr>
        <w:t>2025</w:t>
      </w:r>
      <w:r>
        <w:rPr>
          <w:kern w:val="0"/>
          <w:szCs w:val="21"/>
        </w:rPr>
        <w:t>年</w:t>
      </w:r>
      <w:r>
        <w:rPr>
          <w:kern w:val="0"/>
          <w:szCs w:val="21"/>
        </w:rPr>
        <w:t>1</w:t>
      </w:r>
      <w:r>
        <w:rPr>
          <w:kern w:val="0"/>
          <w:szCs w:val="21"/>
        </w:rPr>
        <w:t>月</w:t>
      </w:r>
      <w:r>
        <w:rPr>
          <w:kern w:val="0"/>
          <w:szCs w:val="21"/>
        </w:rPr>
        <w:t>10</w:t>
      </w:r>
      <w:r>
        <w:rPr>
          <w:kern w:val="0"/>
          <w:szCs w:val="21"/>
        </w:rPr>
        <w:t>日上午开市至</w:t>
      </w:r>
      <w:r>
        <w:rPr>
          <w:kern w:val="0"/>
          <w:szCs w:val="21"/>
        </w:rPr>
        <w:t>10</w:t>
      </w:r>
      <w:r>
        <w:rPr>
          <w:kern w:val="0"/>
          <w:szCs w:val="21"/>
        </w:rPr>
        <w:t>：</w:t>
      </w:r>
      <w:r>
        <w:rPr>
          <w:kern w:val="0"/>
          <w:szCs w:val="21"/>
        </w:rPr>
        <w:t>30</w:t>
      </w:r>
      <w:r>
        <w:rPr>
          <w:kern w:val="0"/>
          <w:szCs w:val="21"/>
        </w:rPr>
        <w:t>期间停牌，并将于</w:t>
      </w:r>
      <w:r>
        <w:rPr>
          <w:kern w:val="0"/>
          <w:szCs w:val="21"/>
        </w:rPr>
        <w:t>2025</w:t>
      </w:r>
      <w:r>
        <w:rPr>
          <w:kern w:val="0"/>
          <w:szCs w:val="21"/>
        </w:rPr>
        <w:t>年</w:t>
      </w:r>
      <w:r>
        <w:rPr>
          <w:kern w:val="0"/>
          <w:szCs w:val="21"/>
        </w:rPr>
        <w:t>1</w:t>
      </w:r>
      <w:r>
        <w:rPr>
          <w:kern w:val="0"/>
          <w:szCs w:val="21"/>
        </w:rPr>
        <w:t>月</w:t>
      </w:r>
      <w:r>
        <w:rPr>
          <w:kern w:val="0"/>
          <w:szCs w:val="21"/>
        </w:rPr>
        <w:t>10</w:t>
      </w:r>
      <w:r>
        <w:rPr>
          <w:kern w:val="0"/>
          <w:szCs w:val="21"/>
        </w:rPr>
        <w:t>日</w:t>
      </w:r>
      <w:r>
        <w:rPr>
          <w:kern w:val="0"/>
          <w:szCs w:val="21"/>
        </w:rPr>
        <w:t>10</w:t>
      </w:r>
      <w:r>
        <w:rPr>
          <w:kern w:val="0"/>
          <w:szCs w:val="21"/>
        </w:rPr>
        <w:t>：</w:t>
      </w:r>
      <w:r>
        <w:rPr>
          <w:kern w:val="0"/>
          <w:szCs w:val="21"/>
        </w:rPr>
        <w:t>30</w:t>
      </w:r>
      <w:r>
        <w:rPr>
          <w:kern w:val="0"/>
          <w:szCs w:val="21"/>
        </w:rPr>
        <w:t>起复牌。</w:t>
      </w:r>
      <w:r>
        <w:rPr>
          <w:kern w:val="0"/>
          <w:szCs w:val="21"/>
        </w:rPr>
        <w:t xml:space="preserve"> </w:t>
      </w:r>
      <w:r>
        <w:rPr>
          <w:kern w:val="0"/>
          <w:szCs w:val="21"/>
        </w:rPr>
        <w:br/>
      </w:r>
      <w:r>
        <w:rPr>
          <w:kern w:val="0"/>
          <w:szCs w:val="21"/>
        </w:rPr>
        <w:t xml:space="preserve">　　</w:t>
      </w:r>
      <w:r>
        <w:rPr>
          <w:kern w:val="0"/>
          <w:szCs w:val="21"/>
        </w:rPr>
        <w:t>2</w:t>
      </w:r>
      <w:r>
        <w:rPr>
          <w:kern w:val="0"/>
          <w:szCs w:val="21"/>
        </w:rPr>
        <w:t>、权益分派期间（</w:t>
      </w:r>
      <w:r>
        <w:rPr>
          <w:kern w:val="0"/>
          <w:szCs w:val="21"/>
        </w:rPr>
        <w:t>20</w:t>
      </w:r>
      <w:r>
        <w:rPr>
          <w:kern w:val="0"/>
          <w:szCs w:val="21"/>
        </w:rPr>
        <w:t>25</w:t>
      </w:r>
      <w:r>
        <w:rPr>
          <w:kern w:val="0"/>
          <w:szCs w:val="21"/>
        </w:rPr>
        <w:t>年</w:t>
      </w:r>
      <w:r>
        <w:rPr>
          <w:kern w:val="0"/>
          <w:szCs w:val="21"/>
        </w:rPr>
        <w:t>1</w:t>
      </w:r>
      <w:r>
        <w:rPr>
          <w:kern w:val="0"/>
          <w:szCs w:val="21"/>
        </w:rPr>
        <w:t>月</w:t>
      </w:r>
      <w:r>
        <w:rPr>
          <w:kern w:val="0"/>
          <w:szCs w:val="21"/>
        </w:rPr>
        <w:t>10</w:t>
      </w:r>
      <w:r>
        <w:rPr>
          <w:kern w:val="0"/>
          <w:szCs w:val="21"/>
        </w:rPr>
        <w:t>日至</w:t>
      </w:r>
      <w:r>
        <w:rPr>
          <w:kern w:val="0"/>
          <w:szCs w:val="21"/>
        </w:rPr>
        <w:t>2025</w:t>
      </w:r>
      <w:r>
        <w:rPr>
          <w:kern w:val="0"/>
          <w:szCs w:val="21"/>
        </w:rPr>
        <w:t>年</w:t>
      </w:r>
      <w:r>
        <w:rPr>
          <w:kern w:val="0"/>
          <w:szCs w:val="21"/>
        </w:rPr>
        <w:t>1</w:t>
      </w:r>
      <w:r>
        <w:rPr>
          <w:kern w:val="0"/>
          <w:szCs w:val="21"/>
        </w:rPr>
        <w:t>月</w:t>
      </w:r>
      <w:r>
        <w:rPr>
          <w:kern w:val="0"/>
          <w:szCs w:val="21"/>
        </w:rPr>
        <w:t>14</w:t>
      </w:r>
      <w:r>
        <w:rPr>
          <w:kern w:val="0"/>
          <w:szCs w:val="21"/>
        </w:rPr>
        <w:t>日）暂停本基金跨系统转托管业务。</w:t>
      </w:r>
      <w:r>
        <w:rPr>
          <w:kern w:val="0"/>
          <w:szCs w:val="21"/>
        </w:rPr>
        <w:t xml:space="preserve"> </w:t>
      </w:r>
      <w:r>
        <w:rPr>
          <w:kern w:val="0"/>
          <w:szCs w:val="21"/>
        </w:rPr>
        <w:br/>
      </w:r>
      <w:r>
        <w:rPr>
          <w:kern w:val="0"/>
          <w:szCs w:val="21"/>
        </w:rPr>
        <w:t xml:space="preserve">　　</w:t>
      </w:r>
      <w:r>
        <w:rPr>
          <w:kern w:val="0"/>
          <w:szCs w:val="21"/>
        </w:rPr>
        <w:t>3</w:t>
      </w:r>
      <w:r>
        <w:rPr>
          <w:kern w:val="0"/>
          <w:szCs w:val="21"/>
        </w:rPr>
        <w:t>、本次分红不会改变本基金的风险收益特征，也不会降低本基金的投资风险或提高本基金的投资收益。</w:t>
      </w:r>
      <w:r>
        <w:rPr>
          <w:kern w:val="0"/>
          <w:szCs w:val="21"/>
        </w:rPr>
        <w:t xml:space="preserve"> </w:t>
      </w:r>
      <w:r>
        <w:rPr>
          <w:kern w:val="0"/>
          <w:szCs w:val="21"/>
        </w:rPr>
        <w:br/>
      </w:r>
      <w:r>
        <w:rPr>
          <w:kern w:val="0"/>
          <w:szCs w:val="21"/>
        </w:rPr>
        <w:t xml:space="preserve">　　</w:t>
      </w:r>
      <w:r>
        <w:rPr>
          <w:kern w:val="0"/>
          <w:szCs w:val="21"/>
        </w:rPr>
        <w:t>4</w:t>
      </w:r>
      <w:r>
        <w:rPr>
          <w:kern w:val="0"/>
          <w:szCs w:val="21"/>
        </w:rPr>
        <w:t>、本基金的收益分配方式分为现金分红与红利再投资，投资人可选择获取现金红利或将现金红利自动转为基金份额进行再投资，若投资人不选择，本基金默认的收益分配方式是现金红利；登记在证券登记结算系统基金份额持有人深圳证券账户下的基金份额只能采取现金红利方式，不能选择红利再投资。</w:t>
      </w:r>
      <w:r>
        <w:rPr>
          <w:kern w:val="0"/>
          <w:szCs w:val="21"/>
        </w:rPr>
        <w:t xml:space="preserve"> </w:t>
      </w:r>
      <w:r>
        <w:rPr>
          <w:kern w:val="0"/>
          <w:szCs w:val="21"/>
        </w:rPr>
        <w:br/>
      </w:r>
      <w:r>
        <w:rPr>
          <w:kern w:val="0"/>
          <w:szCs w:val="21"/>
        </w:rPr>
        <w:t xml:space="preserve">　　</w:t>
      </w:r>
      <w:r>
        <w:rPr>
          <w:kern w:val="0"/>
          <w:szCs w:val="21"/>
        </w:rPr>
        <w:t>5</w:t>
      </w:r>
      <w:r>
        <w:rPr>
          <w:kern w:val="0"/>
          <w:szCs w:val="21"/>
        </w:rPr>
        <w:t>、因分红导致基金净值调整至</w:t>
      </w:r>
      <w:r>
        <w:rPr>
          <w:kern w:val="0"/>
          <w:szCs w:val="21"/>
        </w:rPr>
        <w:t>1</w:t>
      </w:r>
      <w:r>
        <w:rPr>
          <w:kern w:val="0"/>
          <w:szCs w:val="21"/>
        </w:rPr>
        <w:t>元初始面值附近，在市场波动等因</w:t>
      </w:r>
      <w:r>
        <w:rPr>
          <w:kern w:val="0"/>
          <w:szCs w:val="21"/>
        </w:rPr>
        <w:t>素的影响下，基金投资仍有可能出现亏损或基金净值仍有可能低于初始面值。</w:t>
      </w:r>
      <w:r>
        <w:rPr>
          <w:kern w:val="0"/>
          <w:szCs w:val="21"/>
        </w:rPr>
        <w:t xml:space="preserve"> </w:t>
      </w:r>
      <w:r>
        <w:rPr>
          <w:kern w:val="0"/>
          <w:szCs w:val="21"/>
        </w:rPr>
        <w:br/>
      </w:r>
      <w:r>
        <w:rPr>
          <w:kern w:val="0"/>
          <w:szCs w:val="21"/>
        </w:rPr>
        <w:t xml:space="preserve">　　</w:t>
      </w:r>
      <w:r>
        <w:rPr>
          <w:kern w:val="0"/>
          <w:szCs w:val="21"/>
        </w:rPr>
        <w:t>6</w:t>
      </w:r>
      <w:r>
        <w:rPr>
          <w:kern w:val="0"/>
          <w:szCs w:val="21"/>
        </w:rPr>
        <w:t>、咨询办法</w:t>
      </w:r>
      <w:r>
        <w:rPr>
          <w:kern w:val="0"/>
          <w:szCs w:val="21"/>
        </w:rPr>
        <w:t xml:space="preserve"> </w:t>
      </w:r>
      <w:r>
        <w:rPr>
          <w:kern w:val="0"/>
          <w:szCs w:val="21"/>
        </w:rPr>
        <w:br/>
      </w:r>
      <w:r>
        <w:rPr>
          <w:kern w:val="0"/>
          <w:szCs w:val="21"/>
        </w:rPr>
        <w:t xml:space="preserve">　　①本基金管理人客户服务电话：</w:t>
      </w:r>
      <w:r>
        <w:rPr>
          <w:kern w:val="0"/>
          <w:szCs w:val="21"/>
        </w:rPr>
        <w:t>400-811-9999</w:t>
      </w:r>
      <w:r>
        <w:rPr>
          <w:kern w:val="0"/>
          <w:szCs w:val="21"/>
        </w:rPr>
        <w:t>。</w:t>
      </w:r>
      <w:r>
        <w:rPr>
          <w:kern w:val="0"/>
          <w:szCs w:val="21"/>
        </w:rPr>
        <w:t xml:space="preserve"> </w:t>
      </w:r>
      <w:r>
        <w:rPr>
          <w:kern w:val="0"/>
          <w:szCs w:val="21"/>
        </w:rPr>
        <w:br/>
      </w:r>
      <w:r>
        <w:rPr>
          <w:kern w:val="0"/>
          <w:szCs w:val="21"/>
        </w:rPr>
        <w:t xml:space="preserve">　　②本基金管理人网站：</w:t>
      </w:r>
      <w:r>
        <w:rPr>
          <w:kern w:val="0"/>
          <w:szCs w:val="21"/>
        </w:rPr>
        <w:t>http://www.icbccs.com.cn</w:t>
      </w:r>
      <w:r>
        <w:rPr>
          <w:kern w:val="0"/>
          <w:szCs w:val="21"/>
        </w:rPr>
        <w:t>。</w:t>
      </w:r>
      <w:r>
        <w:rPr>
          <w:kern w:val="0"/>
          <w:szCs w:val="21"/>
        </w:rPr>
        <w:t xml:space="preserve"> </w:t>
      </w:r>
      <w:r>
        <w:rPr>
          <w:kern w:val="0"/>
          <w:szCs w:val="21"/>
        </w:rPr>
        <w:br/>
      </w:r>
      <w:r>
        <w:rPr>
          <w:kern w:val="0"/>
          <w:szCs w:val="21"/>
        </w:rPr>
        <w:t xml:space="preserve">　　</w:t>
      </w:r>
      <w:r>
        <w:rPr>
          <w:kern w:val="0"/>
          <w:szCs w:val="21"/>
        </w:rPr>
        <w:t>7</w:t>
      </w:r>
      <w:r>
        <w:rPr>
          <w:kern w:val="0"/>
          <w:szCs w:val="21"/>
        </w:rPr>
        <w:t>、投资者可登录本公司网站查询本基金销售机构相关信息。</w:t>
      </w:r>
      <w:r>
        <w:rPr>
          <w:kern w:val="0"/>
          <w:szCs w:val="21"/>
        </w:rPr>
        <w:t xml:space="preserve"> </w:t>
      </w:r>
      <w:r>
        <w:rPr>
          <w:kern w:val="0"/>
          <w:szCs w:val="21"/>
        </w:rPr>
        <w:br/>
      </w:r>
      <w:r>
        <w:rPr>
          <w:kern w:val="0"/>
          <w:szCs w:val="21"/>
        </w:rPr>
        <w:t xml:space="preserve">　　</w:t>
      </w:r>
      <w:r>
        <w:rPr>
          <w:kern w:val="0"/>
          <w:szCs w:val="21"/>
        </w:rPr>
        <w:t>8</w:t>
      </w:r>
      <w:r>
        <w:rPr>
          <w:kern w:val="0"/>
          <w:szCs w:val="21"/>
        </w:rPr>
        <w:t>、风险提示：本基金管理人承诺以诚实信用、勤勉尽责的原则管理和运用基金财产，但不保证基金一定盈利，也不保证最低收益。因基金分红导致基金份额净值变化，不会改变基金的风险收益特征，不会降低基金投资风险或提高基金投资收益</w:t>
      </w:r>
      <w:r>
        <w:rPr>
          <w:kern w:val="0"/>
          <w:szCs w:val="21"/>
        </w:rPr>
        <w:t>。基金的过往业绩不代表未来表现，敬请投资者注意投资风险。</w:t>
      </w:r>
      <w:r>
        <w:rPr>
          <w:kern w:val="0"/>
          <w:szCs w:val="21"/>
        </w:rPr>
        <w:t xml:space="preserve"> </w:t>
      </w:r>
      <w:r>
        <w:rPr>
          <w:kern w:val="0"/>
          <w:szCs w:val="21"/>
        </w:rPr>
        <w:br/>
      </w:r>
      <w:r>
        <w:rPr>
          <w:kern w:val="0"/>
          <w:szCs w:val="21"/>
        </w:rPr>
        <w:t xml:space="preserve">　　</w:t>
      </w:r>
      <w:r>
        <w:rPr>
          <w:kern w:val="0"/>
          <w:szCs w:val="21"/>
        </w:rPr>
        <w:t xml:space="preserve"> </w:t>
      </w:r>
    </w:p>
    <w:p w:rsidR="00000000" w:rsidRDefault="0025053F">
      <w:pPr>
        <w:spacing w:line="360" w:lineRule="auto"/>
        <w:ind w:firstLineChars="600" w:firstLine="1446"/>
        <w:jc w:val="right"/>
        <w:rPr>
          <w:rFonts w:cs="宋体"/>
          <w:b/>
          <w:bCs/>
          <w:sz w:val="24"/>
          <w:szCs w:val="30"/>
        </w:rPr>
      </w:pPr>
      <w:r>
        <w:rPr>
          <w:rFonts w:cs="宋体"/>
          <w:b/>
          <w:bCs/>
          <w:sz w:val="24"/>
          <w:szCs w:val="30"/>
        </w:rPr>
        <w:t xml:space="preserve">　</w:t>
      </w:r>
      <w:r>
        <w:rPr>
          <w:rFonts w:cs="宋体"/>
          <w:b/>
          <w:bCs/>
          <w:sz w:val="24"/>
          <w:szCs w:val="30"/>
        </w:rPr>
        <w:t xml:space="preserve"> </w:t>
      </w:r>
    </w:p>
    <w:p w:rsidR="00000000" w:rsidRDefault="0025053F">
      <w:pPr>
        <w:spacing w:line="360" w:lineRule="auto"/>
        <w:ind w:firstLineChars="600" w:firstLine="1446"/>
        <w:jc w:val="right"/>
        <w:rPr>
          <w:rFonts w:cs="宋体"/>
          <w:b/>
          <w:bCs/>
          <w:sz w:val="24"/>
          <w:szCs w:val="30"/>
        </w:rPr>
      </w:pPr>
      <w:r>
        <w:rPr>
          <w:rFonts w:cs="宋体"/>
          <w:b/>
          <w:bCs/>
          <w:sz w:val="24"/>
          <w:szCs w:val="30"/>
        </w:rPr>
        <w:t xml:space="preserve">　</w:t>
      </w:r>
      <w:r>
        <w:rPr>
          <w:rFonts w:cs="宋体"/>
          <w:b/>
          <w:bCs/>
          <w:sz w:val="24"/>
          <w:szCs w:val="30"/>
        </w:rPr>
        <w:t xml:space="preserve"> </w:t>
      </w:r>
    </w:p>
    <w:p w:rsidR="00000000" w:rsidRDefault="0025053F">
      <w:pPr>
        <w:spacing w:line="360" w:lineRule="auto"/>
        <w:ind w:firstLineChars="600" w:firstLine="1446"/>
        <w:jc w:val="right"/>
      </w:pPr>
      <w:r>
        <w:rPr>
          <w:rFonts w:cs="宋体"/>
          <w:b/>
          <w:bCs/>
          <w:sz w:val="24"/>
          <w:szCs w:val="24"/>
        </w:rPr>
        <w:t>工银瑞信基金管理有限公司</w:t>
      </w:r>
    </w:p>
    <w:p w:rsidR="00000000" w:rsidRDefault="0025053F">
      <w:pPr>
        <w:spacing w:line="360" w:lineRule="auto"/>
        <w:ind w:firstLineChars="600" w:firstLine="1446"/>
        <w:jc w:val="right"/>
      </w:pPr>
      <w:r>
        <w:rPr>
          <w:rFonts w:cs="宋体"/>
          <w:b/>
          <w:bCs/>
          <w:sz w:val="24"/>
          <w:szCs w:val="24"/>
        </w:rPr>
        <w:t>2025</w:t>
      </w:r>
      <w:r>
        <w:rPr>
          <w:rFonts w:cs="宋体"/>
          <w:b/>
          <w:bCs/>
          <w:sz w:val="24"/>
          <w:szCs w:val="24"/>
        </w:rPr>
        <w:t>年</w:t>
      </w:r>
      <w:r>
        <w:rPr>
          <w:rFonts w:cs="宋体"/>
          <w:b/>
          <w:bCs/>
          <w:sz w:val="24"/>
          <w:szCs w:val="24"/>
        </w:rPr>
        <w:t>1</w:t>
      </w:r>
      <w:r>
        <w:rPr>
          <w:rFonts w:cs="宋体"/>
          <w:b/>
          <w:bCs/>
          <w:sz w:val="24"/>
          <w:szCs w:val="24"/>
        </w:rPr>
        <w:t>月</w:t>
      </w:r>
      <w:r>
        <w:rPr>
          <w:rFonts w:cs="宋体"/>
          <w:b/>
          <w:bCs/>
          <w:sz w:val="24"/>
          <w:szCs w:val="24"/>
        </w:rPr>
        <w:t>10</w:t>
      </w:r>
      <w:r>
        <w:rPr>
          <w:rFonts w:cs="宋体"/>
          <w:b/>
          <w:bCs/>
          <w:sz w:val="24"/>
          <w:szCs w:val="24"/>
        </w:rPr>
        <w:t>日</w:t>
      </w:r>
      <w:bookmarkEnd w:id="31"/>
      <w:r>
        <w:rPr>
          <w:b/>
          <w:bCs/>
          <w:sz w:val="24"/>
          <w:szCs w:val="24"/>
        </w:rPr>
        <w:t xml:space="preserve"> </w:t>
      </w:r>
    </w:p>
    <w:sectPr w:rsidR="00000000">
      <w:headerReference w:type="default" r:id="rId7"/>
      <w:footerReference w:type="default" r:id="rId8"/>
      <w:headerReference w:type="first" r:id="rId9"/>
      <w:footerReference w:type="first" r:id="rId10"/>
      <w:pgSz w:w="11915" w:h="16839"/>
      <w:pgMar w:top="1440" w:right="1531" w:bottom="1135" w:left="1531"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5053F">
      <w:r>
        <w:separator/>
      </w:r>
    </w:p>
  </w:endnote>
  <w:endnote w:type="continuationSeparator" w:id="0">
    <w:p w:rsidR="00000000" w:rsidRDefault="00250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auto"/>
    <w:pitch w:val="default"/>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5053F">
    <w:pPr>
      <w:jc w:val="center"/>
    </w:pPr>
    <w:r>
      <w:rPr>
        <w:rFonts w:cs="宋体"/>
        <w:sz w:val="18"/>
        <w:szCs w:val="18"/>
      </w:rPr>
      <w:t>第</w:t>
    </w:r>
    <w:r>
      <w:t xml:space="preserve"> </w:t>
    </w:r>
    <w:r>
      <w:rPr>
        <w:sz w:val="18"/>
        <w:szCs w:val="18"/>
      </w:rPr>
      <w:fldChar w:fldCharType="begin"/>
    </w:r>
    <w:r>
      <w:rPr>
        <w:sz w:val="18"/>
        <w:szCs w:val="18"/>
      </w:rPr>
      <w:instrText xml:space="preserve">PAGE </w:instrText>
    </w:r>
    <w:r>
      <w:rPr>
        <w:sz w:val="18"/>
        <w:szCs w:val="18"/>
      </w:rPr>
      <w:fldChar w:fldCharType="separate"/>
    </w:r>
    <w:r>
      <w:rPr>
        <w:rFonts w:hint="default"/>
        <w:noProof/>
        <w:sz w:val="18"/>
        <w:szCs w:val="18"/>
      </w:rPr>
      <w:t>2</w:t>
    </w:r>
    <w:r>
      <w:rPr>
        <w:sz w:val="18"/>
        <w:szCs w:val="18"/>
      </w:rPr>
      <w:fldChar w:fldCharType="end"/>
    </w:r>
    <w:r>
      <w:rPr>
        <w:sz w:val="18"/>
        <w:szCs w:val="18"/>
        <w:lang w:val="zh-CN"/>
      </w:rPr>
      <w:t>页</w:t>
    </w:r>
    <w:r>
      <w:rPr>
        <w:sz w:val="18"/>
        <w:szCs w:val="18"/>
        <w:lang w:val="zh-CN"/>
      </w:rPr>
      <w:t xml:space="preserve"> </w:t>
    </w:r>
    <w:r>
      <w:rPr>
        <w:sz w:val="18"/>
        <w:szCs w:val="18"/>
        <w:lang w:val="zh-CN"/>
      </w:rPr>
      <w:t>共</w:t>
    </w:r>
    <w:r>
      <w:t xml:space="preserve"> </w:t>
    </w:r>
    <w:r>
      <w:rPr>
        <w:sz w:val="18"/>
        <w:szCs w:val="18"/>
      </w:rPr>
      <w:fldChar w:fldCharType="begin"/>
    </w:r>
    <w:r>
      <w:rPr>
        <w:sz w:val="18"/>
        <w:szCs w:val="18"/>
      </w:rPr>
      <w:instrText xml:space="preserve">NUMPAGES  </w:instrText>
    </w:r>
    <w:r>
      <w:rPr>
        <w:sz w:val="18"/>
        <w:szCs w:val="18"/>
      </w:rPr>
      <w:fldChar w:fldCharType="separate"/>
    </w:r>
    <w:r>
      <w:rPr>
        <w:rFonts w:hint="default"/>
        <w:noProof/>
        <w:sz w:val="18"/>
        <w:szCs w:val="18"/>
      </w:rPr>
      <w:t>2</w:t>
    </w:r>
    <w:r>
      <w:rPr>
        <w:sz w:val="18"/>
        <w:szCs w:val="18"/>
      </w:rPr>
      <w:fldChar w:fldCharType="end"/>
    </w:r>
    <w:r>
      <w:rPr>
        <w:sz w:val="18"/>
        <w:szCs w:val="18"/>
      </w:rPr>
      <w:t>页</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5053F">
    <w:pPr>
      <w:pStyle w:val="a6"/>
      <w:rPr>
        <w:rFonts w:cs="宋体"/>
      </w:rPr>
    </w:pPr>
    <w:r>
      <w:rPr>
        <w:rFonts w:cs="宋体"/>
      </w:rPr>
      <w:t xml:space="preserve"> </w:t>
    </w:r>
  </w:p>
  <w:p w:rsidR="00000000" w:rsidRDefault="0025053F">
    <w:pPr>
      <w:jc w:val="center"/>
    </w:pPr>
    <w:r>
      <w:rPr>
        <w:rFonts w:cs="宋体"/>
        <w:sz w:val="18"/>
        <w:szCs w:val="18"/>
      </w:rPr>
      <w:t>第</w:t>
    </w:r>
    <w:r>
      <w:t xml:space="preserve"> </w:t>
    </w:r>
    <w:r>
      <w:rPr>
        <w:sz w:val="18"/>
        <w:szCs w:val="18"/>
      </w:rPr>
      <w:fldChar w:fldCharType="begin"/>
    </w:r>
    <w:r>
      <w:rPr>
        <w:sz w:val="18"/>
        <w:szCs w:val="18"/>
      </w:rPr>
      <w:instrText xml:space="preserve">PAGE </w:instrText>
    </w:r>
    <w:r>
      <w:rPr>
        <w:sz w:val="18"/>
        <w:szCs w:val="18"/>
      </w:rPr>
      <w:fldChar w:fldCharType="separate"/>
    </w:r>
    <w:r>
      <w:rPr>
        <w:rFonts w:hint="default"/>
        <w:noProof/>
        <w:sz w:val="18"/>
        <w:szCs w:val="18"/>
      </w:rPr>
      <w:t>1</w:t>
    </w:r>
    <w:r>
      <w:rPr>
        <w:sz w:val="18"/>
        <w:szCs w:val="18"/>
      </w:rPr>
      <w:fldChar w:fldCharType="end"/>
    </w:r>
    <w:r>
      <w:rPr>
        <w:sz w:val="18"/>
        <w:szCs w:val="18"/>
        <w:lang w:val="zh-CN"/>
      </w:rPr>
      <w:t>页</w:t>
    </w:r>
    <w:r>
      <w:rPr>
        <w:sz w:val="18"/>
        <w:szCs w:val="18"/>
        <w:lang w:val="zh-CN"/>
      </w:rPr>
      <w:t xml:space="preserve"> </w:t>
    </w:r>
    <w:r>
      <w:rPr>
        <w:sz w:val="18"/>
        <w:szCs w:val="18"/>
        <w:lang w:val="zh-CN"/>
      </w:rPr>
      <w:t>共</w:t>
    </w:r>
    <w:r>
      <w:t xml:space="preserve"> </w:t>
    </w:r>
    <w:r>
      <w:rPr>
        <w:sz w:val="18"/>
        <w:szCs w:val="18"/>
      </w:rPr>
      <w:fldChar w:fldCharType="begin"/>
    </w:r>
    <w:r>
      <w:rPr>
        <w:sz w:val="18"/>
        <w:szCs w:val="18"/>
      </w:rPr>
      <w:instrText xml:space="preserve">NUMPAGES  </w:instrText>
    </w:r>
    <w:r>
      <w:rPr>
        <w:sz w:val="18"/>
        <w:szCs w:val="18"/>
      </w:rPr>
      <w:fldChar w:fldCharType="separate"/>
    </w:r>
    <w:r>
      <w:rPr>
        <w:rFonts w:hint="default"/>
        <w:noProof/>
        <w:sz w:val="18"/>
        <w:szCs w:val="18"/>
      </w:rPr>
      <w:t>1</w:t>
    </w:r>
    <w:r>
      <w:rPr>
        <w:sz w:val="18"/>
        <w:szCs w:val="18"/>
      </w:rPr>
      <w:fldChar w:fldCharType="end"/>
    </w:r>
    <w:r>
      <w:rPr>
        <w:sz w:val="18"/>
        <w:szCs w:val="18"/>
      </w:rPr>
      <w:t>页</w:t>
    </w:r>
    <w:r>
      <w:t xml:space="preserve"> </w:t>
    </w:r>
  </w:p>
  <w:p w:rsidR="00000000" w:rsidRDefault="0025053F">
    <w:pPr>
      <w:pStyle w:val="a6"/>
      <w:rPr>
        <w:rFonts w:cs="宋体"/>
      </w:rPr>
    </w:pPr>
    <w:r>
      <w:rPr>
        <w:rFonts w:cs="宋体"/>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5053F">
      <w:r>
        <w:separator/>
      </w:r>
    </w:p>
  </w:footnote>
  <w:footnote w:type="continuationSeparator" w:id="0">
    <w:p w:rsidR="00000000" w:rsidRDefault="00250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5053F">
    <w:pPr>
      <w:pStyle w:val="a7"/>
      <w:jc w:val="right"/>
    </w:pPr>
    <w:r>
      <w:rPr>
        <w:rFonts w:cs="宋体"/>
      </w:rPr>
      <w:t>工银瑞信纯债定期开放债券型证券投资基金</w:t>
    </w:r>
    <w:r>
      <w:rPr>
        <w:rFonts w:cs="宋体"/>
      </w:rPr>
      <w:t>2024</w:t>
    </w:r>
    <w:r>
      <w:rPr>
        <w:rFonts w:cs="宋体"/>
      </w:rPr>
      <w:t>年第一次分红公告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5053F">
    <w:pPr>
      <w:pStyle w:val="a7"/>
      <w:jc w:val="right"/>
    </w:pPr>
    <w:r>
      <w:rPr>
        <w:rFonts w:cs="宋体"/>
      </w:rPr>
      <w:t>工银瑞信纯债定期开放债券型证券投资基金</w:t>
    </w:r>
    <w:r>
      <w:rPr>
        <w:rFonts w:cs="宋体"/>
      </w:rPr>
      <w:t>2024</w:t>
    </w:r>
    <w:r>
      <w:rPr>
        <w:rFonts w:cs="宋体"/>
      </w:rPr>
      <w:t>年第一次分红公告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24202"/>
    <w:multiLevelType w:val="multilevel"/>
    <w:tmpl w:val="7C824202"/>
    <w:lvl w:ilvl="0">
      <w:start w:val="1"/>
      <w:numFmt w:val="decimal"/>
      <w:lvlText w:val="%1."/>
      <w:lvlJc w:val="left"/>
      <w:pPr>
        <w:ind w:left="425" w:hanging="425"/>
      </w:pPr>
      <w:rPr>
        <w:sz w:val="24"/>
        <w:szCs w:val="24"/>
      </w:rPr>
    </w:lvl>
    <w:lvl w:ilvl="1">
      <w:start w:val="1"/>
      <w:numFmt w:val="decimal"/>
      <w:suff w:val="space"/>
      <w:lvlText w:val="%1.%2"/>
      <w:lvlJc w:val="left"/>
      <w:pPr>
        <w:ind w:left="3148" w:hanging="454"/>
      </w:pPr>
    </w:lvl>
    <w:lvl w:ilvl="2">
      <w:start w:val="1"/>
      <w:numFmt w:val="decimal"/>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bordersDoNotSurroundHeader/>
  <w:bordersDoNotSurroundFooter/>
  <w:doNotTrackMoves/>
  <w:defaultTabStop w:val="420"/>
  <w:drawingGridHorizontalSpacing w:val="106"/>
  <w:drawingGridVerticalSpacing w:val="15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053F"/>
    <w:rsid w:val="0025053F"/>
    <w:rsid w:val="14BE2B3A"/>
    <w:rsid w:val="4FE42455"/>
    <w:rsid w:val="7FC971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page number" w:semiHidden="0" w:uiPriority="0" w:unhideWhenUsed="0"/>
    <w:lsdException w:name="Title" w:semiHidden="0" w:uiPriority="10" w:unhideWhenUsed="0" w:qFormat="1"/>
    <w:lsdException w:name="Default Paragraph Font" w:semiHidden="0"/>
    <w:lsdException w:name="Subtitle" w:semiHidden="0" w:uiPriority="0" w:unhideWhenUsed="0" w:qFormat="1"/>
    <w:lsdException w:name="Date" w:semiHidden="0" w:uiPriority="0" w:unhideWhenUsed="0"/>
    <w:lsdException w:name="Hyperlink" w:semiHidden="0"/>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HTML Preformatted" w:semiHidden="0"/>
    <w:lsdException w:name="Normal Table" w:semiHidden="0"/>
    <w:lsdException w:name="Balloon Text" w:semiHidden="0"/>
    <w:lsdException w:name="Table Grid" w:semiHidden="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jc w:val="both"/>
    </w:pPr>
    <w:rPr>
      <w:rFonts w:hint="eastAsia"/>
      <w:kern w:val="2"/>
      <w:sz w:val="21"/>
    </w:rPr>
  </w:style>
  <w:style w:type="paragraph" w:styleId="1">
    <w:name w:val="heading 1"/>
    <w:basedOn w:val="a"/>
    <w:next w:val="a"/>
    <w:link w:val="1Char2"/>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08" w:lineRule="auto"/>
      <w:outlineLvl w:val="1"/>
    </w:pPr>
    <w:rPr>
      <w:rFonts w:ascii="Cambria" w:eastAsia="Cambria" w:hAnsi="Cambria" w:hint="default"/>
      <w:b/>
      <w:bCs/>
      <w:kern w:val="0"/>
      <w:sz w:val="32"/>
      <w:szCs w:val="32"/>
    </w:rPr>
  </w:style>
  <w:style w:type="paragraph" w:styleId="3">
    <w:name w:val="heading 3"/>
    <w:basedOn w:val="a"/>
    <w:next w:val="a"/>
    <w:link w:val="3Char"/>
    <w:uiPriority w:val="9"/>
    <w:qFormat/>
    <w:pPr>
      <w:keepNext/>
      <w:keepLines/>
      <w:spacing w:before="260" w:after="260" w:line="408" w:lineRule="auto"/>
      <w:outlineLvl w:val="2"/>
    </w:pPr>
    <w:rPr>
      <w:b/>
      <w:bCs/>
      <w:kern w:val="0"/>
      <w:sz w:val="32"/>
      <w:szCs w:val="32"/>
    </w:rPr>
  </w:style>
  <w:style w:type="paragraph" w:styleId="4">
    <w:name w:val="heading 4"/>
    <w:basedOn w:val="a"/>
    <w:next w:val="a"/>
    <w:link w:val="4Char2"/>
    <w:qFormat/>
    <w:pPr>
      <w:keepNext/>
      <w:keepLines/>
      <w:spacing w:before="240" w:after="290" w:line="372" w:lineRule="auto"/>
      <w:outlineLvl w:val="3"/>
    </w:pPr>
    <w:rPr>
      <w:rFonts w:ascii="Cambria" w:eastAsia="Cambria" w:hAnsi="Cambria" w:hint="default"/>
      <w:b/>
      <w:bCs/>
      <w:kern w:val="0"/>
      <w:sz w:val="24"/>
      <w:szCs w:val="24"/>
    </w:rPr>
  </w:style>
  <w:style w:type="paragraph" w:styleId="5">
    <w:name w:val="heading 5"/>
    <w:basedOn w:val="a"/>
    <w:next w:val="a"/>
    <w:link w:val="5Char"/>
    <w:uiPriority w:val="9"/>
    <w:qFormat/>
    <w:pPr>
      <w:keepNext/>
      <w:keepLines/>
      <w:spacing w:before="240" w:after="290" w:line="372" w:lineRule="auto"/>
      <w:outlineLvl w:val="4"/>
    </w:pPr>
    <w:rPr>
      <w:b/>
      <w:bCs/>
      <w:sz w:val="24"/>
      <w:szCs w:val="24"/>
    </w:rPr>
  </w:style>
  <w:style w:type="paragraph" w:styleId="6">
    <w:name w:val="heading 6"/>
    <w:basedOn w:val="a"/>
    <w:next w:val="a"/>
    <w:link w:val="6Char"/>
    <w:uiPriority w:val="9"/>
    <w:qFormat/>
    <w:pPr>
      <w:keepNext/>
      <w:keepLines/>
      <w:spacing w:before="240" w:after="64" w:line="312" w:lineRule="auto"/>
      <w:outlineLvl w:val="5"/>
    </w:pPr>
    <w:rPr>
      <w:rFonts w:ascii="Cambria" w:hAnsi="Cambria" w:hint="default"/>
      <w:b/>
      <w:bCs/>
      <w:sz w:val="24"/>
      <w:szCs w:val="24"/>
    </w:rPr>
  </w:style>
  <w:style w:type="character" w:default="1" w:styleId="a0">
    <w:name w:val="Default Paragraph Font"/>
    <w:uiPriority w:val="99"/>
    <w:unhideWhenUsed/>
  </w:style>
  <w:style w:type="table" w:default="1" w:styleId="a1">
    <w:name w:val="Normal Table"/>
    <w:uiPriority w:val="99"/>
    <w:unhideWhenUsed/>
    <w:rPr>
      <w:rFonts w:cs="宋体" w:hint="eastAsia"/>
    </w:rPr>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2">
    <w:name w:val="标题 1 Char2"/>
    <w:basedOn w:val="a0"/>
    <w:link w:val="1"/>
    <w:locked/>
    <w:rPr>
      <w:b/>
      <w:bCs/>
      <w:kern w:val="44"/>
      <w:sz w:val="44"/>
      <w:szCs w:val="44"/>
    </w:rPr>
  </w:style>
  <w:style w:type="character" w:customStyle="1" w:styleId="2Char">
    <w:name w:val="标题 2 Char"/>
    <w:basedOn w:val="a0"/>
    <w:link w:val="2"/>
    <w:locked/>
    <w:rPr>
      <w:rFonts w:ascii="Cambria" w:eastAsia="宋体" w:hAnsi="Cambria" w:cs="Times New Roman" w:hint="default"/>
      <w:b/>
      <w:bCs/>
      <w:kern w:val="2"/>
      <w:sz w:val="32"/>
      <w:szCs w:val="32"/>
    </w:rPr>
  </w:style>
  <w:style w:type="character" w:customStyle="1" w:styleId="3Char">
    <w:name w:val="标题 3 Char"/>
    <w:basedOn w:val="a0"/>
    <w:link w:val="3"/>
    <w:locked/>
    <w:rPr>
      <w:b/>
      <w:bCs/>
      <w:kern w:val="2"/>
      <w:sz w:val="32"/>
      <w:szCs w:val="32"/>
    </w:rPr>
  </w:style>
  <w:style w:type="character" w:customStyle="1" w:styleId="4Char2">
    <w:name w:val="标题 4 Char2"/>
    <w:basedOn w:val="a0"/>
    <w:link w:val="4"/>
    <w:locked/>
    <w:rPr>
      <w:rFonts w:ascii="Cambria" w:eastAsia="宋体" w:hAnsi="Cambria" w:cs="Times New Roman" w:hint="default"/>
      <w:b/>
      <w:bCs/>
      <w:kern w:val="2"/>
      <w:sz w:val="24"/>
      <w:szCs w:val="24"/>
    </w:rPr>
  </w:style>
  <w:style w:type="character" w:customStyle="1" w:styleId="5Char">
    <w:name w:val="标题 5 Char"/>
    <w:basedOn w:val="a0"/>
    <w:link w:val="5"/>
    <w:locked/>
    <w:rPr>
      <w:b/>
      <w:bCs/>
      <w:kern w:val="2"/>
      <w:sz w:val="24"/>
      <w:szCs w:val="24"/>
    </w:rPr>
  </w:style>
  <w:style w:type="character" w:customStyle="1" w:styleId="6Char">
    <w:name w:val="标题 6 Char"/>
    <w:basedOn w:val="a0"/>
    <w:link w:val="6"/>
    <w:locked/>
    <w:rPr>
      <w:rFonts w:ascii="Cambria" w:eastAsia="宋体" w:hAnsi="Cambria" w:cs="Times New Roman" w:hint="default"/>
      <w:b/>
      <w:bCs/>
      <w:kern w:val="2"/>
      <w:sz w:val="24"/>
      <w:szCs w:val="24"/>
    </w:rPr>
  </w:style>
  <w:style w:type="paragraph" w:styleId="a3">
    <w:name w:val="Document Map"/>
    <w:basedOn w:val="a"/>
    <w:link w:val="Char"/>
    <w:pPr>
      <w:shd w:val="clear" w:color="auto" w:fill="000080"/>
    </w:pPr>
  </w:style>
  <w:style w:type="character" w:customStyle="1" w:styleId="Char">
    <w:name w:val="文档结构图 Char"/>
    <w:basedOn w:val="a0"/>
    <w:link w:val="a3"/>
    <w:locked/>
    <w:rPr>
      <w:rFonts w:ascii="宋体" w:eastAsia="宋体" w:hAnsi="宋体" w:cs="宋体" w:hint="eastAsia"/>
      <w:kern w:val="2"/>
      <w:sz w:val="18"/>
      <w:szCs w:val="18"/>
    </w:rPr>
  </w:style>
  <w:style w:type="paragraph" w:styleId="30">
    <w:name w:val="toc 3"/>
    <w:basedOn w:val="a"/>
    <w:next w:val="a"/>
    <w:uiPriority w:val="39"/>
  </w:style>
  <w:style w:type="paragraph" w:styleId="a4">
    <w:name w:val="Date"/>
    <w:basedOn w:val="a"/>
    <w:next w:val="a"/>
    <w:link w:val="Char2"/>
    <w:rPr>
      <w:sz w:val="32"/>
    </w:rPr>
  </w:style>
  <w:style w:type="character" w:customStyle="1" w:styleId="Char2">
    <w:name w:val="日期 Char2"/>
    <w:basedOn w:val="a0"/>
    <w:link w:val="a4"/>
    <w:locked/>
    <w:rPr>
      <w:kern w:val="2"/>
      <w:sz w:val="21"/>
    </w:rPr>
  </w:style>
  <w:style w:type="paragraph" w:styleId="a5">
    <w:name w:val="Balloon Text"/>
    <w:basedOn w:val="a"/>
    <w:link w:val="Char0"/>
    <w:uiPriority w:val="99"/>
    <w:unhideWhenUsed/>
    <w:rPr>
      <w:sz w:val="18"/>
      <w:szCs w:val="18"/>
    </w:rPr>
  </w:style>
  <w:style w:type="character" w:customStyle="1" w:styleId="Char0">
    <w:name w:val="批注框文本 Char"/>
    <w:basedOn w:val="a0"/>
    <w:link w:val="a5"/>
    <w:locked/>
    <w:rPr>
      <w:kern w:val="2"/>
      <w:sz w:val="18"/>
      <w:szCs w:val="18"/>
    </w:rPr>
  </w:style>
  <w:style w:type="paragraph" w:styleId="a6">
    <w:name w:val="footer"/>
    <w:basedOn w:val="a"/>
    <w:link w:val="Char20"/>
    <w:pPr>
      <w:tabs>
        <w:tab w:val="center" w:pos="4153"/>
        <w:tab w:val="right" w:pos="8306"/>
      </w:tabs>
      <w:snapToGrid w:val="0"/>
      <w:jc w:val="left"/>
    </w:pPr>
    <w:rPr>
      <w:sz w:val="18"/>
      <w:szCs w:val="18"/>
    </w:rPr>
  </w:style>
  <w:style w:type="character" w:customStyle="1" w:styleId="Char20">
    <w:name w:val="页脚 Char2"/>
    <w:basedOn w:val="a0"/>
    <w:link w:val="a6"/>
    <w:locked/>
    <w:rPr>
      <w:kern w:val="2"/>
      <w:sz w:val="18"/>
      <w:szCs w:val="18"/>
    </w:rPr>
  </w:style>
  <w:style w:type="paragraph" w:styleId="a7">
    <w:name w:val="header"/>
    <w:basedOn w:val="a"/>
    <w:link w:val="Char21"/>
    <w:pPr>
      <w:pBdr>
        <w:bottom w:val="single" w:sz="6" w:space="1" w:color="auto"/>
      </w:pBdr>
      <w:tabs>
        <w:tab w:val="center" w:pos="4153"/>
        <w:tab w:val="right" w:pos="8306"/>
      </w:tabs>
      <w:snapToGrid w:val="0"/>
      <w:jc w:val="center"/>
    </w:pPr>
    <w:rPr>
      <w:sz w:val="18"/>
      <w:szCs w:val="18"/>
    </w:rPr>
  </w:style>
  <w:style w:type="character" w:customStyle="1" w:styleId="Char21">
    <w:name w:val="页眉 Char2"/>
    <w:basedOn w:val="a0"/>
    <w:link w:val="a7"/>
    <w:locked/>
    <w:rPr>
      <w:kern w:val="2"/>
      <w:sz w:val="18"/>
      <w:szCs w:val="18"/>
    </w:rPr>
  </w:style>
  <w:style w:type="paragraph" w:styleId="10">
    <w:name w:val="toc 1"/>
    <w:basedOn w:val="a"/>
    <w:next w:val="a"/>
    <w:uiPriority w:val="39"/>
    <w:pPr>
      <w:tabs>
        <w:tab w:val="right" w:leader="dot" w:pos="8835"/>
      </w:tabs>
    </w:pPr>
  </w:style>
  <w:style w:type="paragraph" w:styleId="a8">
    <w:name w:val="Subtitle"/>
    <w:basedOn w:val="2"/>
    <w:next w:val="3"/>
    <w:link w:val="Char22"/>
    <w:qFormat/>
    <w:pPr>
      <w:spacing w:before="240" w:after="60" w:line="312" w:lineRule="auto"/>
      <w:jc w:val="left"/>
    </w:pPr>
    <w:rPr>
      <w:rFonts w:eastAsia="宋体"/>
      <w:bCs w:val="0"/>
      <w:kern w:val="24"/>
      <w:sz w:val="24"/>
    </w:rPr>
  </w:style>
  <w:style w:type="character" w:customStyle="1" w:styleId="Char22">
    <w:name w:val="副标题 Char2"/>
    <w:basedOn w:val="a0"/>
    <w:link w:val="a8"/>
    <w:locked/>
    <w:rPr>
      <w:rFonts w:ascii="Calibri" w:eastAsia="宋体" w:hAnsi="Calibri" w:cs="Times New Roman" w:hint="default"/>
      <w:b/>
      <w:bCs/>
      <w:kern w:val="24"/>
      <w:sz w:val="32"/>
      <w:szCs w:val="32"/>
    </w:rPr>
  </w:style>
  <w:style w:type="paragraph" w:styleId="a9">
    <w:name w:val="footnote text"/>
    <w:basedOn w:val="a"/>
    <w:link w:val="Char23"/>
    <w:pPr>
      <w:snapToGrid w:val="0"/>
      <w:jc w:val="left"/>
    </w:pPr>
    <w:rPr>
      <w:sz w:val="18"/>
      <w:szCs w:val="18"/>
    </w:rPr>
  </w:style>
  <w:style w:type="character" w:customStyle="1" w:styleId="Char23">
    <w:name w:val="脚注文本 Char2"/>
    <w:basedOn w:val="a0"/>
    <w:link w:val="a9"/>
    <w:locked/>
    <w:rPr>
      <w:kern w:val="2"/>
      <w:sz w:val="18"/>
      <w:szCs w:val="18"/>
    </w:rPr>
  </w:style>
  <w:style w:type="paragraph" w:styleId="20">
    <w:name w:val="toc 2"/>
    <w:basedOn w:val="a"/>
    <w:next w:val="a"/>
    <w:uiPriority w:val="39"/>
    <w:pPr>
      <w:ind w:leftChars="200" w:left="420"/>
    </w:pPr>
  </w:style>
  <w:style w:type="paragraph" w:styleId="HTML">
    <w:name w:val="HTML Preformatted"/>
    <w:basedOn w:val="a"/>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aa">
    <w:name w:val="Normal (Web)"/>
    <w:basedOn w:val="a"/>
    <w:pPr>
      <w:widowControl/>
      <w:spacing w:before="100" w:beforeAutospacing="1" w:after="100" w:afterAutospacing="1"/>
      <w:jc w:val="left"/>
    </w:pPr>
    <w:rPr>
      <w:kern w:val="0"/>
      <w:sz w:val="24"/>
    </w:rPr>
  </w:style>
  <w:style w:type="paragraph" w:styleId="ab">
    <w:name w:val="Title"/>
    <w:basedOn w:val="1"/>
    <w:next w:val="2"/>
    <w:link w:val="Char24"/>
    <w:uiPriority w:val="10"/>
    <w:qFormat/>
    <w:pPr>
      <w:keepNext w:val="0"/>
      <w:keepLines w:val="0"/>
      <w:spacing w:before="240" w:after="60"/>
      <w:jc w:val="center"/>
    </w:pPr>
    <w:rPr>
      <w:rFonts w:ascii="Cambria" w:hAnsi="Cambria" w:hint="default"/>
      <w:kern w:val="0"/>
      <w:sz w:val="32"/>
      <w:szCs w:val="32"/>
    </w:rPr>
  </w:style>
  <w:style w:type="character" w:customStyle="1" w:styleId="Char24">
    <w:name w:val="标题 Char2"/>
    <w:basedOn w:val="a0"/>
    <w:link w:val="ab"/>
    <w:locked/>
    <w:rPr>
      <w:rFonts w:ascii="Cambria" w:eastAsia="宋体" w:hAnsi="Cambria" w:cs="Times New Roman" w:hint="default"/>
      <w:b/>
      <w:bCs/>
      <w:kern w:val="2"/>
      <w:sz w:val="32"/>
      <w:szCs w:val="32"/>
    </w:rPr>
  </w:style>
  <w:style w:type="table" w:styleId="ac">
    <w:name w:val="Table Grid"/>
    <w:basedOn w:val="a1"/>
    <w:uiPriority w:val="99"/>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basedOn w:val="a0"/>
    <w:uiPriority w:val="99"/>
    <w:unhideWhenUsed/>
    <w:rPr>
      <w:color w:val="800080"/>
      <w:u w:val="single"/>
    </w:rPr>
  </w:style>
  <w:style w:type="character" w:styleId="ae">
    <w:name w:val="Hyperlink"/>
    <w:basedOn w:val="a0"/>
    <w:uiPriority w:val="99"/>
    <w:unhideWhenUsed/>
    <w:rPr>
      <w:color w:val="0000FF"/>
      <w:u w:val="single"/>
    </w:rPr>
  </w:style>
  <w:style w:type="character" w:styleId="af">
    <w:name w:val="footnote reference"/>
    <w:basedOn w:val="a0"/>
    <w:rPr>
      <w:vertAlign w:val="superscript"/>
    </w:rPr>
  </w:style>
  <w:style w:type="character" w:customStyle="1" w:styleId="1Char1">
    <w:name w:val="标题 1 Char1"/>
    <w:basedOn w:val="a0"/>
    <w:link w:val="1"/>
    <w:locked/>
    <w:rPr>
      <w:b/>
      <w:bCs/>
      <w:kern w:val="44"/>
      <w:sz w:val="44"/>
      <w:szCs w:val="44"/>
    </w:rPr>
  </w:style>
  <w:style w:type="character" w:customStyle="1" w:styleId="21">
    <w:name w:val="标题 2 字符"/>
    <w:basedOn w:val="a0"/>
    <w:link w:val="2"/>
    <w:locked/>
    <w:rPr>
      <w:rFonts w:ascii="Cambria" w:eastAsia="宋体" w:hAnsi="Cambria" w:cs="Times New Roman" w:hint="default"/>
      <w:b/>
      <w:bCs/>
      <w:kern w:val="2"/>
      <w:sz w:val="32"/>
      <w:szCs w:val="32"/>
    </w:rPr>
  </w:style>
  <w:style w:type="character" w:customStyle="1" w:styleId="3Char1">
    <w:name w:val="标题 3 Char1"/>
    <w:basedOn w:val="a0"/>
    <w:link w:val="3"/>
    <w:locked/>
    <w:rPr>
      <w:b/>
      <w:bCs/>
      <w:sz w:val="32"/>
      <w:szCs w:val="32"/>
    </w:rPr>
  </w:style>
  <w:style w:type="character" w:customStyle="1" w:styleId="4Char1">
    <w:name w:val="标题 4 Char1"/>
    <w:basedOn w:val="a0"/>
    <w:link w:val="4"/>
    <w:locked/>
    <w:rPr>
      <w:rFonts w:ascii="Cambria" w:eastAsia="宋体" w:hAnsi="Cambria" w:cs="宋体" w:hint="default"/>
      <w:b/>
      <w:bCs/>
      <w:sz w:val="24"/>
      <w:szCs w:val="24"/>
    </w:rPr>
  </w:style>
  <w:style w:type="character" w:customStyle="1" w:styleId="5Char1">
    <w:name w:val="标题 5 Char1"/>
    <w:basedOn w:val="a0"/>
    <w:link w:val="5"/>
    <w:locked/>
    <w:rPr>
      <w:b/>
      <w:bCs/>
      <w:kern w:val="2"/>
      <w:sz w:val="24"/>
      <w:szCs w:val="24"/>
    </w:rPr>
  </w:style>
  <w:style w:type="character" w:customStyle="1" w:styleId="6Char1">
    <w:name w:val="标题 6 Char1"/>
    <w:basedOn w:val="a0"/>
    <w:link w:val="6"/>
    <w:locked/>
    <w:rPr>
      <w:rFonts w:ascii="Cambria" w:eastAsia="宋体" w:hAnsi="Cambria" w:cs="Times New Roman" w:hint="default"/>
      <w:b/>
      <w:bCs/>
      <w:kern w:val="2"/>
      <w:sz w:val="24"/>
      <w:szCs w:val="24"/>
    </w:rPr>
  </w:style>
  <w:style w:type="character" w:customStyle="1" w:styleId="af0">
    <w:name w:val="文档结构图 字符"/>
    <w:basedOn w:val="a0"/>
    <w:link w:val="a3"/>
    <w:locked/>
    <w:rPr>
      <w:rFonts w:ascii="Microsoft YaHei UI" w:eastAsia="Microsoft YaHei UI" w:hAnsi="Microsoft YaHei UI" w:cs="Microsoft YaHei UI" w:hint="eastAsia"/>
      <w:kern w:val="2"/>
      <w:sz w:val="18"/>
      <w:szCs w:val="18"/>
    </w:rPr>
  </w:style>
  <w:style w:type="character" w:customStyle="1" w:styleId="Char1">
    <w:name w:val="日期 Char1"/>
    <w:basedOn w:val="a0"/>
    <w:link w:val="a4"/>
    <w:locked/>
    <w:rPr>
      <w:rFonts w:ascii="宋体" w:eastAsia="宋体" w:hAnsi="宋体" w:cs="宋体" w:hint="eastAsia"/>
      <w:kern w:val="2"/>
      <w:sz w:val="32"/>
    </w:rPr>
  </w:style>
  <w:style w:type="character" w:customStyle="1" w:styleId="af1">
    <w:name w:val="批注框文本 字符"/>
    <w:basedOn w:val="a0"/>
    <w:link w:val="a5"/>
    <w:locked/>
    <w:rPr>
      <w:kern w:val="2"/>
      <w:sz w:val="18"/>
      <w:szCs w:val="18"/>
    </w:rPr>
  </w:style>
  <w:style w:type="character" w:customStyle="1" w:styleId="Char10">
    <w:name w:val="页脚 Char1"/>
    <w:basedOn w:val="a0"/>
    <w:link w:val="a6"/>
    <w:locked/>
    <w:rPr>
      <w:kern w:val="2"/>
      <w:sz w:val="18"/>
      <w:szCs w:val="18"/>
    </w:rPr>
  </w:style>
  <w:style w:type="character" w:customStyle="1" w:styleId="Char11">
    <w:name w:val="页眉 Char1"/>
    <w:basedOn w:val="a0"/>
    <w:link w:val="a7"/>
    <w:locked/>
    <w:rPr>
      <w:kern w:val="2"/>
      <w:sz w:val="18"/>
      <w:szCs w:val="18"/>
    </w:rPr>
  </w:style>
  <w:style w:type="character" w:customStyle="1" w:styleId="Char12">
    <w:name w:val="副标题 Char1"/>
    <w:basedOn w:val="a0"/>
    <w:link w:val="a8"/>
    <w:locked/>
    <w:rPr>
      <w:rFonts w:ascii="Cambria" w:eastAsia="宋体" w:hAnsi="Cambria" w:cs="宋体" w:hint="default"/>
      <w:b/>
      <w:bCs w:val="0"/>
      <w:kern w:val="24"/>
      <w:sz w:val="24"/>
      <w:szCs w:val="32"/>
    </w:rPr>
  </w:style>
  <w:style w:type="character" w:customStyle="1" w:styleId="Char13">
    <w:name w:val="脚注文本 Char1"/>
    <w:basedOn w:val="a0"/>
    <w:link w:val="a9"/>
    <w:locked/>
    <w:rPr>
      <w:kern w:val="2"/>
      <w:sz w:val="18"/>
      <w:szCs w:val="18"/>
    </w:rPr>
  </w:style>
  <w:style w:type="character" w:customStyle="1" w:styleId="Char14">
    <w:name w:val="标题 Char1"/>
    <w:basedOn w:val="a0"/>
    <w:link w:val="ab"/>
    <w:locked/>
    <w:rPr>
      <w:rFonts w:ascii="Cambria" w:eastAsia="Cambria" w:hAnsi="Cambria" w:cs="宋体" w:hint="default"/>
      <w:b/>
      <w:bCs/>
      <w:sz w:val="32"/>
      <w:szCs w:val="32"/>
    </w:rPr>
  </w:style>
  <w:style w:type="character" w:customStyle="1" w:styleId="Char15">
    <w:name w:val="文档结构图 Char1"/>
    <w:basedOn w:val="a0"/>
    <w:link w:val="a3"/>
    <w:locked/>
    <w:rPr>
      <w:rFonts w:ascii="宋体" w:eastAsia="宋体" w:hAnsi="宋体" w:cs="宋体" w:hint="eastAsia"/>
      <w:kern w:val="2"/>
      <w:sz w:val="18"/>
      <w:szCs w:val="18"/>
    </w:rPr>
  </w:style>
  <w:style w:type="character" w:customStyle="1" w:styleId="Char3">
    <w:name w:val="脚注文本 Char"/>
    <w:basedOn w:val="a0"/>
    <w:link w:val="a9"/>
    <w:locked/>
    <w:rPr>
      <w:kern w:val="2"/>
      <w:sz w:val="18"/>
      <w:szCs w:val="18"/>
    </w:rPr>
  </w:style>
  <w:style w:type="paragraph" w:customStyle="1" w:styleId="XBRLTitle6">
    <w:name w:val="XBRLTitle6"/>
    <w:basedOn w:val="a8"/>
    <w:next w:val="4"/>
    <w:pPr>
      <w:numPr>
        <w:ilvl w:val="5"/>
        <w:numId w:val="1"/>
      </w:numPr>
      <w:spacing w:beforeLines="50" w:after="0"/>
    </w:pPr>
    <w:rPr>
      <w:bCs/>
    </w:rPr>
  </w:style>
  <w:style w:type="character" w:customStyle="1" w:styleId="31">
    <w:name w:val="标题 3 字符"/>
    <w:basedOn w:val="a0"/>
    <w:link w:val="3"/>
    <w:locked/>
    <w:rPr>
      <w:b/>
      <w:bCs/>
      <w:kern w:val="2"/>
      <w:sz w:val="32"/>
      <w:szCs w:val="32"/>
    </w:rPr>
  </w:style>
  <w:style w:type="character" w:customStyle="1" w:styleId="Char4">
    <w:name w:val="副标题 Char"/>
    <w:basedOn w:val="a0"/>
    <w:link w:val="a8"/>
    <w:locked/>
    <w:rPr>
      <w:rFonts w:ascii="Cambria" w:eastAsia="Cambria" w:hAnsi="Cambria" w:cs="Times New Roman" w:hint="default"/>
      <w:b/>
      <w:bCs/>
      <w:kern w:val="24"/>
      <w:sz w:val="32"/>
      <w:szCs w:val="32"/>
    </w:rPr>
  </w:style>
  <w:style w:type="character" w:customStyle="1" w:styleId="1Char">
    <w:name w:val="标题 1 Char"/>
    <w:basedOn w:val="a0"/>
    <w:link w:val="1"/>
    <w:locked/>
    <w:rPr>
      <w:b/>
      <w:bCs/>
      <w:kern w:val="44"/>
      <w:sz w:val="44"/>
      <w:szCs w:val="44"/>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6">
    <w:name w:val="XBRL标题6"/>
    <w:basedOn w:val="a8"/>
    <w:next w:val="4"/>
    <w:pPr>
      <w:spacing w:beforeLines="50" w:after="0"/>
    </w:pPr>
    <w:rPr>
      <w:bCs/>
    </w:rPr>
  </w:style>
  <w:style w:type="character" w:customStyle="1" w:styleId="Char16">
    <w:name w:val="批注框文本 Char1"/>
    <w:basedOn w:val="a0"/>
    <w:link w:val="a5"/>
    <w:locked/>
    <w:rPr>
      <w:kern w:val="2"/>
      <w:sz w:val="18"/>
      <w:szCs w:val="18"/>
    </w:rPr>
  </w:style>
  <w:style w:type="paragraph" w:customStyle="1" w:styleId="XBRLTitle2">
    <w:name w:val="XBRLTitle2"/>
    <w:basedOn w:val="a8"/>
    <w:next w:val="4"/>
    <w:pPr>
      <w:keepNext w:val="0"/>
      <w:keepLines w:val="0"/>
      <w:numPr>
        <w:ilvl w:val="1"/>
        <w:numId w:val="1"/>
      </w:numPr>
      <w:spacing w:beforeLines="50" w:after="0"/>
      <w:ind w:left="454"/>
    </w:pPr>
    <w:rPr>
      <w:rFonts w:ascii="宋体" w:hint="eastAsia"/>
      <w:bCs/>
    </w:rPr>
  </w:style>
  <w:style w:type="paragraph" w:customStyle="1" w:styleId="XBRLTitle5">
    <w:name w:val="XBRLTitle5"/>
    <w:basedOn w:val="a8"/>
    <w:next w:val="4"/>
    <w:pPr>
      <w:numPr>
        <w:ilvl w:val="4"/>
        <w:numId w:val="1"/>
      </w:numPr>
      <w:spacing w:beforeLines="50" w:after="0"/>
    </w:pPr>
    <w:rPr>
      <w:bCs/>
    </w:rPr>
  </w:style>
  <w:style w:type="character" w:customStyle="1" w:styleId="2Char1">
    <w:name w:val="标题 2 Char1"/>
    <w:basedOn w:val="a0"/>
    <w:link w:val="2"/>
    <w:locked/>
    <w:rPr>
      <w:rFonts w:ascii="Cambria" w:eastAsia="宋体" w:hAnsi="Cambria" w:cs="宋体" w:hint="default"/>
      <w:b/>
      <w:bCs/>
      <w:sz w:val="32"/>
      <w:szCs w:val="32"/>
    </w:rPr>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2">
    <w:name w:val="XBRL标题2"/>
    <w:basedOn w:val="a8"/>
    <w:next w:val="4"/>
    <w:pPr>
      <w:spacing w:beforeLines="50" w:after="0"/>
    </w:pPr>
    <w:rPr>
      <w:bCs/>
    </w:rPr>
  </w:style>
  <w:style w:type="paragraph" w:customStyle="1" w:styleId="XBRL5">
    <w:name w:val="XBRL标题5"/>
    <w:basedOn w:val="a8"/>
    <w:next w:val="4"/>
    <w:pPr>
      <w:spacing w:beforeLines="50" w:after="0"/>
    </w:pPr>
    <w:rPr>
      <w:bCs/>
    </w:rPr>
  </w:style>
  <w:style w:type="paragraph" w:customStyle="1" w:styleId="msotocheading0">
    <w:name w:val="msotocheading"/>
    <w:basedOn w:val="1"/>
    <w:next w:val="a"/>
    <w:pPr>
      <w:widowControl/>
      <w:spacing w:before="480" w:after="0" w:line="276" w:lineRule="auto"/>
      <w:jc w:val="left"/>
    </w:pPr>
    <w:rPr>
      <w:rFonts w:ascii="Cambria" w:hAnsi="Cambria" w:hint="default"/>
      <w:color w:val="365F91"/>
      <w:kern w:val="0"/>
      <w:sz w:val="24"/>
      <w:szCs w:val="24"/>
    </w:rPr>
  </w:style>
  <w:style w:type="character" w:customStyle="1" w:styleId="4Char">
    <w:name w:val="标题 4 Char"/>
    <w:basedOn w:val="a0"/>
    <w:link w:val="4"/>
    <w:locked/>
    <w:rPr>
      <w:rFonts w:ascii="Cambria" w:eastAsia="宋体" w:hAnsi="Cambria" w:cs="Times New Roman" w:hint="default"/>
      <w:b/>
      <w:bCs/>
      <w:kern w:val="2"/>
      <w:sz w:val="24"/>
      <w:szCs w:val="24"/>
    </w:rPr>
  </w:style>
  <w:style w:type="paragraph" w:customStyle="1" w:styleId="msonormal1">
    <w:name w:val="msonormal1"/>
    <w:basedOn w:val="a"/>
    <w:pPr>
      <w:widowControl/>
      <w:spacing w:before="100" w:beforeAutospacing="1" w:after="100" w:afterAutospacing="1"/>
      <w:jc w:val="left"/>
    </w:pPr>
    <w:rPr>
      <w:kern w:val="0"/>
      <w:sz w:val="24"/>
    </w:rPr>
  </w:style>
  <w:style w:type="paragraph" w:customStyle="1" w:styleId="XBRLTitle1">
    <w:name w:val="XBRLTitle1"/>
    <w:basedOn w:val="1"/>
    <w:next w:val="2"/>
    <w:pPr>
      <w:keepNext w:val="0"/>
      <w:keepLines w:val="0"/>
      <w:numPr>
        <w:numId w:val="1"/>
      </w:numPr>
      <w:spacing w:beforeLines="50" w:after="0"/>
      <w:jc w:val="center"/>
    </w:pPr>
    <w:rPr>
      <w:rFonts w:hAnsi="Cambria"/>
      <w:sz w:val="24"/>
    </w:rPr>
  </w:style>
  <w:style w:type="character" w:customStyle="1" w:styleId="Char5">
    <w:name w:val="页眉 Char"/>
    <w:basedOn w:val="a0"/>
    <w:link w:val="a7"/>
    <w:locked/>
    <w:rPr>
      <w:kern w:val="2"/>
      <w:sz w:val="18"/>
      <w:szCs w:val="18"/>
    </w:rPr>
  </w:style>
  <w:style w:type="character" w:customStyle="1" w:styleId="Char6">
    <w:name w:val="页脚 Char"/>
    <w:basedOn w:val="a0"/>
    <w:link w:val="a6"/>
    <w:locked/>
    <w:rPr>
      <w:kern w:val="2"/>
      <w:sz w:val="18"/>
      <w:szCs w:val="18"/>
    </w:rPr>
  </w:style>
  <w:style w:type="character" w:customStyle="1" w:styleId="Char7">
    <w:name w:val="标题 Char"/>
    <w:basedOn w:val="a0"/>
    <w:link w:val="ab"/>
    <w:locked/>
    <w:rPr>
      <w:rFonts w:ascii="Cambria" w:eastAsia="Cambria" w:hAnsi="Cambria" w:cs="Times New Roman" w:hint="default"/>
      <w:b/>
      <w:bCs/>
      <w:kern w:val="2"/>
      <w:sz w:val="32"/>
      <w:szCs w:val="32"/>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customStyle="1" w:styleId="Char8">
    <w:name w:val="日期 Char"/>
    <w:basedOn w:val="a0"/>
    <w:link w:val="a4"/>
    <w:locked/>
    <w:rPr>
      <w:kern w:val="2"/>
      <w:sz w:val="21"/>
    </w:rPr>
  </w:style>
  <w:style w:type="paragraph" w:customStyle="1" w:styleId="af2">
    <w:name w:val="次标题"/>
    <w:basedOn w:val="3"/>
    <w:next w:val="a"/>
    <w:pPr>
      <w:spacing w:before="120" w:after="120"/>
      <w:jc w:val="left"/>
    </w:pPr>
    <w:rPr>
      <w:sz w:val="21"/>
    </w:rPr>
  </w:style>
  <w:style w:type="paragraph" w:customStyle="1" w:styleId="XBRL3">
    <w:name w:val="XBRL标题3"/>
    <w:basedOn w:val="a8"/>
    <w:next w:val="4"/>
    <w:pPr>
      <w:spacing w:beforeLines="50" w:after="0"/>
    </w:pPr>
    <w:rPr>
      <w:bCs/>
    </w:rPr>
  </w:style>
  <w:style w:type="paragraph" w:customStyle="1" w:styleId="Char9">
    <w:name w:val="Char"/>
    <w:basedOn w:val="a"/>
  </w:style>
  <w:style w:type="paragraph" w:customStyle="1" w:styleId="XBRL1">
    <w:name w:val="XBRL标题1"/>
    <w:basedOn w:val="1"/>
    <w:next w:val="2"/>
    <w:pPr>
      <w:spacing w:beforeLines="50" w:after="0"/>
      <w:jc w:val="center"/>
    </w:pPr>
    <w:rPr>
      <w:rFonts w:ascii="Cambria" w:hAnsi="Cambria" w:hint="default"/>
      <w:sz w:val="24"/>
    </w:rPr>
  </w:style>
  <w:style w:type="paragraph" w:customStyle="1" w:styleId="XBRL4">
    <w:name w:val="XBRL标题4"/>
    <w:basedOn w:val="a8"/>
    <w:next w:val="4"/>
    <w:pPr>
      <w:spacing w:beforeLines="50" w:after="0"/>
    </w:pPr>
    <w:rPr>
      <w:bCs/>
    </w:rPr>
  </w:style>
  <w:style w:type="paragraph" w:customStyle="1" w:styleId="XBRLTitle4">
    <w:name w:val="XBRLTitle4"/>
    <w:basedOn w:val="a8"/>
    <w:next w:val="4"/>
    <w:pPr>
      <w:numPr>
        <w:ilvl w:val="3"/>
        <w:numId w:val="1"/>
      </w:numPr>
      <w:spacing w:beforeLines="50" w:after="0"/>
    </w:pPr>
    <w:rPr>
      <w:bCs/>
    </w:rPr>
  </w:style>
  <w:style w:type="paragraph" w:customStyle="1" w:styleId="XBRLTitle3">
    <w:name w:val="XBRLTitle3"/>
    <w:basedOn w:val="a8"/>
    <w:next w:val="4"/>
    <w:pPr>
      <w:keepNext w:val="0"/>
      <w:keepLines w:val="0"/>
      <w:numPr>
        <w:ilvl w:val="2"/>
        <w:numId w:val="1"/>
      </w:numPr>
      <w:spacing w:beforeLines="50" w:after="0" w:line="360" w:lineRule="auto"/>
      <w:ind w:left="0" w:firstLine="0"/>
    </w:pPr>
    <w:rPr>
      <w:rFonts w:ascii="宋体" w:hint="eastAsia"/>
      <w:bCs/>
    </w:rPr>
  </w:style>
  <w:style w:type="character" w:customStyle="1" w:styleId="11">
    <w:name w:val="页眉 字符1"/>
    <w:basedOn w:val="a0"/>
    <w:locke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Words>
  <Characters>1580</Characters>
  <Application>Microsoft Office Word</Application>
  <DocSecurity>4</DocSecurity>
  <Lines>13</Lines>
  <Paragraphs>3</Paragraphs>
  <ScaleCrop>false</ScaleCrop>
  <Company>CNSTOCK</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cp:lastModifiedBy>ZHONGM</cp:lastModifiedBy>
  <cp:revision>2</cp:revision>
  <dcterms:created xsi:type="dcterms:W3CDTF">2025-01-09T16:03:00Z</dcterms:created>
  <dcterms:modified xsi:type="dcterms:W3CDTF">2025-01-09T16:03:00Z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A9609F7DCE914DEAB91B6895577CD9E2</vt:lpwstr>
  </property>
</Properties>
</file>