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10" w:rsidRDefault="00A02BD6">
      <w:pPr>
        <w:spacing w:line="360" w:lineRule="auto"/>
        <w:jc w:val="center"/>
        <w:rPr>
          <w:rFonts w:ascii="Times New Roman" w:hAnsi="Times New Roman"/>
          <w:b/>
          <w:sz w:val="30"/>
          <w:szCs w:val="30"/>
        </w:rPr>
      </w:pPr>
      <w:r>
        <w:rPr>
          <w:rFonts w:ascii="Times New Roman" w:hAnsi="Times New Roman" w:hint="eastAsia"/>
          <w:b/>
          <w:sz w:val="30"/>
          <w:szCs w:val="30"/>
        </w:rPr>
        <w:t>富国基金管理有限公司关于旗下基金投资关联方承销期内承销证券的公告</w:t>
      </w:r>
    </w:p>
    <w:p w:rsidR="000C3E10" w:rsidRDefault="000C3E10">
      <w:pPr>
        <w:spacing w:line="360" w:lineRule="auto"/>
        <w:ind w:firstLineChars="200" w:firstLine="480"/>
        <w:rPr>
          <w:rFonts w:ascii="Times New Roman" w:hAnsi="Times New Roman"/>
          <w:sz w:val="24"/>
          <w:szCs w:val="24"/>
        </w:rPr>
      </w:pP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根据《中华人民共和国证券投资基金法》《公开募集证券投资基金运作管理办法》《公开募集证券投资基金信息披露管理办法》及相关基金基金合同、招募说明书等有关规定，经履行适当审批程序，富国基金管理有限公司（“本公司”）旗下部分基金参与了扬州惠通科技股份有限公司（“惠通科技”，交易代码</w:t>
      </w:r>
      <w:r>
        <w:rPr>
          <w:rFonts w:ascii="Times New Roman" w:hAnsi="Times New Roman" w:hint="eastAsia"/>
          <w:sz w:val="24"/>
          <w:szCs w:val="24"/>
        </w:rPr>
        <w:t>301601</w:t>
      </w:r>
      <w:r>
        <w:rPr>
          <w:rFonts w:ascii="Times New Roman" w:hAnsi="Times New Roman" w:hint="eastAsia"/>
          <w:sz w:val="24"/>
          <w:szCs w:val="24"/>
        </w:rPr>
        <w:t>）首次公开发行股票并在创业板上市（“本次发行”）的网下申购，本</w:t>
      </w:r>
      <w:r>
        <w:rPr>
          <w:rFonts w:ascii="Times New Roman" w:hAnsi="Times New Roman"/>
          <w:sz w:val="24"/>
          <w:szCs w:val="24"/>
        </w:rPr>
        <w:t>公司股东申万宏源证券有限公司的子公司</w:t>
      </w:r>
      <w:bookmarkStart w:id="0" w:name="_GoBack"/>
      <w:bookmarkEnd w:id="0"/>
      <w:r>
        <w:rPr>
          <w:rFonts w:ascii="Times New Roman" w:hAnsi="Times New Roman" w:hint="eastAsia"/>
          <w:sz w:val="24"/>
          <w:szCs w:val="24"/>
        </w:rPr>
        <w:t>申万宏源证券承销保荐有限责任公司为本次发行的主承销商。本次发行价格为</w:t>
      </w:r>
      <w:r>
        <w:rPr>
          <w:rFonts w:ascii="Times New Roman" w:hAnsi="Times New Roman" w:hint="eastAsia"/>
          <w:sz w:val="24"/>
          <w:szCs w:val="24"/>
        </w:rPr>
        <w:t>11.80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股，由发行人和主承销商根据初步询价结果，综合考虑发行人基本面、本次公开发行的股份数量、发行人所处行业、可比上市公司估值水平、市场情况、募集资金需求以及承销风险等因素后协商确定。</w:t>
      </w: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根据法律法规、基金合同及惠通科技于</w:t>
      </w:r>
      <w:r>
        <w:rPr>
          <w:rFonts w:ascii="Times New Roman" w:hAnsi="Times New Roman" w:hint="eastAsia"/>
          <w:sz w:val="24"/>
          <w:szCs w:val="24"/>
        </w:rPr>
        <w:t>202</w:t>
      </w:r>
      <w:r>
        <w:rPr>
          <w:rFonts w:ascii="Times New Roman" w:hAnsi="Times New Roman" w:hint="eastAsia"/>
          <w:sz w:val="24"/>
          <w:szCs w:val="24"/>
        </w:rPr>
        <w:t>5</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8</w:t>
      </w:r>
      <w:r>
        <w:rPr>
          <w:rFonts w:ascii="Times New Roman" w:hAnsi="Times New Roman" w:hint="eastAsia"/>
          <w:sz w:val="24"/>
          <w:szCs w:val="24"/>
        </w:rPr>
        <w:t>日发布的《扬州惠通科技股份有限公司首次公开发行股票并在创业板上市网下发行初步配售结果公告》，现将本公司旗下基金获配信息公告如下：</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5"/>
        <w:gridCol w:w="1920"/>
        <w:gridCol w:w="1650"/>
      </w:tblGrid>
      <w:tr w:rsidR="000C3E10">
        <w:trPr>
          <w:trHeight w:val="285"/>
        </w:trPr>
        <w:tc>
          <w:tcPr>
            <w:tcW w:w="5895" w:type="dxa"/>
            <w:shd w:val="clear" w:color="auto" w:fill="auto"/>
            <w:noWrap/>
            <w:vAlign w:val="bottom"/>
          </w:tcPr>
          <w:p w:rsidR="000C3E10" w:rsidRDefault="00A02BD6">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基金名称</w:t>
            </w:r>
          </w:p>
        </w:tc>
        <w:tc>
          <w:tcPr>
            <w:tcW w:w="1920" w:type="dxa"/>
            <w:shd w:val="clear" w:color="auto" w:fill="auto"/>
            <w:noWrap/>
            <w:vAlign w:val="bottom"/>
          </w:tcPr>
          <w:p w:rsidR="000C3E10" w:rsidRDefault="00A02BD6">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获配数量（股）</w:t>
            </w:r>
          </w:p>
        </w:tc>
        <w:tc>
          <w:tcPr>
            <w:tcW w:w="1650" w:type="dxa"/>
            <w:shd w:val="clear" w:color="auto" w:fill="auto"/>
            <w:noWrap/>
            <w:vAlign w:val="bottom"/>
          </w:tcPr>
          <w:p w:rsidR="000C3E10" w:rsidRDefault="00A02BD6">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总金额（元）</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A500</w:t>
            </w:r>
            <w:r>
              <w:rPr>
                <w:rFonts w:ascii="宋体" w:eastAsia="宋体" w:hAnsi="宋体" w:cs="宋体" w:hint="eastAsia"/>
                <w:color w:val="000000"/>
                <w:kern w:val="0"/>
                <w:sz w:val="20"/>
                <w:szCs w:val="20"/>
                <w:lang/>
              </w:rPr>
              <w:t>交易型开放式指</w:t>
            </w:r>
            <w:r>
              <w:rPr>
                <w:rFonts w:ascii="宋体" w:eastAsia="宋体" w:hAnsi="宋体" w:cs="宋体" w:hint="eastAsia"/>
                <w:color w:val="000000"/>
                <w:kern w:val="0"/>
                <w:sz w:val="20"/>
                <w:szCs w:val="20"/>
                <w:lang/>
              </w:rPr>
              <w:t>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富国创业板中盘</w:t>
            </w:r>
            <w:r>
              <w:rPr>
                <w:rFonts w:ascii="宋体" w:eastAsia="宋体" w:hAnsi="宋体" w:cs="宋体" w:hint="eastAsia"/>
                <w:color w:val="000000"/>
                <w:kern w:val="0"/>
                <w:sz w:val="20"/>
                <w:szCs w:val="20"/>
                <w:lang/>
              </w:rPr>
              <w:t>200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1675</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19765</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富国深证</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富国创业板增强策略交易型开放式指数证券投资基金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富国融丰两年定期开放混合型证券投资基金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富国周期精选三年持有期混合型证券投资基金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富国中证上海环交所碳中和交易型开放式指数证券投资基金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富国中证全指家用电器交易型开放式指数证券投资基金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3121</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36827.8</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富国天恒混合型证券投资基金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富国中证消费电子主题交易型开放式指数证券投资基金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富国红利混合型证券投资基金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富国中证沪港深创新药产业交易型开放式指数证券投资基金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富国安诚回报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富国中证新华社民族品牌工程交易型开放式指数证券投资基金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富国均衡成长三年持有期混合型证券投资基金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富国稳健恒盛</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富国中证芯片产业交易型开放式指数证券投资基金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300ESG</w:t>
            </w:r>
            <w:r>
              <w:rPr>
                <w:rFonts w:ascii="宋体" w:eastAsia="宋体" w:hAnsi="宋体" w:cs="宋体" w:hint="eastAsia"/>
                <w:color w:val="000000"/>
                <w:kern w:val="0"/>
                <w:sz w:val="20"/>
                <w:szCs w:val="20"/>
                <w:lang/>
              </w:rPr>
              <w:t>基准交易型开放式指数证券投资基金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基本面精选股票型证券投资基金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富国稳健增长混合型证券投资基金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富国优质企业混合型证券投资基金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富国兴远优选</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富国中证细分化工产业主题交易型开放式指数证券投资基金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富国中证沪港深</w:t>
            </w:r>
            <w:r>
              <w:rPr>
                <w:rFonts w:ascii="宋体" w:eastAsia="宋体" w:hAnsi="宋体" w:cs="宋体" w:hint="eastAsia"/>
                <w:color w:val="000000"/>
                <w:kern w:val="0"/>
                <w:sz w:val="20"/>
                <w:szCs w:val="20"/>
                <w:lang/>
              </w:rPr>
              <w:t>500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富国融泰三个月定期开放混合型发起式证券投资基金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富国中证大数据产业交易型开放式指数证券投资基金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富国中证智能汽车主题交易型开放式指数证券投资基金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富国天兴回报混合型证券投资基金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富国中证农业主题交易型开放式指数证券投资基金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富国兴泉回报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富国融享</w:t>
            </w:r>
            <w:r>
              <w:rPr>
                <w:rFonts w:ascii="宋体" w:eastAsia="宋体" w:hAnsi="宋体" w:cs="宋体" w:hint="eastAsia"/>
                <w:color w:val="000000"/>
                <w:kern w:val="0"/>
                <w:sz w:val="20"/>
                <w:szCs w:val="20"/>
                <w:lang/>
              </w:rPr>
              <w:t>18</w:t>
            </w:r>
            <w:r>
              <w:rPr>
                <w:rFonts w:ascii="宋体" w:eastAsia="宋体" w:hAnsi="宋体" w:cs="宋体" w:hint="eastAsia"/>
                <w:color w:val="000000"/>
                <w:kern w:val="0"/>
                <w:sz w:val="20"/>
                <w:szCs w:val="20"/>
                <w:lang/>
              </w:rPr>
              <w:t>个月定期开放混合型证券投资基金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富国量化对冲策略三个月持有期灵活配置混合型证券投资基金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富国龙头优势混合型证券投资基金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富国中证科技</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策略交易型开放式指数证券投资基金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富国中证国企一带一路交易型开放式指数证券投资基金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富国中证军工龙头交易型开放式指数证券投资基金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富国睿泽回报混合型证券投资基金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富国生物医药科技混合型证券投资基金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w:t>
            </w:r>
            <w:r>
              <w:rPr>
                <w:rFonts w:ascii="宋体" w:eastAsia="宋体" w:hAnsi="宋体" w:cs="宋体" w:hint="eastAsia"/>
                <w:color w:val="000000"/>
                <w:kern w:val="0"/>
                <w:sz w:val="20"/>
                <w:szCs w:val="20"/>
                <w:lang/>
              </w:rPr>
              <w:t>MSCI</w:t>
            </w:r>
            <w:r>
              <w:rPr>
                <w:rFonts w:ascii="宋体" w:eastAsia="宋体" w:hAnsi="宋体" w:cs="宋体" w:hint="eastAsia"/>
                <w:color w:val="000000"/>
                <w:kern w:val="0"/>
                <w:sz w:val="20"/>
                <w:szCs w:val="20"/>
                <w:lang/>
              </w:rPr>
              <w:t>中国</w:t>
            </w:r>
            <w:r>
              <w:rPr>
                <w:rFonts w:ascii="宋体" w:eastAsia="宋体" w:hAnsi="宋体" w:cs="宋体" w:hint="eastAsia"/>
                <w:color w:val="000000"/>
                <w:kern w:val="0"/>
                <w:sz w:val="20"/>
                <w:szCs w:val="20"/>
                <w:lang/>
              </w:rPr>
              <w:t>A</w:t>
            </w:r>
            <w:r>
              <w:rPr>
                <w:rFonts w:ascii="宋体" w:eastAsia="宋体" w:hAnsi="宋体" w:cs="宋体" w:hint="eastAsia"/>
                <w:color w:val="000000"/>
                <w:kern w:val="0"/>
                <w:sz w:val="20"/>
                <w:szCs w:val="20"/>
                <w:lang/>
              </w:rPr>
              <w:t>股国际通指数增强型证券投资基金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富国沪港深业绩驱动混合型证券投资基金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指数增强型证券投资基金（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富国军工主题混合型证券投资基金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富国成长优选三年定期开放灵活配置混合型证券投资基金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富国新机遇灵活配置混合型发起式证券投资基金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富国研究量化精选混合型证券投资基金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富国中证高端制造指数增强型证券投资基金（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3055</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36049</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富国中证医药主题指数增强型证券投资基金（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富国美丽中国混合型证券投资基金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富国价值优势混合型证券投资基金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富国中证智能汽车指数证券投资基金（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富国中证煤炭指数型证券投资基金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富国中证全指证券公司指数型证券投资基金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富国中证移动互联网指数型证券投资基金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富国中证工业</w:t>
            </w:r>
            <w:r>
              <w:rPr>
                <w:rFonts w:ascii="宋体" w:eastAsia="宋体" w:hAnsi="宋体" w:cs="宋体" w:hint="eastAsia"/>
                <w:color w:val="000000"/>
                <w:kern w:val="0"/>
                <w:sz w:val="20"/>
                <w:szCs w:val="20"/>
                <w:lang/>
              </w:rPr>
              <w:t>4.0</w:t>
            </w:r>
            <w:r>
              <w:rPr>
                <w:rFonts w:ascii="宋体" w:eastAsia="宋体" w:hAnsi="宋体" w:cs="宋体" w:hint="eastAsia"/>
                <w:color w:val="000000"/>
                <w:kern w:val="0"/>
                <w:sz w:val="20"/>
                <w:szCs w:val="20"/>
                <w:lang/>
              </w:rPr>
              <w:t>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富国中证体育产业指数型证券投资基金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富国中证新能源汽车指数型证券投资基金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富国中证银行指数型证券投资基金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富国中证军工指数型证券投资基金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富国新收益灵活配置混合型证券投资基金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富国文体健康股票型证券投资基金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富国中证国有企业改革指数型证券投资基金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富国高端制造行业股票型证券投资基金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富国天益价值混合型证券投资基金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富国天源沪港深平衡混合型证券投资基金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r w:rsidR="000C3E10">
        <w:trPr>
          <w:trHeight w:val="285"/>
        </w:trPr>
        <w:tc>
          <w:tcPr>
            <w:tcW w:w="0" w:type="auto"/>
            <w:shd w:val="clear" w:color="auto" w:fill="auto"/>
            <w:noWrap/>
            <w:vAlign w:val="bottom"/>
          </w:tcPr>
          <w:p w:rsidR="000C3E10" w:rsidRDefault="00A02BD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富国天盛灵活配置混合型证券投资基金</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3417</w:t>
            </w:r>
          </w:p>
        </w:tc>
        <w:tc>
          <w:tcPr>
            <w:tcW w:w="0" w:type="auto"/>
            <w:shd w:val="clear" w:color="auto" w:fill="auto"/>
            <w:noWrap/>
            <w:vAlign w:val="bottom"/>
          </w:tcPr>
          <w:p w:rsidR="000C3E10" w:rsidRDefault="00A02BD6">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40320.6</w:t>
            </w:r>
          </w:p>
        </w:tc>
      </w:tr>
    </w:tbl>
    <w:p w:rsidR="000C3E10" w:rsidRDefault="000C3E10">
      <w:pPr>
        <w:spacing w:line="360" w:lineRule="auto"/>
        <w:rPr>
          <w:rFonts w:ascii="Times New Roman" w:hAnsi="Times New Roman"/>
          <w:sz w:val="24"/>
          <w:szCs w:val="24"/>
        </w:rPr>
      </w:pP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如有疑问，投资者可拨打本公司客户服务电话或登陆相关网址进行咨询，客户服务热线：</w:t>
      </w:r>
      <w:r>
        <w:rPr>
          <w:rFonts w:ascii="Times New Roman" w:hAnsi="Times New Roman" w:hint="eastAsia"/>
          <w:sz w:val="24"/>
          <w:szCs w:val="24"/>
        </w:rPr>
        <w:t>95105686</w:t>
      </w:r>
      <w:r>
        <w:rPr>
          <w:rFonts w:ascii="Times New Roman" w:hAnsi="Times New Roman" w:hint="eastAsia"/>
          <w:sz w:val="24"/>
          <w:szCs w:val="24"/>
        </w:rPr>
        <w:t>，</w:t>
      </w:r>
      <w:r>
        <w:rPr>
          <w:rFonts w:ascii="Times New Roman" w:hAnsi="Times New Roman" w:hint="eastAsia"/>
          <w:sz w:val="24"/>
          <w:szCs w:val="24"/>
        </w:rPr>
        <w:t>4008880688</w:t>
      </w:r>
      <w:r>
        <w:rPr>
          <w:rFonts w:ascii="Times New Roman" w:hAnsi="Times New Roman" w:hint="eastAsia"/>
          <w:sz w:val="24"/>
          <w:szCs w:val="24"/>
        </w:rPr>
        <w:t>（全国统一，均免长途话费），公司网址：</w:t>
      </w:r>
      <w:r>
        <w:rPr>
          <w:rFonts w:ascii="Times New Roman" w:hAnsi="Times New Roman" w:hint="eastAsia"/>
          <w:sz w:val="24"/>
          <w:szCs w:val="24"/>
        </w:rPr>
        <w:t>www.fullgoal.com.cn</w:t>
      </w:r>
      <w:r>
        <w:rPr>
          <w:rFonts w:ascii="Times New Roman" w:hAnsi="Times New Roman" w:hint="eastAsia"/>
          <w:sz w:val="24"/>
          <w:szCs w:val="24"/>
        </w:rPr>
        <w:t>。</w:t>
      </w: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基金管理人承诺以诚实信用、勤勉尽责的原则管理和运用基金财产，但不保证基金一定盈利，也不保证最低收益。敬请投资者注意投资风险。投资者投资于相应基金前应认真阅读基金的基金合同和招募说明书等相关法律文件。</w:t>
      </w:r>
    </w:p>
    <w:p w:rsidR="000C3E10" w:rsidRDefault="00A02BD6">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0C3E10" w:rsidRDefault="000C3E10">
      <w:pPr>
        <w:spacing w:line="360" w:lineRule="auto"/>
        <w:ind w:firstLineChars="200" w:firstLine="480"/>
        <w:rPr>
          <w:rFonts w:ascii="Times New Roman" w:hAnsi="Times New Roman"/>
          <w:sz w:val="24"/>
          <w:szCs w:val="24"/>
        </w:rPr>
      </w:pPr>
    </w:p>
    <w:p w:rsidR="000C3E10" w:rsidRDefault="00A02BD6">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富国基金管理有限公司</w:t>
      </w:r>
    </w:p>
    <w:p w:rsidR="000C3E10" w:rsidRDefault="00A02BD6">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202</w:t>
      </w:r>
      <w:r>
        <w:rPr>
          <w:rFonts w:ascii="Times New Roman" w:hAnsi="Times New Roman" w:hint="eastAsia"/>
          <w:sz w:val="24"/>
          <w:szCs w:val="24"/>
        </w:rPr>
        <w:t>5</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9</w:t>
      </w:r>
      <w:r>
        <w:rPr>
          <w:rFonts w:ascii="Times New Roman" w:hAnsi="Times New Roman" w:hint="eastAsia"/>
          <w:sz w:val="24"/>
          <w:szCs w:val="24"/>
        </w:rPr>
        <w:t>日</w:t>
      </w:r>
    </w:p>
    <w:p w:rsidR="000C3E10" w:rsidRDefault="000C3E10">
      <w:pPr>
        <w:rPr>
          <w:rFonts w:ascii="Times New Roman" w:hAnsi="Times New Roman"/>
          <w:sz w:val="24"/>
          <w:szCs w:val="24"/>
        </w:rPr>
      </w:pPr>
    </w:p>
    <w:p w:rsidR="000C3E10" w:rsidRDefault="000C3E10">
      <w:pPr>
        <w:rPr>
          <w:rFonts w:ascii="Times New Roman" w:hAnsi="Times New Roman"/>
          <w:sz w:val="24"/>
          <w:szCs w:val="24"/>
        </w:rPr>
      </w:pPr>
    </w:p>
    <w:p w:rsidR="000C3E10" w:rsidRDefault="000C3E10">
      <w:pPr>
        <w:rPr>
          <w:rFonts w:ascii="Times New Roman" w:hAnsi="Times New Roman"/>
          <w:sz w:val="24"/>
          <w:szCs w:val="24"/>
        </w:rPr>
      </w:pPr>
    </w:p>
    <w:p w:rsidR="000C3E10" w:rsidRDefault="000C3E10">
      <w:pPr>
        <w:ind w:right="960"/>
        <w:rPr>
          <w:rFonts w:ascii="Times New Roman" w:hAnsi="Times New Roman"/>
          <w:sz w:val="24"/>
          <w:szCs w:val="24"/>
        </w:rPr>
      </w:pPr>
    </w:p>
    <w:sectPr w:rsidR="000C3E10" w:rsidSect="000C3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Microsoft YaHei UI">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671A1"/>
    <w:rsid w:val="000052E1"/>
    <w:rsid w:val="00021075"/>
    <w:rsid w:val="00025D4D"/>
    <w:rsid w:val="000573FB"/>
    <w:rsid w:val="00065D68"/>
    <w:rsid w:val="00075E7E"/>
    <w:rsid w:val="00096346"/>
    <w:rsid w:val="000C3E10"/>
    <w:rsid w:val="000E5136"/>
    <w:rsid w:val="000F38E0"/>
    <w:rsid w:val="0011512F"/>
    <w:rsid w:val="00170F5B"/>
    <w:rsid w:val="00172882"/>
    <w:rsid w:val="00172B89"/>
    <w:rsid w:val="001748BD"/>
    <w:rsid w:val="001B0F67"/>
    <w:rsid w:val="001B4981"/>
    <w:rsid w:val="001F2308"/>
    <w:rsid w:val="0020258C"/>
    <w:rsid w:val="00276541"/>
    <w:rsid w:val="002B1EBD"/>
    <w:rsid w:val="002F7566"/>
    <w:rsid w:val="003023BB"/>
    <w:rsid w:val="00313E1D"/>
    <w:rsid w:val="003204DB"/>
    <w:rsid w:val="0034224C"/>
    <w:rsid w:val="003A5077"/>
    <w:rsid w:val="003D674B"/>
    <w:rsid w:val="003E3F49"/>
    <w:rsid w:val="003F4E54"/>
    <w:rsid w:val="00407BBA"/>
    <w:rsid w:val="00441810"/>
    <w:rsid w:val="00495E8B"/>
    <w:rsid w:val="004C16C6"/>
    <w:rsid w:val="005439CD"/>
    <w:rsid w:val="00550DA6"/>
    <w:rsid w:val="00561940"/>
    <w:rsid w:val="00570ABE"/>
    <w:rsid w:val="00594D88"/>
    <w:rsid w:val="005C3D06"/>
    <w:rsid w:val="005E3FE8"/>
    <w:rsid w:val="005E4C20"/>
    <w:rsid w:val="00601D07"/>
    <w:rsid w:val="00610EFD"/>
    <w:rsid w:val="006A3BDD"/>
    <w:rsid w:val="006E60CA"/>
    <w:rsid w:val="006E62A6"/>
    <w:rsid w:val="006F2BC8"/>
    <w:rsid w:val="007015C8"/>
    <w:rsid w:val="00750DCA"/>
    <w:rsid w:val="00751D5D"/>
    <w:rsid w:val="007724A5"/>
    <w:rsid w:val="00794FBA"/>
    <w:rsid w:val="00797BE5"/>
    <w:rsid w:val="007A7E36"/>
    <w:rsid w:val="007D5CC3"/>
    <w:rsid w:val="00810730"/>
    <w:rsid w:val="00815D2F"/>
    <w:rsid w:val="00824BA9"/>
    <w:rsid w:val="008532DB"/>
    <w:rsid w:val="008C0BA7"/>
    <w:rsid w:val="009019A0"/>
    <w:rsid w:val="00920237"/>
    <w:rsid w:val="00962358"/>
    <w:rsid w:val="00964E05"/>
    <w:rsid w:val="00974955"/>
    <w:rsid w:val="009905AE"/>
    <w:rsid w:val="009B28EB"/>
    <w:rsid w:val="00A02BD6"/>
    <w:rsid w:val="00A15474"/>
    <w:rsid w:val="00AD4FAB"/>
    <w:rsid w:val="00B21343"/>
    <w:rsid w:val="00B3782B"/>
    <w:rsid w:val="00B76850"/>
    <w:rsid w:val="00B95A71"/>
    <w:rsid w:val="00B97599"/>
    <w:rsid w:val="00BB1490"/>
    <w:rsid w:val="00BB79E0"/>
    <w:rsid w:val="00BE0F85"/>
    <w:rsid w:val="00C119AE"/>
    <w:rsid w:val="00C501D5"/>
    <w:rsid w:val="00CA2CCA"/>
    <w:rsid w:val="00D12E42"/>
    <w:rsid w:val="00D15506"/>
    <w:rsid w:val="00D1616F"/>
    <w:rsid w:val="00D4639F"/>
    <w:rsid w:val="00D53B1F"/>
    <w:rsid w:val="00D7154F"/>
    <w:rsid w:val="00DC55BA"/>
    <w:rsid w:val="00DD21CF"/>
    <w:rsid w:val="00E123E3"/>
    <w:rsid w:val="00E671A1"/>
    <w:rsid w:val="00E91AE0"/>
    <w:rsid w:val="00E97C46"/>
    <w:rsid w:val="00EA4B07"/>
    <w:rsid w:val="00EF6237"/>
    <w:rsid w:val="00F03BF7"/>
    <w:rsid w:val="00F041B0"/>
    <w:rsid w:val="00F40C1D"/>
    <w:rsid w:val="00F468DF"/>
    <w:rsid w:val="00F55436"/>
    <w:rsid w:val="00F85BD8"/>
    <w:rsid w:val="00F97831"/>
    <w:rsid w:val="024F56D9"/>
    <w:rsid w:val="0D711D8A"/>
    <w:rsid w:val="220A75F4"/>
    <w:rsid w:val="23E73486"/>
    <w:rsid w:val="251251DD"/>
    <w:rsid w:val="2F2D4AFA"/>
    <w:rsid w:val="5215466B"/>
    <w:rsid w:val="5C515082"/>
    <w:rsid w:val="6C3C6D06"/>
    <w:rsid w:val="6C764421"/>
    <w:rsid w:val="7012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C3E10"/>
    <w:pPr>
      <w:jc w:val="left"/>
    </w:pPr>
  </w:style>
  <w:style w:type="paragraph" w:styleId="a4">
    <w:name w:val="Balloon Text"/>
    <w:basedOn w:val="a"/>
    <w:link w:val="Char0"/>
    <w:uiPriority w:val="99"/>
    <w:semiHidden/>
    <w:unhideWhenUsed/>
    <w:qFormat/>
    <w:rsid w:val="000C3E10"/>
    <w:rPr>
      <w:sz w:val="18"/>
      <w:szCs w:val="18"/>
    </w:rPr>
  </w:style>
  <w:style w:type="paragraph" w:styleId="a5">
    <w:name w:val="footer"/>
    <w:basedOn w:val="a"/>
    <w:link w:val="Char1"/>
    <w:uiPriority w:val="99"/>
    <w:unhideWhenUsed/>
    <w:qFormat/>
    <w:rsid w:val="000C3E1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C3E1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C3E10"/>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0C3E10"/>
    <w:rPr>
      <w:b/>
      <w:bCs/>
    </w:rPr>
  </w:style>
  <w:style w:type="table" w:styleId="a9">
    <w:name w:val="Table Grid"/>
    <w:basedOn w:val="a1"/>
    <w:uiPriority w:val="59"/>
    <w:qFormat/>
    <w:rsid w:val="000C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0C3E10"/>
    <w:rPr>
      <w:color w:val="800080"/>
      <w:u w:val="single"/>
    </w:rPr>
  </w:style>
  <w:style w:type="character" w:styleId="ab">
    <w:name w:val="Hyperlink"/>
    <w:basedOn w:val="a0"/>
    <w:uiPriority w:val="99"/>
    <w:semiHidden/>
    <w:unhideWhenUsed/>
    <w:qFormat/>
    <w:rsid w:val="000C3E10"/>
    <w:rPr>
      <w:color w:val="0000FF"/>
      <w:u w:val="single"/>
    </w:rPr>
  </w:style>
  <w:style w:type="character" w:styleId="ac">
    <w:name w:val="annotation reference"/>
    <w:basedOn w:val="a0"/>
    <w:uiPriority w:val="99"/>
    <w:semiHidden/>
    <w:unhideWhenUsed/>
    <w:qFormat/>
    <w:rsid w:val="000C3E10"/>
    <w:rPr>
      <w:sz w:val="21"/>
      <w:szCs w:val="21"/>
    </w:rPr>
  </w:style>
  <w:style w:type="character" w:customStyle="1" w:styleId="Char2">
    <w:name w:val="页眉 Char"/>
    <w:basedOn w:val="a0"/>
    <w:link w:val="a6"/>
    <w:uiPriority w:val="99"/>
    <w:qFormat/>
    <w:rsid w:val="000C3E10"/>
    <w:rPr>
      <w:sz w:val="18"/>
      <w:szCs w:val="18"/>
    </w:rPr>
  </w:style>
  <w:style w:type="character" w:customStyle="1" w:styleId="Char1">
    <w:name w:val="页脚 Char"/>
    <w:basedOn w:val="a0"/>
    <w:link w:val="a5"/>
    <w:uiPriority w:val="99"/>
    <w:qFormat/>
    <w:rsid w:val="000C3E10"/>
    <w:rPr>
      <w:sz w:val="18"/>
      <w:szCs w:val="18"/>
    </w:rPr>
  </w:style>
  <w:style w:type="character" w:customStyle="1" w:styleId="Char">
    <w:name w:val="批注文字 Char"/>
    <w:basedOn w:val="a0"/>
    <w:link w:val="a3"/>
    <w:uiPriority w:val="99"/>
    <w:semiHidden/>
    <w:qFormat/>
    <w:rsid w:val="000C3E10"/>
  </w:style>
  <w:style w:type="character" w:customStyle="1" w:styleId="Char3">
    <w:name w:val="批注主题 Char"/>
    <w:basedOn w:val="Char"/>
    <w:link w:val="a8"/>
    <w:uiPriority w:val="99"/>
    <w:semiHidden/>
    <w:qFormat/>
    <w:rsid w:val="000C3E10"/>
    <w:rPr>
      <w:b/>
      <w:bCs/>
    </w:rPr>
  </w:style>
  <w:style w:type="character" w:customStyle="1" w:styleId="Char0">
    <w:name w:val="批注框文本 Char"/>
    <w:basedOn w:val="a0"/>
    <w:link w:val="a4"/>
    <w:uiPriority w:val="99"/>
    <w:semiHidden/>
    <w:qFormat/>
    <w:rsid w:val="000C3E10"/>
    <w:rPr>
      <w:sz w:val="18"/>
      <w:szCs w:val="18"/>
    </w:rPr>
  </w:style>
  <w:style w:type="paragraph" w:customStyle="1" w:styleId="xl63">
    <w:name w:val="xl63"/>
    <w:basedOn w:val="a"/>
    <w:qFormat/>
    <w:rsid w:val="000C3E1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0C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8"/>
      <w:szCs w:val="18"/>
    </w:rPr>
  </w:style>
  <w:style w:type="paragraph" w:customStyle="1" w:styleId="xl65">
    <w:name w:val="xl65"/>
    <w:basedOn w:val="a"/>
    <w:qFormat/>
    <w:rsid w:val="000C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66">
    <w:name w:val="xl66"/>
    <w:basedOn w:val="a"/>
    <w:qFormat/>
    <w:rsid w:val="000C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7">
    <w:name w:val="xl67"/>
    <w:basedOn w:val="a"/>
    <w:qFormat/>
    <w:rsid w:val="000C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8">
    <w:name w:val="xl68"/>
    <w:basedOn w:val="a"/>
    <w:qFormat/>
    <w:rsid w:val="000C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YaHei UI" w:eastAsia="Microsoft YaHei UI" w:hAnsi="Microsoft YaHei UI" w:cs="宋体"/>
      <w:color w:val="000000"/>
      <w:kern w:val="0"/>
      <w:sz w:val="18"/>
      <w:szCs w:val="18"/>
    </w:rPr>
  </w:style>
  <w:style w:type="paragraph" w:customStyle="1" w:styleId="xl69">
    <w:name w:val="xl69"/>
    <w:basedOn w:val="a"/>
    <w:qFormat/>
    <w:rsid w:val="000C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0C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24"/>
      <w:szCs w:val="24"/>
    </w:rPr>
  </w:style>
  <w:style w:type="paragraph" w:customStyle="1" w:styleId="xl71">
    <w:name w:val="xl71"/>
    <w:basedOn w:val="a"/>
    <w:qFormat/>
    <w:rsid w:val="000C3E10"/>
    <w:pPr>
      <w:widowControl/>
      <w:shd w:val="clear" w:color="000000" w:fill="FFFFFF"/>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2918-264A-41E9-A27D-E468EFBC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2693</Characters>
  <Application>Microsoft Office Word</Application>
  <DocSecurity>4</DocSecurity>
  <Lines>22</Lines>
  <Paragraphs>6</Paragraphs>
  <ScaleCrop>false</ScaleCrop>
  <Company>MS</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陶人杰</dc:creator>
  <cp:lastModifiedBy>ZHONGM</cp:lastModifiedBy>
  <cp:revision>2</cp:revision>
  <cp:lastPrinted>2023-04-28T00:39:00Z</cp:lastPrinted>
  <dcterms:created xsi:type="dcterms:W3CDTF">2025-01-08T16:01:00Z</dcterms:created>
  <dcterms:modified xsi:type="dcterms:W3CDTF">2025-01-08T16:01:00Z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01810634F6B140AD8CFF0B11D1324BC2</vt:lpwstr>
  </property>
</Properties>
</file>