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F1" w:rsidRDefault="00221CF1" w:rsidP="00221CF1">
      <w:pPr>
        <w:pStyle w:val="XBRL2"/>
        <w:spacing w:before="156"/>
        <w:rPr>
          <w:lang w:eastAsia="zh-CN"/>
        </w:rPr>
      </w:pPr>
      <w:bookmarkStart w:id="0" w:name="_Toc510201001"/>
      <w:bookmarkEnd w:id="0"/>
      <w:r>
        <w:rPr>
          <w:lang w:eastAsia="zh-CN"/>
        </w:rPr>
        <w:t xml:space="preserve">　</w:t>
      </w:r>
      <w:r>
        <w:rPr>
          <w:lang w:eastAsia="zh-CN"/>
        </w:rPr>
        <w:t xml:space="preserve"> </w:t>
      </w:r>
    </w:p>
    <w:p w:rsidR="00221CF1" w:rsidRDefault="00221CF1" w:rsidP="00221CF1">
      <w:pPr>
        <w:jc w:val="center"/>
      </w:pPr>
      <w:r>
        <w:rPr>
          <w:rFonts w:cs="Times New Roman" w:hint="eastAsia"/>
          <w:b/>
          <w:sz w:val="48"/>
          <w:szCs w:val="48"/>
        </w:rPr>
        <w:t>泰康中证A500交易型开放式指数证券投资基金2025年第一次分红公告</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560" w:lineRule="exact"/>
        <w:jc w:val="center"/>
        <w:rPr>
          <w:color w:val="000000"/>
          <w:kern w:val="0"/>
          <w:sz w:val="18"/>
        </w:rPr>
      </w:pPr>
      <w:r>
        <w:rPr>
          <w:rFonts w:hint="eastAsia"/>
          <w:color w:val="000000"/>
          <w:kern w:val="0"/>
          <w:sz w:val="18"/>
        </w:rPr>
        <w:t xml:space="preserve">　 </w:t>
      </w:r>
    </w:p>
    <w:p w:rsidR="00221CF1" w:rsidRDefault="00221CF1" w:rsidP="00221CF1">
      <w:pPr>
        <w:spacing w:line="360" w:lineRule="auto"/>
        <w:jc w:val="center"/>
      </w:pPr>
      <w:r>
        <w:rPr>
          <w:rFonts w:hint="eastAsia"/>
          <w:b/>
          <w:bCs/>
          <w:sz w:val="24"/>
          <w:szCs w:val="30"/>
        </w:rPr>
        <w:t>公告送出日期：2025年1月9日</w:t>
      </w:r>
    </w:p>
    <w:p w:rsidR="00221CF1" w:rsidRDefault="00221CF1" w:rsidP="00221CF1">
      <w:pPr>
        <w:pStyle w:val="XBRLTitle1"/>
        <w:tabs>
          <w:tab w:val="clear" w:pos="360"/>
        </w:tabs>
        <w:spacing w:before="156"/>
        <w:ind w:left="425" w:hanging="425"/>
        <w:jc w:val="left"/>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3"/>
        <w:gridCol w:w="3824"/>
        <w:gridCol w:w="3143"/>
      </w:tblGrid>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基金名称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泰康中证A500交易型开放式指数证券投资基金</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基金简称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sidRPr="004E5E5D">
              <w:rPr>
                <w:rFonts w:hint="eastAsia"/>
              </w:rPr>
              <w:t>中证</w:t>
            </w:r>
            <w:r w:rsidRPr="004E5E5D">
              <w:t>A500ETF</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基金主代码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sidRPr="00C16027">
              <w:rPr>
                <w:szCs w:val="21"/>
              </w:rPr>
              <w:t>560510</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基金合同生效日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szCs w:val="21"/>
              </w:rPr>
              <w:t>2024年09月</w:t>
            </w:r>
            <w:r w:rsidRPr="00C16027">
              <w:rPr>
                <w:szCs w:val="21"/>
              </w:rPr>
              <w:t>27</w:t>
            </w:r>
            <w:r>
              <w:rPr>
                <w:szCs w:val="21"/>
              </w:rPr>
              <w:t>日</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基金管理人名称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泰康基金管理有限公司</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基金托管人名称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招商银行股份有限公司</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公告依据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《公开募集证券投资基金信息披露管理办法》、《泰康中证A500交易型开放式指数证券投资基金基金合同》、《泰康中证A500交易型开放式指数证券投资基金招募说明书》</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收益分配基准日 </w:t>
            </w:r>
          </w:p>
        </w:tc>
        <w:tc>
          <w:tcPr>
            <w:tcW w:w="3143"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202</w:t>
            </w:r>
            <w:r>
              <w:rPr>
                <w:szCs w:val="21"/>
              </w:rPr>
              <w:t>4</w:t>
            </w:r>
            <w:r>
              <w:rPr>
                <w:rFonts w:hint="eastAsia"/>
                <w:szCs w:val="21"/>
              </w:rPr>
              <w:t>年</w:t>
            </w:r>
            <w:r>
              <w:rPr>
                <w:szCs w:val="21"/>
              </w:rPr>
              <w:t>12</w:t>
            </w:r>
            <w:r>
              <w:rPr>
                <w:rFonts w:hint="eastAsia"/>
                <w:szCs w:val="21"/>
              </w:rPr>
              <w:t>月</w:t>
            </w:r>
            <w:r>
              <w:rPr>
                <w:szCs w:val="21"/>
              </w:rPr>
              <w:t>31</w:t>
            </w:r>
            <w:r>
              <w:rPr>
                <w:rFonts w:hint="eastAsia"/>
                <w:szCs w:val="21"/>
              </w:rPr>
              <w:t>日</w:t>
            </w:r>
          </w:p>
        </w:tc>
      </w:tr>
      <w:tr w:rsidR="00221CF1" w:rsidTr="00804771">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221CF1" w:rsidRDefault="00221CF1" w:rsidP="00804771">
            <w:r>
              <w:rPr>
                <w:rFonts w:hint="eastAsia"/>
                <w:szCs w:val="21"/>
              </w:rPr>
              <w:t xml:space="preserve">截止收益分配基准日的相关指标 </w:t>
            </w:r>
          </w:p>
        </w:tc>
        <w:tc>
          <w:tcPr>
            <w:tcW w:w="3824"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基准日基金份额净值（单位： 人民币元） </w:t>
            </w:r>
          </w:p>
        </w:tc>
        <w:tc>
          <w:tcPr>
            <w:tcW w:w="3143" w:type="dxa"/>
            <w:tcBorders>
              <w:top w:val="single" w:sz="4" w:space="0" w:color="auto"/>
              <w:left w:val="single" w:sz="4" w:space="0" w:color="auto"/>
              <w:bottom w:val="single" w:sz="4" w:space="0" w:color="auto"/>
              <w:right w:val="single" w:sz="4" w:space="0" w:color="auto"/>
            </w:tcBorders>
          </w:tcPr>
          <w:p w:rsidR="00221CF1" w:rsidRDefault="00221CF1" w:rsidP="00804771">
            <w:r w:rsidRPr="00700DFF">
              <w:t>0</w:t>
            </w:r>
            <w:r>
              <w:t>.9518</w:t>
            </w:r>
          </w:p>
        </w:tc>
      </w:tr>
      <w:tr w:rsidR="00221CF1" w:rsidTr="00804771">
        <w:tc>
          <w:tcPr>
            <w:tcW w:w="1853" w:type="dxa"/>
            <w:vMerge/>
            <w:tcBorders>
              <w:top w:val="single" w:sz="4" w:space="0" w:color="auto"/>
              <w:left w:val="single" w:sz="4" w:space="0" w:color="auto"/>
              <w:bottom w:val="single" w:sz="4" w:space="0" w:color="auto"/>
              <w:right w:val="single" w:sz="4" w:space="0" w:color="auto"/>
            </w:tcBorders>
            <w:vAlign w:val="center"/>
          </w:tcPr>
          <w:p w:rsidR="00221CF1" w:rsidRDefault="00221CF1" w:rsidP="00804771">
            <w:pPr>
              <w:rPr>
                <w:szCs w:val="21"/>
              </w:rPr>
            </w:pPr>
          </w:p>
        </w:tc>
        <w:tc>
          <w:tcPr>
            <w:tcW w:w="3824" w:type="dxa"/>
            <w:tcBorders>
              <w:top w:val="single" w:sz="4" w:space="0" w:color="auto"/>
              <w:left w:val="single" w:sz="4" w:space="0" w:color="auto"/>
              <w:bottom w:val="single" w:sz="4" w:space="0" w:color="auto"/>
              <w:right w:val="single" w:sz="4" w:space="0" w:color="auto"/>
            </w:tcBorders>
          </w:tcPr>
          <w:p w:rsidR="00221CF1" w:rsidRDefault="00221CF1" w:rsidP="00804771">
            <w:pPr>
              <w:rPr>
                <w:szCs w:val="21"/>
              </w:rPr>
            </w:pPr>
            <w:r>
              <w:rPr>
                <w:rFonts w:hint="eastAsia"/>
                <w:szCs w:val="21"/>
              </w:rPr>
              <w:t>基准日基金可供分配利润（单位： 人民币元）</w:t>
            </w:r>
          </w:p>
        </w:tc>
        <w:tc>
          <w:tcPr>
            <w:tcW w:w="3143" w:type="dxa"/>
            <w:tcBorders>
              <w:top w:val="single" w:sz="4" w:space="0" w:color="auto"/>
              <w:left w:val="single" w:sz="4" w:space="0" w:color="auto"/>
              <w:bottom w:val="single" w:sz="4" w:space="0" w:color="auto"/>
              <w:right w:val="single" w:sz="4" w:space="0" w:color="auto"/>
            </w:tcBorders>
          </w:tcPr>
          <w:p w:rsidR="00221CF1" w:rsidDel="00C16027" w:rsidRDefault="00A61E57" w:rsidP="00804771">
            <w:pPr>
              <w:rPr>
                <w:szCs w:val="21"/>
              </w:rPr>
            </w:pPr>
            <w:r w:rsidRPr="00A61E57">
              <w:t>-416</w:t>
            </w:r>
            <w:r>
              <w:rPr>
                <w:rFonts w:hint="eastAsia"/>
              </w:rPr>
              <w:t>,</w:t>
            </w:r>
            <w:r w:rsidRPr="00A61E57">
              <w:t>680</w:t>
            </w:r>
            <w:r>
              <w:rPr>
                <w:rFonts w:hint="eastAsia"/>
              </w:rPr>
              <w:t>,</w:t>
            </w:r>
            <w:r w:rsidRPr="00A61E57">
              <w:t>647.01</w:t>
            </w:r>
          </w:p>
        </w:tc>
      </w:tr>
      <w:tr w:rsidR="00221CF1" w:rsidTr="00804771">
        <w:tc>
          <w:tcPr>
            <w:tcW w:w="1853" w:type="dxa"/>
            <w:vMerge/>
            <w:tcBorders>
              <w:top w:val="single" w:sz="4" w:space="0" w:color="auto"/>
              <w:left w:val="single" w:sz="4" w:space="0" w:color="auto"/>
              <w:bottom w:val="single" w:sz="4" w:space="0" w:color="auto"/>
              <w:right w:val="single" w:sz="4" w:space="0" w:color="auto"/>
            </w:tcBorders>
            <w:vAlign w:val="center"/>
            <w:hideMark/>
          </w:tcPr>
          <w:p w:rsidR="00221CF1" w:rsidRDefault="00221CF1" w:rsidP="00804771">
            <w:pPr>
              <w:widowControl/>
              <w:jc w:val="left"/>
            </w:pPr>
          </w:p>
        </w:tc>
        <w:tc>
          <w:tcPr>
            <w:tcW w:w="3824"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截至基准日按照基金合同约定的分红比例计算的应分配金额（单位： 人民币元） </w:t>
            </w:r>
          </w:p>
        </w:tc>
        <w:tc>
          <w:tcPr>
            <w:tcW w:w="3143" w:type="dxa"/>
            <w:tcBorders>
              <w:top w:val="single" w:sz="4" w:space="0" w:color="auto"/>
              <w:left w:val="single" w:sz="4" w:space="0" w:color="auto"/>
              <w:bottom w:val="single" w:sz="4" w:space="0" w:color="auto"/>
              <w:right w:val="single" w:sz="4" w:space="0" w:color="auto"/>
            </w:tcBorders>
          </w:tcPr>
          <w:p w:rsidR="00221CF1" w:rsidRDefault="00221CF1" w:rsidP="00804771">
            <w:r>
              <w:rPr>
                <w:rFonts w:hint="eastAsia"/>
              </w:rPr>
              <w:t>-</w:t>
            </w:r>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本次分红方案（单位：元/10份基金份额） </w:t>
            </w:r>
          </w:p>
        </w:tc>
        <w:tc>
          <w:tcPr>
            <w:tcW w:w="3143" w:type="dxa"/>
            <w:tcBorders>
              <w:top w:val="single" w:sz="4" w:space="0" w:color="auto"/>
              <w:left w:val="single" w:sz="4" w:space="0" w:color="auto"/>
              <w:bottom w:val="single" w:sz="4" w:space="0" w:color="auto"/>
              <w:right w:val="single" w:sz="4" w:space="0" w:color="auto"/>
            </w:tcBorders>
          </w:tcPr>
          <w:p w:rsidR="00221CF1" w:rsidRDefault="00221CF1" w:rsidP="00804771">
            <w:bookmarkStart w:id="13" w:name="_GoBack"/>
            <w:r w:rsidRPr="00151E8D">
              <w:t>0.0060</w:t>
            </w:r>
            <w:bookmarkEnd w:id="13"/>
          </w:p>
        </w:tc>
      </w:tr>
      <w:tr w:rsidR="00221CF1" w:rsidTr="00804771">
        <w:tc>
          <w:tcPr>
            <w:tcW w:w="5677" w:type="dxa"/>
            <w:gridSpan w:val="2"/>
            <w:tcBorders>
              <w:top w:val="single" w:sz="4" w:space="0" w:color="auto"/>
              <w:left w:val="single" w:sz="4" w:space="0" w:color="auto"/>
              <w:bottom w:val="single" w:sz="4" w:space="0" w:color="auto"/>
              <w:right w:val="single" w:sz="4" w:space="0" w:color="auto"/>
            </w:tcBorders>
            <w:vAlign w:val="center"/>
            <w:hideMark/>
          </w:tcPr>
          <w:p w:rsidR="00221CF1" w:rsidRDefault="00221CF1" w:rsidP="00804771">
            <w:r>
              <w:rPr>
                <w:rFonts w:hint="eastAsia"/>
                <w:szCs w:val="21"/>
              </w:rPr>
              <w:t xml:space="preserve">有关年度分红次数的说明 </w:t>
            </w:r>
          </w:p>
        </w:tc>
        <w:tc>
          <w:tcPr>
            <w:tcW w:w="3143" w:type="dxa"/>
            <w:tcBorders>
              <w:top w:val="single" w:sz="4" w:space="0" w:color="auto"/>
              <w:left w:val="single" w:sz="4" w:space="0" w:color="auto"/>
              <w:bottom w:val="single" w:sz="4" w:space="0" w:color="auto"/>
              <w:right w:val="single" w:sz="4" w:space="0" w:color="auto"/>
            </w:tcBorders>
            <w:vAlign w:val="center"/>
            <w:hideMark/>
          </w:tcPr>
          <w:p w:rsidR="00221CF1" w:rsidRDefault="00221CF1" w:rsidP="00804771">
            <w:r>
              <w:rPr>
                <w:rFonts w:hint="eastAsia"/>
                <w:szCs w:val="21"/>
              </w:rPr>
              <w:t>本次分红为2025年度的第一次分红</w:t>
            </w:r>
          </w:p>
        </w:tc>
      </w:tr>
    </w:tbl>
    <w:p w:rsidR="00221CF1" w:rsidRDefault="00221CF1" w:rsidP="00221CF1">
      <w:pPr>
        <w:spacing w:line="360" w:lineRule="auto"/>
        <w:rPr>
          <w:szCs w:val="21"/>
        </w:rPr>
      </w:pPr>
      <w:bookmarkStart w:id="14" w:name="t_1_1_fj_2645_a1_fm1"/>
      <w:bookmarkStart w:id="15" w:name="_Toc17898179"/>
      <w:bookmarkStart w:id="16" w:name="_Toc17897937"/>
      <w:bookmarkStart w:id="17" w:name="_Toc512519481"/>
      <w:bookmarkStart w:id="18" w:name="_Toc481075047"/>
      <w:bookmarkStart w:id="19" w:name="_Toc438646452"/>
      <w:bookmarkStart w:id="20" w:name="_Toc490050001"/>
      <w:bookmarkStart w:id="21" w:name="_Toc513295847"/>
      <w:bookmarkStart w:id="22" w:name="_Toc513295893"/>
      <w:bookmarkStart w:id="23" w:name="_Toc34322060"/>
      <w:r>
        <w:rPr>
          <w:rFonts w:hint="eastAsia"/>
          <w:szCs w:val="21"/>
        </w:rPr>
        <w:t>注：</w:t>
      </w:r>
      <w:bookmarkEnd w:id="14"/>
      <w:r>
        <w:rPr>
          <w:rFonts w:hint="eastAsia"/>
          <w:szCs w:val="21"/>
        </w:rPr>
        <w:t>1、本基金场内简称为“中证A</w:t>
      </w:r>
      <w:r>
        <w:rPr>
          <w:szCs w:val="21"/>
        </w:rPr>
        <w:t>500</w:t>
      </w:r>
      <w:r>
        <w:rPr>
          <w:rFonts w:hint="eastAsia"/>
          <w:szCs w:val="21"/>
        </w:rPr>
        <w:t>”，扩位简称为“</w:t>
      </w:r>
      <w:r w:rsidRPr="00594BA9">
        <w:rPr>
          <w:rFonts w:hint="eastAsia"/>
          <w:szCs w:val="21"/>
        </w:rPr>
        <w:t>中证A500</w:t>
      </w:r>
      <w:r w:rsidRPr="00416253">
        <w:rPr>
          <w:rFonts w:hint="eastAsia"/>
          <w:szCs w:val="21"/>
        </w:rPr>
        <w:t>ETF</w:t>
      </w:r>
      <w:r>
        <w:rPr>
          <w:rFonts w:hint="eastAsia"/>
          <w:szCs w:val="21"/>
        </w:rPr>
        <w:t>”</w:t>
      </w:r>
    </w:p>
    <w:p w:rsidR="00221CF1" w:rsidRDefault="00221CF1" w:rsidP="00221CF1">
      <w:pPr>
        <w:spacing w:line="360" w:lineRule="auto"/>
        <w:rPr>
          <w:szCs w:val="21"/>
        </w:rPr>
      </w:pPr>
      <w:r>
        <w:rPr>
          <w:szCs w:val="21"/>
        </w:rPr>
        <w:t>2、根据</w:t>
      </w:r>
      <w:r>
        <w:rPr>
          <w:rFonts w:hint="eastAsia"/>
          <w:szCs w:val="21"/>
        </w:rPr>
        <w:t>《</w:t>
      </w:r>
      <w:r w:rsidRPr="003504F3">
        <w:rPr>
          <w:rFonts w:hint="eastAsia"/>
          <w:szCs w:val="21"/>
        </w:rPr>
        <w:t>泰康中证</w:t>
      </w:r>
      <w:r w:rsidRPr="003504F3">
        <w:rPr>
          <w:szCs w:val="21"/>
        </w:rPr>
        <w:t>A500交易型开放式指数证券投资基金基金合同</w:t>
      </w:r>
      <w:r>
        <w:rPr>
          <w:szCs w:val="21"/>
        </w:rPr>
        <w:t>》</w:t>
      </w:r>
      <w:r>
        <w:rPr>
          <w:rFonts w:hint="eastAsia"/>
          <w:szCs w:val="21"/>
        </w:rPr>
        <w:t>（以下简称《基金合同》），</w:t>
      </w:r>
      <w:r w:rsidRPr="00176A1D">
        <w:rPr>
          <w:rFonts w:hint="eastAsia"/>
          <w:szCs w:val="21"/>
        </w:rPr>
        <w:t>基金管理人有权根据实际情况决定是否进行收益分配，但如满足以下条件，本基金每个自然季度至少进行一次收益分配：每季度最后一个交易日对基金相对标的指数的超额收益率进行评价，计算基金份额净值增长率、标的指数同期增长率和超额收益率；</w:t>
      </w:r>
      <w:r>
        <w:rPr>
          <w:rFonts w:hint="eastAsia"/>
          <w:szCs w:val="21"/>
        </w:rPr>
        <w:t>其中，</w:t>
      </w:r>
      <w:r w:rsidRPr="00176A1D">
        <w:rPr>
          <w:szCs w:val="21"/>
        </w:rPr>
        <w:t>超额收益率=基金份额净值增长率-标的指数同期增长率</w:t>
      </w:r>
      <w:r>
        <w:rPr>
          <w:szCs w:val="21"/>
        </w:rPr>
        <w:t>；</w:t>
      </w:r>
      <w:r w:rsidRPr="00176A1D">
        <w:rPr>
          <w:rFonts w:hint="eastAsia"/>
          <w:szCs w:val="21"/>
        </w:rPr>
        <w:t>当超额收益率大于</w:t>
      </w:r>
      <w:r w:rsidRPr="00176A1D">
        <w:rPr>
          <w:szCs w:val="21"/>
        </w:rPr>
        <w:t>0时，本基金将进行收益分配，否则不进行收益分配；收益分配比例不低于超额收益率的60%；基金管理人将在次季度起的15个工作日内拟定收益分配方案。</w:t>
      </w:r>
    </w:p>
    <w:p w:rsidR="00221CF1" w:rsidRDefault="00221CF1" w:rsidP="00221CF1">
      <w:pPr>
        <w:spacing w:line="360" w:lineRule="auto"/>
        <w:rPr>
          <w:szCs w:val="21"/>
        </w:rPr>
      </w:pPr>
      <w:r>
        <w:rPr>
          <w:rFonts w:hint="eastAsia"/>
          <w:szCs w:val="21"/>
        </w:rPr>
        <w:t>3、本次收益分配基准日超额收益率为0</w:t>
      </w:r>
      <w:r>
        <w:rPr>
          <w:szCs w:val="21"/>
        </w:rPr>
        <w:t>.076%，收益分配比例为超额收益率的</w:t>
      </w:r>
      <w:r>
        <w:rPr>
          <w:rFonts w:hint="eastAsia"/>
          <w:szCs w:val="21"/>
        </w:rPr>
        <w:t>8</w:t>
      </w:r>
      <w:r>
        <w:rPr>
          <w:szCs w:val="21"/>
        </w:rPr>
        <w:t>2.55%。超额收益分配比例=每份基金份额分红</w:t>
      </w:r>
      <w:r>
        <w:rPr>
          <w:rFonts w:hint="eastAsia"/>
          <w:szCs w:val="21"/>
        </w:rPr>
        <w:t>（元）/基准日基金份额净值（元）/截至基准日超额收益率。</w:t>
      </w:r>
    </w:p>
    <w:p w:rsidR="00221CF1" w:rsidRPr="003504F3" w:rsidRDefault="00221CF1" w:rsidP="00221CF1">
      <w:pPr>
        <w:spacing w:line="360" w:lineRule="auto"/>
        <w:rPr>
          <w:szCs w:val="21"/>
        </w:rPr>
      </w:pPr>
      <w:r>
        <w:rPr>
          <w:rFonts w:hint="eastAsia"/>
          <w:szCs w:val="21"/>
        </w:rPr>
        <w:t>4、</w:t>
      </w:r>
      <w:r w:rsidRPr="003D7A64">
        <w:rPr>
          <w:rFonts w:hint="eastAsia"/>
          <w:szCs w:val="21"/>
        </w:rPr>
        <w:t>基于本基金的性质和特点</w:t>
      </w:r>
      <w:r w:rsidRPr="003D7A64">
        <w:rPr>
          <w:szCs w:val="21"/>
        </w:rPr>
        <w:t>,本基金收益分配不须以弥补浮动亏损为前提,收益分配后有可能使除息后的基金份额净值低于面值，即基金收益分配基准日的基金份额净值减去收益分配金额后可能低于面值。</w:t>
      </w:r>
    </w:p>
    <w:p w:rsidR="00221CF1" w:rsidRDefault="00221CF1" w:rsidP="00221CF1">
      <w:pPr>
        <w:pStyle w:val="XBRLTitle1"/>
        <w:tabs>
          <w:tab w:val="clear" w:pos="360"/>
        </w:tabs>
        <w:spacing w:before="156" w:line="360" w:lineRule="auto"/>
        <w:ind w:left="425" w:hanging="425"/>
        <w:jc w:val="left"/>
      </w:pPr>
      <w:r w:rsidRPr="0078462D">
        <w:rPr>
          <w:rFonts w:hAnsi="宋体" w:hint="eastAsia"/>
          <w:szCs w:val="24"/>
        </w:rPr>
        <w:t>与分红相关的其他信息</w:t>
      </w:r>
      <w:bookmarkEnd w:id="15"/>
      <w:bookmarkEnd w:id="16"/>
      <w:bookmarkEnd w:id="17"/>
      <w:bookmarkEnd w:id="18"/>
      <w:bookmarkEnd w:id="19"/>
      <w:bookmarkEnd w:id="20"/>
      <w:bookmarkEnd w:id="21"/>
      <w:bookmarkEnd w:id="22"/>
      <w:bookmarkEnd w:id="23"/>
      <w:r w:rsidRPr="0078462D">
        <w:rPr>
          <w:rFonts w:hAnsi="宋体" w:hint="eastAsia"/>
          <w:szCs w:val="24"/>
        </w:rPr>
        <w:t xml:space="preserve"> </w:t>
      </w:r>
      <w:bookmarkEnd w:id="10"/>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lastRenderedPageBreak/>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2025年1月</w:t>
            </w:r>
            <w:r>
              <w:rPr>
                <w:szCs w:val="21"/>
              </w:rPr>
              <w:t>13</w:t>
            </w:r>
            <w:r>
              <w:rPr>
                <w:rFonts w:hint="eastAsia"/>
                <w:szCs w:val="21"/>
              </w:rPr>
              <w:t>日</w:t>
            </w:r>
          </w:p>
        </w:tc>
      </w:tr>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2025年1月</w:t>
            </w:r>
            <w:r>
              <w:rPr>
                <w:szCs w:val="21"/>
              </w:rPr>
              <w:t>14</w:t>
            </w:r>
            <w:r>
              <w:rPr>
                <w:rFonts w:hint="eastAsia"/>
                <w:szCs w:val="21"/>
              </w:rPr>
              <w:t>日</w:t>
            </w:r>
          </w:p>
        </w:tc>
      </w:tr>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2025年1月</w:t>
            </w:r>
            <w:r>
              <w:rPr>
                <w:szCs w:val="21"/>
              </w:rPr>
              <w:t>17</w:t>
            </w:r>
            <w:r>
              <w:rPr>
                <w:rFonts w:hint="eastAsia"/>
                <w:szCs w:val="21"/>
              </w:rPr>
              <w:t>日</w:t>
            </w:r>
          </w:p>
        </w:tc>
      </w:tr>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sidRPr="0078462D">
              <w:rPr>
                <w:rFonts w:hint="eastAsia"/>
                <w:szCs w:val="21"/>
              </w:rPr>
              <w:t>权益登记日下午上海证券交易所交易结束后，在中国证券登记结算有限责任公司上海分公司登记在册的本基金全体基金份额持有人。</w:t>
            </w:r>
          </w:p>
        </w:tc>
      </w:tr>
      <w:tr w:rsidR="00221CF1" w:rsidTr="00804771">
        <w:tc>
          <w:tcPr>
            <w:tcW w:w="3927" w:type="dxa"/>
            <w:tcBorders>
              <w:top w:val="single" w:sz="4" w:space="0" w:color="auto"/>
              <w:left w:val="single" w:sz="4" w:space="0" w:color="auto"/>
              <w:bottom w:val="single" w:sz="4" w:space="0" w:color="auto"/>
              <w:right w:val="single" w:sz="4" w:space="0" w:color="auto"/>
            </w:tcBorders>
            <w:vAlign w:val="center"/>
            <w:hideMark/>
          </w:tcPr>
          <w:p w:rsidR="00221CF1" w:rsidRDefault="00221CF1" w:rsidP="00804771">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color w:val="000000"/>
              </w:rPr>
              <w:t>本基金收益分配采取现金分红方式</w:t>
            </w:r>
            <w:r>
              <w:rPr>
                <w:rFonts w:hint="eastAsia"/>
                <w:szCs w:val="21"/>
              </w:rPr>
              <w:t>。</w:t>
            </w:r>
          </w:p>
        </w:tc>
      </w:tr>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根据国家税收规定，基金向投资者分配的基金收益，暂免征收所得税。</w:t>
            </w:r>
          </w:p>
        </w:tc>
      </w:tr>
      <w:tr w:rsidR="00221CF1" w:rsidTr="00804771">
        <w:tc>
          <w:tcPr>
            <w:tcW w:w="3927"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221CF1" w:rsidRDefault="00221CF1" w:rsidP="00804771">
            <w:r>
              <w:rPr>
                <w:rFonts w:hint="eastAsia"/>
                <w:szCs w:val="21"/>
              </w:rPr>
              <w:t>本基金本次分红免收分红手续费。</w:t>
            </w:r>
          </w:p>
        </w:tc>
      </w:tr>
    </w:tbl>
    <w:p w:rsidR="00221CF1" w:rsidRDefault="00221CF1" w:rsidP="00221CF1">
      <w:pPr>
        <w:pStyle w:val="XBRLTitle1"/>
        <w:tabs>
          <w:tab w:val="clear" w:pos="360"/>
        </w:tabs>
        <w:spacing w:before="156" w:line="360" w:lineRule="auto"/>
        <w:ind w:left="425" w:hanging="425"/>
        <w:jc w:val="left"/>
      </w:pPr>
      <w:bookmarkStart w:id="24" w:name="_Toc17898228"/>
      <w:bookmarkStart w:id="25" w:name="_Toc17897969"/>
      <w:bookmarkStart w:id="26" w:name="_Toc512519529"/>
      <w:bookmarkStart w:id="27" w:name="_Toc490050049"/>
      <w:bookmarkStart w:id="28" w:name="_Toc481075097"/>
      <w:bookmarkStart w:id="29" w:name="_Toc438646481"/>
      <w:bookmarkStart w:id="30" w:name="_Toc513295878"/>
      <w:bookmarkStart w:id="31" w:name="_Toc513295941"/>
      <w:bookmarkStart w:id="32" w:name="_Toc34322063"/>
      <w:bookmarkStart w:id="33" w:name="m201_01"/>
      <w:r>
        <w:rPr>
          <w:rFonts w:hAnsi="宋体" w:hint="eastAsia"/>
          <w:szCs w:val="24"/>
        </w:rPr>
        <w:t>其他需要提示的事项</w:t>
      </w:r>
      <w:bookmarkEnd w:id="24"/>
      <w:bookmarkEnd w:id="25"/>
      <w:bookmarkEnd w:id="26"/>
      <w:bookmarkEnd w:id="27"/>
      <w:bookmarkEnd w:id="28"/>
      <w:bookmarkEnd w:id="29"/>
      <w:bookmarkEnd w:id="30"/>
      <w:bookmarkEnd w:id="31"/>
      <w:bookmarkEnd w:id="32"/>
      <w:r>
        <w:rPr>
          <w:rFonts w:hAnsi="宋体" w:hint="eastAsia"/>
          <w:szCs w:val="24"/>
        </w:rPr>
        <w:t xml:space="preserve"> </w:t>
      </w:r>
    </w:p>
    <w:p w:rsidR="00221CF1" w:rsidRPr="00934630" w:rsidRDefault="00221CF1" w:rsidP="00221CF1">
      <w:pPr>
        <w:spacing w:line="360" w:lineRule="auto"/>
        <w:ind w:firstLineChars="200" w:firstLine="420"/>
        <w:jc w:val="left"/>
        <w:rPr>
          <w:szCs w:val="21"/>
        </w:rPr>
      </w:pPr>
      <w:r w:rsidRPr="00F33989">
        <w:rPr>
          <w:rFonts w:hint="eastAsia"/>
          <w:szCs w:val="21"/>
        </w:rPr>
        <w:t>（1）</w:t>
      </w:r>
      <w:r w:rsidRPr="00F33989">
        <w:rPr>
          <w:szCs w:val="21"/>
        </w:rPr>
        <w:t>本公司将于2025年1月</w:t>
      </w:r>
      <w:r w:rsidRPr="00F33989">
        <w:rPr>
          <w:rFonts w:hint="eastAsia"/>
          <w:szCs w:val="21"/>
        </w:rPr>
        <w:t>1</w:t>
      </w:r>
      <w:r w:rsidRPr="00F33989">
        <w:rPr>
          <w:szCs w:val="21"/>
        </w:rPr>
        <w:t>5日将拟分配的现金红利款足额划入中国证券登记结</w:t>
      </w:r>
      <w:r w:rsidRPr="00F33989">
        <w:rPr>
          <w:rFonts w:hint="eastAsia"/>
          <w:szCs w:val="21"/>
        </w:rPr>
        <w:t>算有限责任公司上海分公司的指定银行账户，中国证券登记结算有限责任公司上海分公司收到相应款项后，在</w:t>
      </w:r>
      <w:r w:rsidRPr="00F33989">
        <w:rPr>
          <w:szCs w:val="21"/>
        </w:rPr>
        <w:t>2025年1月</w:t>
      </w:r>
      <w:r w:rsidRPr="00F33989">
        <w:rPr>
          <w:rFonts w:hint="eastAsia"/>
          <w:szCs w:val="21"/>
        </w:rPr>
        <w:t>1</w:t>
      </w:r>
      <w:r w:rsidRPr="00F33989">
        <w:rPr>
          <w:szCs w:val="21"/>
        </w:rPr>
        <w:t>6日闭市后通过资金结算系统将现金</w:t>
      </w:r>
      <w:r w:rsidRPr="00F33989">
        <w:rPr>
          <w:rFonts w:hint="eastAsia"/>
          <w:szCs w:val="21"/>
        </w:rPr>
        <w:t>红利款划付给指定的证券公司，投资者可在红利发放日领取现金红利。未办理指定交易的投资者，其持有的现金红利暂由中国证券登记结算有限责任公司上海分公司保管，不计息。一旦投资者办</w:t>
      </w:r>
      <w:r w:rsidRPr="00934630">
        <w:rPr>
          <w:rFonts w:hint="eastAsia"/>
          <w:szCs w:val="21"/>
        </w:rPr>
        <w:t>理指定交易，中国证券登记结算有限责任公司上海分公司结算系统自动将尚未领取的现金红利划付给指定的证券公司。对于使用专用席位的投资者的现金红利，将根据中国证券登记结算有限责任公司的相关规定发放。</w:t>
      </w:r>
    </w:p>
    <w:p w:rsidR="00221CF1" w:rsidRDefault="00221CF1" w:rsidP="00221CF1">
      <w:pPr>
        <w:spacing w:line="360" w:lineRule="auto"/>
        <w:ind w:firstLineChars="200" w:firstLine="420"/>
        <w:jc w:val="left"/>
        <w:rPr>
          <w:szCs w:val="21"/>
        </w:rPr>
      </w:pPr>
      <w:r>
        <w:rPr>
          <w:rFonts w:hint="eastAsia"/>
          <w:szCs w:val="21"/>
        </w:rPr>
        <w:t>（2）</w:t>
      </w:r>
      <w:r w:rsidRPr="00934630">
        <w:rPr>
          <w:szCs w:val="21"/>
        </w:rPr>
        <w:t>权益登记日申请申购或买入的基金份额享有本次分红权益，权益登记日申请</w:t>
      </w:r>
      <w:r w:rsidRPr="00934630">
        <w:rPr>
          <w:rFonts w:hint="eastAsia"/>
          <w:szCs w:val="21"/>
        </w:rPr>
        <w:t>赎回或卖出的基金份额不享有本次分红权益。</w:t>
      </w:r>
      <w:r>
        <w:rPr>
          <w:rFonts w:hint="eastAsia"/>
          <w:szCs w:val="21"/>
        </w:rPr>
        <w:br/>
        <w:t xml:space="preserve">　　（</w:t>
      </w:r>
      <w:r>
        <w:rPr>
          <w:szCs w:val="21"/>
        </w:rPr>
        <w:t>3</w:t>
      </w:r>
      <w:r>
        <w:rPr>
          <w:rFonts w:hint="eastAsia"/>
          <w:szCs w:val="21"/>
        </w:rPr>
        <w:t>）基金分红导致基金净值变化不会改变基金的风险收益特征，不会降低基金投资风险或提高基金投资收益。</w:t>
      </w:r>
    </w:p>
    <w:p w:rsidR="00221CF1" w:rsidRDefault="00221CF1" w:rsidP="00221CF1">
      <w:pPr>
        <w:spacing w:line="360" w:lineRule="auto"/>
        <w:ind w:firstLineChars="200" w:firstLine="420"/>
        <w:jc w:val="left"/>
        <w:rPr>
          <w:szCs w:val="21"/>
        </w:rPr>
      </w:pPr>
      <w:r>
        <w:rPr>
          <w:rFonts w:hint="eastAsia"/>
          <w:szCs w:val="21"/>
        </w:rPr>
        <w:t>（4）咨询办法：本公司网站（www.tkfunds.com.cn）或全国免长途话费的客户服务电话（400-189-5522）。</w:t>
      </w:r>
    </w:p>
    <w:p w:rsidR="00221CF1" w:rsidRDefault="00221CF1" w:rsidP="00221CF1">
      <w:pPr>
        <w:spacing w:line="360" w:lineRule="auto"/>
        <w:ind w:firstLineChars="200" w:firstLine="420"/>
        <w:jc w:val="left"/>
      </w:pPr>
      <w:r>
        <w:rPr>
          <w:rFonts w:hint="eastAsia"/>
          <w:szCs w:val="21"/>
        </w:rPr>
        <w:t>（5）投资者可登录本公司网站查询本基金销售机构相关信息。</w:t>
      </w:r>
      <w:r>
        <w:rPr>
          <w:rFonts w:hint="eastAsia"/>
          <w:szCs w:val="21"/>
        </w:rPr>
        <w:br/>
        <w:t xml:space="preserve">　　风险提示：本基金管理人承诺以诚实信用、勤勉尽责的原则管理和运用基金资产，但不保证基金一定盈利，也不保证最低收益。基金的过往业绩并不预示其未来表现。投资有风险，敬请投资人于投资前认真阅读相关基金的基金合同、基金招募说明书和招募说明书（更新）等法律文件，并选择适合自己风险承受能力的投资品种进行投资。</w:t>
      </w:r>
      <w:r>
        <w:rPr>
          <w:rFonts w:hint="eastAsia"/>
          <w:szCs w:val="21"/>
        </w:rPr>
        <w:br/>
        <w:t xml:space="preserve">　　特此公告。</w:t>
      </w:r>
    </w:p>
    <w:p w:rsidR="00221CF1" w:rsidRDefault="00221CF1" w:rsidP="00221CF1">
      <w:pPr>
        <w:spacing w:line="360" w:lineRule="auto"/>
        <w:ind w:firstLineChars="600" w:firstLine="1446"/>
        <w:jc w:val="right"/>
        <w:rPr>
          <w:b/>
          <w:bCs/>
          <w:sz w:val="24"/>
          <w:szCs w:val="30"/>
        </w:rPr>
      </w:pPr>
      <w:r>
        <w:rPr>
          <w:rFonts w:hint="eastAsia"/>
          <w:b/>
          <w:bCs/>
          <w:sz w:val="24"/>
          <w:szCs w:val="30"/>
        </w:rPr>
        <w:t xml:space="preserve">　 </w:t>
      </w:r>
    </w:p>
    <w:p w:rsidR="00221CF1" w:rsidRDefault="00221CF1" w:rsidP="00221CF1">
      <w:pPr>
        <w:spacing w:line="360" w:lineRule="auto"/>
        <w:ind w:firstLineChars="600" w:firstLine="1446"/>
        <w:jc w:val="right"/>
      </w:pPr>
      <w:r>
        <w:rPr>
          <w:rFonts w:hint="eastAsia"/>
          <w:b/>
          <w:bCs/>
          <w:sz w:val="24"/>
          <w:szCs w:val="24"/>
        </w:rPr>
        <w:t>泰康基金管理有限公司</w:t>
      </w:r>
    </w:p>
    <w:p w:rsidR="00884B5D" w:rsidRDefault="00221CF1" w:rsidP="00050609">
      <w:pPr>
        <w:spacing w:line="360" w:lineRule="auto"/>
        <w:ind w:firstLineChars="600" w:firstLine="1446"/>
        <w:jc w:val="right"/>
      </w:pPr>
      <w:r>
        <w:rPr>
          <w:rFonts w:hint="eastAsia"/>
          <w:b/>
          <w:bCs/>
          <w:sz w:val="24"/>
          <w:szCs w:val="24"/>
        </w:rPr>
        <w:t>2025年1月</w:t>
      </w:r>
      <w:bookmarkEnd w:id="33"/>
      <w:r>
        <w:rPr>
          <w:rFonts w:hint="eastAsia"/>
          <w:b/>
          <w:bCs/>
          <w:sz w:val="24"/>
          <w:szCs w:val="24"/>
        </w:rPr>
        <w:t>9日</w:t>
      </w:r>
    </w:p>
    <w:sectPr w:rsidR="00884B5D" w:rsidSect="002A3543">
      <w:headerReference w:type="default" r:id="rId7"/>
      <w:footerReference w:type="default" r:id="rId8"/>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08" w:rsidRDefault="00CD7F08">
      <w:r>
        <w:separator/>
      </w:r>
    </w:p>
  </w:endnote>
  <w:endnote w:type="continuationSeparator" w:id="0">
    <w:p w:rsidR="00CD7F08" w:rsidRDefault="00CD7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C4" w:rsidRDefault="00221CF1">
    <w:pPr>
      <w:jc w:val="center"/>
    </w:pPr>
    <w:r>
      <w:rPr>
        <w:rFonts w:hint="eastAsia"/>
        <w:sz w:val="18"/>
        <w:szCs w:val="18"/>
      </w:rPr>
      <w:t>第</w:t>
    </w:r>
    <w:r>
      <w:rPr>
        <w:rFonts w:hint="eastAsia"/>
      </w:rPr>
      <w:t xml:space="preserve"> </w:t>
    </w:r>
    <w:r w:rsidR="002A3543">
      <w:rPr>
        <w:rFonts w:hint="eastAsia"/>
        <w:sz w:val="18"/>
        <w:szCs w:val="18"/>
      </w:rPr>
      <w:fldChar w:fldCharType="begin"/>
    </w:r>
    <w:r>
      <w:rPr>
        <w:rFonts w:hint="eastAsia"/>
        <w:sz w:val="18"/>
        <w:szCs w:val="18"/>
      </w:rPr>
      <w:instrText xml:space="preserve"> PAGE </w:instrText>
    </w:r>
    <w:r w:rsidR="002A3543">
      <w:rPr>
        <w:rFonts w:hint="eastAsia"/>
        <w:sz w:val="18"/>
        <w:szCs w:val="18"/>
      </w:rPr>
      <w:fldChar w:fldCharType="separate"/>
    </w:r>
    <w:r w:rsidR="0031407C">
      <w:rPr>
        <w:noProof/>
        <w:sz w:val="18"/>
        <w:szCs w:val="18"/>
      </w:rPr>
      <w:t>2</w:t>
    </w:r>
    <w:r w:rsidR="002A3543">
      <w:rPr>
        <w:rFonts w:hint="eastAsia"/>
        <w:sz w:val="18"/>
        <w:szCs w:val="18"/>
      </w:rPr>
      <w:fldChar w:fldCharType="end"/>
    </w:r>
    <w:r>
      <w:rPr>
        <w:rFonts w:hint="eastAsia"/>
        <w:sz w:val="18"/>
        <w:szCs w:val="18"/>
        <w:lang w:val="zh-CN"/>
      </w:rPr>
      <w:t>页 共</w:t>
    </w:r>
    <w:r>
      <w:rPr>
        <w:rFonts w:hint="eastAsia"/>
      </w:rPr>
      <w:t xml:space="preserve"> </w:t>
    </w:r>
    <w:r w:rsidR="002A3543">
      <w:rPr>
        <w:rFonts w:hint="eastAsia"/>
        <w:sz w:val="18"/>
        <w:szCs w:val="18"/>
      </w:rPr>
      <w:fldChar w:fldCharType="begin"/>
    </w:r>
    <w:r>
      <w:rPr>
        <w:rFonts w:hint="eastAsia"/>
        <w:sz w:val="18"/>
        <w:szCs w:val="18"/>
      </w:rPr>
      <w:instrText xml:space="preserve"> NUMPAGES  </w:instrText>
    </w:r>
    <w:r w:rsidR="002A3543">
      <w:rPr>
        <w:rFonts w:hint="eastAsia"/>
        <w:sz w:val="18"/>
        <w:szCs w:val="18"/>
      </w:rPr>
      <w:fldChar w:fldCharType="separate"/>
    </w:r>
    <w:r w:rsidR="0031407C">
      <w:rPr>
        <w:noProof/>
        <w:sz w:val="18"/>
        <w:szCs w:val="18"/>
      </w:rPr>
      <w:t>2</w:t>
    </w:r>
    <w:r w:rsidR="002A3543">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08" w:rsidRDefault="00CD7F08">
      <w:r>
        <w:separator/>
      </w:r>
    </w:p>
  </w:footnote>
  <w:footnote w:type="continuationSeparator" w:id="0">
    <w:p w:rsidR="00CD7F08" w:rsidRDefault="00CD7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C4" w:rsidRDefault="00221CF1">
    <w:pPr>
      <w:pStyle w:val="a3"/>
      <w:jc w:val="right"/>
    </w:pPr>
    <w:r w:rsidRPr="00C16027">
      <w:rPr>
        <w:rFonts w:hint="eastAsia"/>
      </w:rPr>
      <w:t>泰康中证</w:t>
    </w:r>
    <w:r w:rsidRPr="00C16027">
      <w:t>A500交易型开放式指数证券投资基金</w:t>
    </w:r>
    <w:r>
      <w:rPr>
        <w:rFonts w:hint="eastAsia"/>
      </w:rPr>
      <w:t>202</w:t>
    </w:r>
    <w:r>
      <w:t>5</w:t>
    </w:r>
    <w:r>
      <w:rPr>
        <w:rFonts w:hint="eastAsia"/>
      </w:rPr>
      <w:t>年第一次分红公告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CF1"/>
    <w:rsid w:val="00050609"/>
    <w:rsid w:val="00221CF1"/>
    <w:rsid w:val="002A3543"/>
    <w:rsid w:val="0031407C"/>
    <w:rsid w:val="00367531"/>
    <w:rsid w:val="00445245"/>
    <w:rsid w:val="006F34A2"/>
    <w:rsid w:val="00884B5D"/>
    <w:rsid w:val="00A61E57"/>
    <w:rsid w:val="00BA3B16"/>
    <w:rsid w:val="00CD7F08"/>
    <w:rsid w:val="00D41EED"/>
    <w:rsid w:val="00F13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F1"/>
    <w:pPr>
      <w:widowControl w:val="0"/>
      <w:jc w:val="both"/>
    </w:pPr>
    <w:rPr>
      <w:rFonts w:ascii="宋体" w:eastAsia="宋体" w:hAnsi="宋体" w:cs="宋体"/>
      <w:szCs w:val="20"/>
    </w:rPr>
  </w:style>
  <w:style w:type="paragraph" w:styleId="1">
    <w:name w:val="heading 1"/>
    <w:basedOn w:val="a"/>
    <w:next w:val="a"/>
    <w:link w:val="1Char"/>
    <w:uiPriority w:val="9"/>
    <w:qFormat/>
    <w:rsid w:val="00221C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21C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221C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rsid w:val="0022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221CF1"/>
    <w:rPr>
      <w:rFonts w:ascii="宋体" w:eastAsia="宋体" w:hAnsi="宋体" w:cs="宋体"/>
      <w:sz w:val="18"/>
      <w:szCs w:val="18"/>
    </w:rPr>
  </w:style>
  <w:style w:type="paragraph" w:customStyle="1" w:styleId="XBRLTitle6">
    <w:name w:val="XBRLTitle6"/>
    <w:basedOn w:val="a4"/>
    <w:next w:val="4"/>
    <w:qFormat/>
    <w:rsid w:val="00221CF1"/>
    <w:pPr>
      <w:keepNext/>
      <w:keepLines/>
      <w:numPr>
        <w:ilvl w:val="5"/>
        <w:numId w:val="1"/>
      </w:numPr>
      <w:tabs>
        <w:tab w:val="num" w:pos="360"/>
      </w:tabs>
      <w:spacing w:beforeLines="50" w:after="0" w:line="240" w:lineRule="auto"/>
      <w:ind w:left="0" w:firstLine="0"/>
      <w:jc w:val="left"/>
      <w:outlineLvl w:val="9"/>
    </w:pPr>
    <w:rPr>
      <w:rFonts w:ascii="Cambria" w:hAnsi="Cambria" w:cs="宋体"/>
      <w:kern w:val="24"/>
      <w:sz w:val="24"/>
      <w:lang/>
    </w:rPr>
  </w:style>
  <w:style w:type="paragraph" w:customStyle="1" w:styleId="XBRL2">
    <w:name w:val="XBRL标题2"/>
    <w:basedOn w:val="a4"/>
    <w:next w:val="4"/>
    <w:qFormat/>
    <w:rsid w:val="00221CF1"/>
    <w:pPr>
      <w:keepNext/>
      <w:keepLines/>
      <w:spacing w:beforeLines="50" w:after="0" w:line="240" w:lineRule="auto"/>
      <w:jc w:val="left"/>
    </w:pPr>
    <w:rPr>
      <w:rFonts w:ascii="Cambria" w:hAnsi="Cambria" w:cs="宋体"/>
      <w:kern w:val="24"/>
      <w:sz w:val="24"/>
      <w:lang/>
    </w:rPr>
  </w:style>
  <w:style w:type="paragraph" w:customStyle="1" w:styleId="XBRLTitle1">
    <w:name w:val="XBRLTitle1"/>
    <w:basedOn w:val="1"/>
    <w:next w:val="2"/>
    <w:qFormat/>
    <w:rsid w:val="00221CF1"/>
    <w:pPr>
      <w:keepNext w:val="0"/>
      <w:keepLines w:val="0"/>
      <w:numPr>
        <w:numId w:val="1"/>
      </w:numPr>
      <w:tabs>
        <w:tab w:val="num" w:pos="360"/>
      </w:tabs>
      <w:spacing w:beforeLines="50" w:after="0" w:line="240" w:lineRule="auto"/>
      <w:ind w:left="0" w:firstLine="0"/>
      <w:jc w:val="center"/>
    </w:pPr>
    <w:rPr>
      <w:rFonts w:hAnsi="Cambria"/>
      <w:sz w:val="24"/>
      <w:lang/>
    </w:rPr>
  </w:style>
  <w:style w:type="paragraph" w:customStyle="1" w:styleId="XBRLTitle2">
    <w:name w:val="XBRLTitle2"/>
    <w:basedOn w:val="a4"/>
    <w:next w:val="4"/>
    <w:qFormat/>
    <w:rsid w:val="00221CF1"/>
    <w:pPr>
      <w:numPr>
        <w:ilvl w:val="1"/>
        <w:numId w:val="1"/>
      </w:numPr>
      <w:tabs>
        <w:tab w:val="num" w:pos="360"/>
      </w:tabs>
      <w:spacing w:beforeLines="50" w:after="0" w:line="240" w:lineRule="auto"/>
      <w:ind w:left="454" w:firstLine="0"/>
      <w:jc w:val="left"/>
    </w:pPr>
    <w:rPr>
      <w:rFonts w:ascii="宋体" w:hAnsi="Cambria" w:cs="宋体"/>
      <w:kern w:val="24"/>
      <w:sz w:val="24"/>
      <w:lang/>
    </w:rPr>
  </w:style>
  <w:style w:type="paragraph" w:customStyle="1" w:styleId="XBRLTitle5">
    <w:name w:val="XBRLTitle5"/>
    <w:basedOn w:val="a4"/>
    <w:next w:val="4"/>
    <w:qFormat/>
    <w:rsid w:val="00221CF1"/>
    <w:pPr>
      <w:keepNext/>
      <w:keepLines/>
      <w:numPr>
        <w:ilvl w:val="4"/>
        <w:numId w:val="1"/>
      </w:numPr>
      <w:tabs>
        <w:tab w:val="num" w:pos="360"/>
      </w:tabs>
      <w:spacing w:beforeLines="50" w:after="0" w:line="240" w:lineRule="auto"/>
      <w:ind w:left="0" w:firstLine="0"/>
      <w:jc w:val="left"/>
      <w:outlineLvl w:val="9"/>
    </w:pPr>
    <w:rPr>
      <w:rFonts w:ascii="Cambria" w:hAnsi="Cambria" w:cs="宋体"/>
      <w:kern w:val="24"/>
      <w:sz w:val="24"/>
      <w:lang/>
    </w:rPr>
  </w:style>
  <w:style w:type="paragraph" w:customStyle="1" w:styleId="XBRLTitle4">
    <w:name w:val="XBRLTitle4"/>
    <w:basedOn w:val="a4"/>
    <w:next w:val="4"/>
    <w:qFormat/>
    <w:rsid w:val="00221CF1"/>
    <w:pPr>
      <w:keepNext/>
      <w:keepLines/>
      <w:numPr>
        <w:ilvl w:val="3"/>
        <w:numId w:val="1"/>
      </w:numPr>
      <w:tabs>
        <w:tab w:val="num" w:pos="360"/>
      </w:tabs>
      <w:spacing w:beforeLines="50" w:after="0" w:line="240" w:lineRule="auto"/>
      <w:ind w:left="0" w:firstLine="0"/>
      <w:jc w:val="left"/>
      <w:outlineLvl w:val="9"/>
    </w:pPr>
    <w:rPr>
      <w:rFonts w:ascii="Cambria" w:hAnsi="Cambria" w:cs="宋体"/>
      <w:kern w:val="24"/>
      <w:sz w:val="24"/>
      <w:lang/>
    </w:rPr>
  </w:style>
  <w:style w:type="paragraph" w:customStyle="1" w:styleId="XBRLTitle3">
    <w:name w:val="XBRLTitle3"/>
    <w:basedOn w:val="a4"/>
    <w:next w:val="4"/>
    <w:autoRedefine/>
    <w:qFormat/>
    <w:rsid w:val="00221CF1"/>
    <w:pPr>
      <w:numPr>
        <w:ilvl w:val="2"/>
        <w:numId w:val="1"/>
      </w:numPr>
      <w:tabs>
        <w:tab w:val="num" w:pos="360"/>
      </w:tabs>
      <w:spacing w:beforeLines="50" w:after="0" w:line="360" w:lineRule="auto"/>
      <w:ind w:left="0" w:firstLine="0"/>
      <w:jc w:val="left"/>
      <w:outlineLvl w:val="9"/>
    </w:pPr>
    <w:rPr>
      <w:rFonts w:ascii="宋体" w:hAnsi="Cambria" w:cs="宋体"/>
      <w:kern w:val="24"/>
      <w:sz w:val="24"/>
      <w:lang/>
    </w:rPr>
  </w:style>
  <w:style w:type="character" w:customStyle="1" w:styleId="Char1">
    <w:name w:val="页眉 Char1"/>
    <w:link w:val="a3"/>
    <w:uiPriority w:val="99"/>
    <w:locked/>
    <w:rsid w:val="00221CF1"/>
    <w:rPr>
      <w:rFonts w:ascii="宋体" w:eastAsia="宋体" w:hAnsi="宋体" w:cs="宋体"/>
      <w:sz w:val="18"/>
      <w:szCs w:val="18"/>
    </w:rPr>
  </w:style>
  <w:style w:type="paragraph" w:styleId="a4">
    <w:name w:val="Subtitle"/>
    <w:basedOn w:val="a"/>
    <w:next w:val="a"/>
    <w:link w:val="Char0"/>
    <w:uiPriority w:val="11"/>
    <w:qFormat/>
    <w:rsid w:val="00221CF1"/>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uiPriority w:val="11"/>
    <w:rsid w:val="00221CF1"/>
    <w:rPr>
      <w:rFonts w:asciiTheme="majorHAnsi" w:eastAsia="宋体" w:hAnsiTheme="majorHAnsi" w:cstheme="majorBidi"/>
      <w:b/>
      <w:bCs/>
      <w:kern w:val="28"/>
      <w:sz w:val="32"/>
      <w:szCs w:val="32"/>
    </w:rPr>
  </w:style>
  <w:style w:type="character" w:customStyle="1" w:styleId="4Char">
    <w:name w:val="标题 4 Char"/>
    <w:basedOn w:val="a0"/>
    <w:link w:val="4"/>
    <w:uiPriority w:val="9"/>
    <w:semiHidden/>
    <w:rsid w:val="00221CF1"/>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221CF1"/>
    <w:rPr>
      <w:rFonts w:ascii="宋体" w:eastAsia="宋体" w:hAnsi="宋体" w:cs="宋体"/>
      <w:b/>
      <w:bCs/>
      <w:kern w:val="44"/>
      <w:sz w:val="44"/>
      <w:szCs w:val="44"/>
    </w:rPr>
  </w:style>
  <w:style w:type="character" w:customStyle="1" w:styleId="2Char">
    <w:name w:val="标题 2 Char"/>
    <w:basedOn w:val="a0"/>
    <w:link w:val="2"/>
    <w:uiPriority w:val="9"/>
    <w:semiHidden/>
    <w:rsid w:val="00221CF1"/>
    <w:rPr>
      <w:rFonts w:asciiTheme="majorHAnsi" w:eastAsiaTheme="majorEastAsia" w:hAnsiTheme="majorHAnsi" w:cstheme="majorBidi"/>
      <w:b/>
      <w:bCs/>
      <w:sz w:val="32"/>
      <w:szCs w:val="32"/>
    </w:rPr>
  </w:style>
  <w:style w:type="paragraph" w:styleId="a5">
    <w:name w:val="Balloon Text"/>
    <w:basedOn w:val="a"/>
    <w:link w:val="Char2"/>
    <w:uiPriority w:val="99"/>
    <w:semiHidden/>
    <w:unhideWhenUsed/>
    <w:rsid w:val="00367531"/>
    <w:rPr>
      <w:sz w:val="18"/>
      <w:szCs w:val="18"/>
    </w:rPr>
  </w:style>
  <w:style w:type="character" w:customStyle="1" w:styleId="Char2">
    <w:name w:val="批注框文本 Char"/>
    <w:basedOn w:val="a0"/>
    <w:link w:val="a5"/>
    <w:uiPriority w:val="99"/>
    <w:semiHidden/>
    <w:rsid w:val="00367531"/>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1650</Characters>
  <Application>Microsoft Office Word</Application>
  <DocSecurity>4</DocSecurity>
  <Lines>13</Lines>
  <Paragraphs>3</Paragraphs>
  <ScaleCrop>false</ScaleCrop>
  <Company>Tkamc</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孙碧莲</dc:creator>
  <cp:keywords/>
  <dc:description/>
  <cp:lastModifiedBy>ZHONGM</cp:lastModifiedBy>
  <cp:revision>2</cp:revision>
  <cp:lastPrinted>2025-01-07T01:04:00Z</cp:lastPrinted>
  <dcterms:created xsi:type="dcterms:W3CDTF">2025-01-08T16:02:00Z</dcterms:created>
  <dcterms:modified xsi:type="dcterms:W3CDTF">2025-01-08T16:02:00Z</dcterms:modified>
</cp:coreProperties>
</file>