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72" w:rsidRPr="001E313D" w:rsidRDefault="00411A72" w:rsidP="00411A72">
      <w:pPr>
        <w:spacing w:line="360" w:lineRule="auto"/>
        <w:jc w:val="center"/>
        <w:rPr>
          <w:rFonts w:ascii="宋体" w:eastAsia="宋体" w:hAnsi="Times New Roman" w:cs="宋体"/>
          <w:b/>
          <w:color w:val="000000"/>
          <w:kern w:val="0"/>
          <w:szCs w:val="21"/>
        </w:rPr>
      </w:pPr>
      <w:r w:rsidRPr="001E313D">
        <w:rPr>
          <w:rFonts w:ascii="宋体" w:eastAsia="宋体" w:hAnsi="Times New Roman" w:cs="宋体" w:hint="eastAsia"/>
          <w:b/>
          <w:color w:val="000000"/>
          <w:kern w:val="0"/>
          <w:szCs w:val="21"/>
        </w:rPr>
        <w:t>平安基金管理有限公司</w:t>
      </w:r>
    </w:p>
    <w:p w:rsidR="000A100A" w:rsidRPr="00F50467" w:rsidRDefault="0002555A" w:rsidP="00F50467">
      <w:pPr>
        <w:spacing w:line="360" w:lineRule="auto"/>
        <w:jc w:val="center"/>
        <w:rPr>
          <w:rFonts w:ascii="宋体" w:eastAsia="宋体" w:hAnsi="Times New Roman" w:cs="宋体"/>
          <w:b/>
          <w:color w:val="000000"/>
          <w:kern w:val="0"/>
          <w:sz w:val="24"/>
          <w:szCs w:val="24"/>
        </w:rPr>
      </w:pPr>
      <w:r w:rsidRPr="0002555A">
        <w:rPr>
          <w:rFonts w:ascii="宋体" w:eastAsia="宋体" w:hAnsi="Times New Roman" w:cs="宋体" w:hint="eastAsia"/>
          <w:b/>
          <w:color w:val="000000"/>
          <w:kern w:val="0"/>
          <w:szCs w:val="21"/>
        </w:rPr>
        <w:t>关于旗下基金新增大同证券有限责任公司为申购赎回代办机构的公告</w:t>
      </w:r>
      <w:r w:rsidR="000A100A" w:rsidRPr="001E313D">
        <w:rPr>
          <w:rFonts w:ascii="宋体" w:eastAsia="宋体" w:hAnsi="Times New Roman" w:cs="宋体" w:hint="eastAsia"/>
          <w:b/>
          <w:color w:val="000000"/>
          <w:kern w:val="0"/>
          <w:szCs w:val="21"/>
        </w:rPr>
        <w:t xml:space="preserve"> </w:t>
      </w:r>
    </w:p>
    <w:p w:rsidR="00C554E1" w:rsidRPr="00C554E1" w:rsidRDefault="000A100A" w:rsidP="00C554E1">
      <w:pPr>
        <w:pStyle w:val="Default"/>
        <w:spacing w:line="360" w:lineRule="auto"/>
        <w:ind w:firstLineChars="200" w:firstLine="420"/>
        <w:rPr>
          <w:rFonts w:hAnsi="宋体"/>
          <w:sz w:val="21"/>
          <w:szCs w:val="21"/>
        </w:rPr>
      </w:pPr>
      <w:r w:rsidRPr="00F50467">
        <w:rPr>
          <w:rFonts w:hAnsi="宋体" w:hint="eastAsia"/>
          <w:sz w:val="21"/>
          <w:szCs w:val="21"/>
        </w:rPr>
        <w:t>根据平安基金管理有限公司（以下简称“本公司”）与</w:t>
      </w:r>
      <w:r w:rsidR="0002555A" w:rsidRPr="0002555A">
        <w:rPr>
          <w:rFonts w:hAnsi="宋体" w:hint="eastAsia"/>
          <w:sz w:val="21"/>
          <w:szCs w:val="21"/>
        </w:rPr>
        <w:t>大同证券有限责任公司</w:t>
      </w:r>
      <w:r w:rsidRPr="00F50467">
        <w:rPr>
          <w:rFonts w:hAnsi="宋体" w:hint="eastAsia"/>
          <w:sz w:val="21"/>
          <w:szCs w:val="21"/>
        </w:rPr>
        <w:t>签署的协议，并经</w:t>
      </w:r>
      <w:r w:rsidR="00D46B28">
        <w:rPr>
          <w:rFonts w:hAnsi="宋体" w:hint="eastAsia"/>
          <w:sz w:val="21"/>
          <w:szCs w:val="21"/>
        </w:rPr>
        <w:t>深圳证券交易所</w:t>
      </w:r>
      <w:r w:rsidR="0002555A">
        <w:rPr>
          <w:rFonts w:hAnsi="宋体" w:hint="eastAsia"/>
          <w:sz w:val="21"/>
          <w:szCs w:val="21"/>
        </w:rPr>
        <w:t>、上海证券交易所</w:t>
      </w:r>
      <w:r w:rsidRPr="00F50467">
        <w:rPr>
          <w:rFonts w:hAnsi="宋体" w:hint="eastAsia"/>
          <w:sz w:val="21"/>
          <w:szCs w:val="21"/>
        </w:rPr>
        <w:t>确认，本公司决定自</w:t>
      </w:r>
      <w:r w:rsidR="00075246" w:rsidRPr="00F50467">
        <w:rPr>
          <w:rFonts w:hAnsi="宋体"/>
          <w:sz w:val="21"/>
          <w:szCs w:val="21"/>
        </w:rPr>
        <w:t>202</w:t>
      </w:r>
      <w:r w:rsidR="0002555A">
        <w:rPr>
          <w:rFonts w:hAnsi="宋体"/>
          <w:sz w:val="21"/>
          <w:szCs w:val="21"/>
        </w:rPr>
        <w:t>5</w:t>
      </w:r>
      <w:r w:rsidR="00560140">
        <w:rPr>
          <w:rFonts w:hAnsi="宋体" w:hint="eastAsia"/>
          <w:sz w:val="21"/>
          <w:szCs w:val="21"/>
        </w:rPr>
        <w:t>年</w:t>
      </w:r>
      <w:r w:rsidR="0002555A">
        <w:rPr>
          <w:rFonts w:hAnsi="宋体"/>
          <w:sz w:val="21"/>
          <w:szCs w:val="21"/>
        </w:rPr>
        <w:t>1</w:t>
      </w:r>
      <w:r w:rsidRPr="00F50467">
        <w:rPr>
          <w:rFonts w:hAnsi="宋体" w:hint="eastAsia"/>
          <w:sz w:val="21"/>
          <w:szCs w:val="21"/>
        </w:rPr>
        <w:t>月</w:t>
      </w:r>
      <w:r w:rsidR="00D02E87">
        <w:rPr>
          <w:rFonts w:hAnsi="宋体"/>
          <w:sz w:val="21"/>
          <w:szCs w:val="21"/>
        </w:rPr>
        <w:t>8</w:t>
      </w:r>
      <w:r w:rsidRPr="00F50467">
        <w:rPr>
          <w:rFonts w:hAnsi="宋体" w:hint="eastAsia"/>
          <w:sz w:val="21"/>
          <w:szCs w:val="21"/>
        </w:rPr>
        <w:t>日起增加</w:t>
      </w:r>
      <w:r w:rsidR="00403E3C">
        <w:rPr>
          <w:rFonts w:hAnsi="宋体" w:hint="eastAsia"/>
          <w:sz w:val="21"/>
          <w:szCs w:val="21"/>
        </w:rPr>
        <w:t>以上机构</w:t>
      </w:r>
      <w:r w:rsidRPr="00F50467">
        <w:rPr>
          <w:rFonts w:hAnsi="宋体" w:hint="eastAsia"/>
          <w:sz w:val="21"/>
          <w:szCs w:val="21"/>
        </w:rPr>
        <w:t>为</w:t>
      </w:r>
      <w:r w:rsidR="00C554E1">
        <w:rPr>
          <w:rFonts w:hAnsi="宋体" w:hint="eastAsia"/>
          <w:sz w:val="21"/>
          <w:szCs w:val="21"/>
        </w:rPr>
        <w:t>如下基金的</w:t>
      </w:r>
      <w:r w:rsidR="00C554E1" w:rsidRPr="00F50467">
        <w:rPr>
          <w:rFonts w:hAnsi="宋体" w:hint="eastAsia"/>
          <w:sz w:val="21"/>
          <w:szCs w:val="21"/>
        </w:rPr>
        <w:t>申购</w:t>
      </w:r>
      <w:r w:rsidR="00C554E1" w:rsidRPr="00F50467">
        <w:rPr>
          <w:rFonts w:hAnsi="宋体"/>
          <w:sz w:val="21"/>
          <w:szCs w:val="21"/>
        </w:rPr>
        <w:t>赎回代办</w:t>
      </w:r>
      <w:r w:rsidR="00C554E1" w:rsidRPr="00F50467">
        <w:rPr>
          <w:rFonts w:hAnsi="宋体" w:hint="eastAsia"/>
          <w:sz w:val="21"/>
          <w:szCs w:val="21"/>
        </w:rPr>
        <w:t>券商</w:t>
      </w:r>
      <w:r w:rsidR="00C554E1">
        <w:rPr>
          <w:rFonts w:hAnsi="宋体" w:hint="eastAsia"/>
          <w:sz w:val="21"/>
          <w:szCs w:val="21"/>
        </w:rPr>
        <w:t>，</w:t>
      </w:r>
      <w:r w:rsidR="00C554E1" w:rsidRPr="00F50467">
        <w:rPr>
          <w:rFonts w:hAnsi="宋体" w:hint="eastAsia"/>
          <w:sz w:val="21"/>
          <w:szCs w:val="21"/>
        </w:rPr>
        <w:t>投资者可通过</w:t>
      </w:r>
      <w:r w:rsidR="00403E3C">
        <w:rPr>
          <w:rFonts w:hAnsi="宋体" w:hint="eastAsia"/>
          <w:sz w:val="21"/>
          <w:szCs w:val="21"/>
        </w:rPr>
        <w:t>以上机构</w:t>
      </w:r>
      <w:bookmarkStart w:id="0" w:name="_GoBack"/>
      <w:bookmarkEnd w:id="0"/>
      <w:r w:rsidR="00C554E1" w:rsidRPr="00F50467">
        <w:rPr>
          <w:rFonts w:hAnsi="宋体" w:hint="eastAsia"/>
          <w:sz w:val="21"/>
          <w:szCs w:val="21"/>
        </w:rPr>
        <w:t>办理以</w:t>
      </w:r>
      <w:r w:rsidR="00C554E1">
        <w:rPr>
          <w:rFonts w:hAnsi="宋体" w:hint="eastAsia"/>
          <w:sz w:val="21"/>
          <w:szCs w:val="21"/>
        </w:rPr>
        <w:t>下</w:t>
      </w:r>
      <w:r w:rsidR="00C554E1" w:rsidRPr="00F50467">
        <w:rPr>
          <w:rFonts w:hAnsi="宋体" w:hint="eastAsia"/>
          <w:sz w:val="21"/>
          <w:szCs w:val="21"/>
        </w:rPr>
        <w:t>基金的申购赎回业务。</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4624"/>
        <w:gridCol w:w="1194"/>
        <w:gridCol w:w="1951"/>
      </w:tblGrid>
      <w:tr w:rsidR="007154DC" w:rsidRPr="008C7E80" w:rsidTr="005A7E92">
        <w:trPr>
          <w:trHeight w:val="438"/>
          <w:jc w:val="center"/>
        </w:trPr>
        <w:tc>
          <w:tcPr>
            <w:tcW w:w="448" w:type="dxa"/>
            <w:shd w:val="clear" w:color="auto" w:fill="auto"/>
            <w:vAlign w:val="center"/>
            <w:hideMark/>
          </w:tcPr>
          <w:p w:rsidR="007154DC" w:rsidRPr="007154DC" w:rsidRDefault="007154DC" w:rsidP="007154DC">
            <w:pPr>
              <w:widowControl/>
              <w:jc w:val="left"/>
              <w:rPr>
                <w:rFonts w:ascii="宋体" w:eastAsia="宋体" w:hAnsi="宋体" w:cs="宋体"/>
                <w:color w:val="000000"/>
                <w:kern w:val="0"/>
                <w:szCs w:val="21"/>
              </w:rPr>
            </w:pPr>
            <w:r w:rsidRPr="007154DC">
              <w:rPr>
                <w:rFonts w:ascii="宋体" w:eastAsia="宋体" w:hAnsi="宋体" w:cs="宋体" w:hint="eastAsia"/>
                <w:color w:val="000000"/>
                <w:kern w:val="0"/>
                <w:szCs w:val="21"/>
              </w:rPr>
              <w:t>序号</w:t>
            </w:r>
          </w:p>
        </w:tc>
        <w:tc>
          <w:tcPr>
            <w:tcW w:w="4624" w:type="dxa"/>
            <w:shd w:val="clear" w:color="000000" w:fill="FFFFFF"/>
            <w:vAlign w:val="center"/>
            <w:hideMark/>
          </w:tcPr>
          <w:p w:rsidR="007154DC" w:rsidRPr="007154DC" w:rsidRDefault="007154DC" w:rsidP="007154DC">
            <w:pPr>
              <w:widowControl/>
              <w:jc w:val="left"/>
              <w:rPr>
                <w:rFonts w:ascii="宋体" w:eastAsia="宋体" w:hAnsi="宋体" w:cs="宋体"/>
                <w:color w:val="000000"/>
                <w:kern w:val="0"/>
                <w:szCs w:val="21"/>
              </w:rPr>
            </w:pPr>
            <w:r w:rsidRPr="007154DC">
              <w:rPr>
                <w:rFonts w:ascii="宋体" w:eastAsia="宋体" w:hAnsi="宋体" w:cs="宋体" w:hint="eastAsia"/>
                <w:color w:val="000000"/>
                <w:kern w:val="0"/>
                <w:szCs w:val="21"/>
              </w:rPr>
              <w:t>产品全称</w:t>
            </w:r>
          </w:p>
        </w:tc>
        <w:tc>
          <w:tcPr>
            <w:tcW w:w="1194" w:type="dxa"/>
            <w:shd w:val="clear" w:color="auto" w:fill="auto"/>
            <w:vAlign w:val="center"/>
            <w:hideMark/>
          </w:tcPr>
          <w:p w:rsidR="007154DC" w:rsidRPr="007154DC" w:rsidRDefault="007154DC" w:rsidP="007154DC">
            <w:pPr>
              <w:widowControl/>
              <w:jc w:val="left"/>
              <w:rPr>
                <w:rFonts w:ascii="宋体" w:eastAsia="宋体" w:hAnsi="宋体" w:cs="宋体"/>
                <w:color w:val="000000"/>
                <w:kern w:val="0"/>
                <w:szCs w:val="21"/>
              </w:rPr>
            </w:pPr>
            <w:r w:rsidRPr="008C7E80">
              <w:rPr>
                <w:rFonts w:ascii="宋体" w:eastAsia="宋体" w:hAnsi="宋体" w:cs="宋体" w:hint="eastAsia"/>
                <w:color w:val="000000"/>
                <w:kern w:val="0"/>
                <w:szCs w:val="21"/>
              </w:rPr>
              <w:t>基金代码</w:t>
            </w:r>
          </w:p>
        </w:tc>
        <w:tc>
          <w:tcPr>
            <w:tcW w:w="1951" w:type="dxa"/>
            <w:shd w:val="clear" w:color="000000" w:fill="FFFFFF"/>
            <w:vAlign w:val="center"/>
            <w:hideMark/>
          </w:tcPr>
          <w:p w:rsidR="007154DC" w:rsidRPr="007154DC" w:rsidRDefault="00597805" w:rsidP="007154D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场内</w:t>
            </w:r>
            <w:r w:rsidR="007154DC" w:rsidRPr="007154DC">
              <w:rPr>
                <w:rFonts w:ascii="宋体" w:eastAsia="宋体" w:hAnsi="宋体" w:cs="宋体" w:hint="eastAsia"/>
                <w:color w:val="000000"/>
                <w:kern w:val="0"/>
                <w:szCs w:val="21"/>
              </w:rPr>
              <w:t>简称</w:t>
            </w:r>
          </w:p>
        </w:tc>
      </w:tr>
      <w:tr w:rsidR="00C86E6D" w:rsidRPr="008C7E80" w:rsidTr="005A7E92">
        <w:trPr>
          <w:trHeight w:val="214"/>
          <w:jc w:val="center"/>
        </w:trPr>
        <w:tc>
          <w:tcPr>
            <w:tcW w:w="448" w:type="dxa"/>
            <w:shd w:val="clear" w:color="auto" w:fill="auto"/>
            <w:noWrap/>
            <w:vAlign w:val="center"/>
            <w:hideMark/>
          </w:tcPr>
          <w:p w:rsidR="00C86E6D" w:rsidRPr="007154DC" w:rsidRDefault="00C86E6D" w:rsidP="00C86E6D">
            <w:pPr>
              <w:widowControl/>
              <w:jc w:val="left"/>
              <w:rPr>
                <w:rFonts w:ascii="宋体" w:eastAsia="宋体" w:hAnsi="宋体" w:cs="宋体"/>
                <w:color w:val="000000"/>
                <w:kern w:val="0"/>
                <w:szCs w:val="21"/>
              </w:rPr>
            </w:pPr>
            <w:r w:rsidRPr="007154DC">
              <w:rPr>
                <w:rFonts w:ascii="宋体" w:eastAsia="宋体" w:hAnsi="宋体" w:cs="宋体" w:hint="eastAsia"/>
                <w:color w:val="000000"/>
                <w:kern w:val="0"/>
                <w:szCs w:val="21"/>
              </w:rPr>
              <w:t>1</w:t>
            </w:r>
          </w:p>
        </w:tc>
        <w:tc>
          <w:tcPr>
            <w:tcW w:w="4624"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平安港股通恒生中国企业交易型开放式指数证券投资基金</w:t>
            </w:r>
          </w:p>
        </w:tc>
        <w:tc>
          <w:tcPr>
            <w:tcW w:w="1194" w:type="dxa"/>
            <w:shd w:val="clear" w:color="auto" w:fill="auto"/>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159960</w:t>
            </w:r>
          </w:p>
        </w:tc>
        <w:tc>
          <w:tcPr>
            <w:tcW w:w="1951"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恒生中国企业ETF</w:t>
            </w:r>
          </w:p>
        </w:tc>
      </w:tr>
      <w:tr w:rsidR="00C86E6D" w:rsidRPr="008C7E80" w:rsidTr="005A7E92">
        <w:trPr>
          <w:trHeight w:val="214"/>
          <w:jc w:val="center"/>
        </w:trPr>
        <w:tc>
          <w:tcPr>
            <w:tcW w:w="448" w:type="dxa"/>
            <w:shd w:val="clear" w:color="auto" w:fill="auto"/>
            <w:noWrap/>
            <w:vAlign w:val="center"/>
            <w:hideMark/>
          </w:tcPr>
          <w:p w:rsidR="00C86E6D" w:rsidRPr="007154DC" w:rsidRDefault="00C86E6D" w:rsidP="00C86E6D">
            <w:pPr>
              <w:widowControl/>
              <w:jc w:val="left"/>
              <w:rPr>
                <w:rFonts w:ascii="宋体" w:eastAsia="宋体" w:hAnsi="宋体" w:cs="宋体"/>
                <w:color w:val="000000"/>
                <w:kern w:val="0"/>
                <w:szCs w:val="21"/>
              </w:rPr>
            </w:pPr>
            <w:r w:rsidRPr="007154DC">
              <w:rPr>
                <w:rFonts w:ascii="宋体" w:eastAsia="宋体" w:hAnsi="宋体" w:cs="宋体" w:hint="eastAsia"/>
                <w:color w:val="000000"/>
                <w:kern w:val="0"/>
                <w:szCs w:val="21"/>
              </w:rPr>
              <w:t>2</w:t>
            </w:r>
          </w:p>
        </w:tc>
        <w:tc>
          <w:tcPr>
            <w:tcW w:w="4624"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平安创业板交易型开放式指数证券投资基金</w:t>
            </w:r>
          </w:p>
        </w:tc>
        <w:tc>
          <w:tcPr>
            <w:tcW w:w="1194" w:type="dxa"/>
            <w:shd w:val="clear" w:color="auto" w:fill="auto"/>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159964</w:t>
            </w:r>
          </w:p>
        </w:tc>
        <w:tc>
          <w:tcPr>
            <w:tcW w:w="1951"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创业板ETF平安</w:t>
            </w:r>
          </w:p>
        </w:tc>
      </w:tr>
      <w:tr w:rsidR="00C86E6D" w:rsidRPr="008C7E80" w:rsidTr="005A7E92">
        <w:trPr>
          <w:trHeight w:val="214"/>
          <w:jc w:val="center"/>
        </w:trPr>
        <w:tc>
          <w:tcPr>
            <w:tcW w:w="448" w:type="dxa"/>
            <w:shd w:val="clear" w:color="auto" w:fill="auto"/>
            <w:noWrap/>
            <w:vAlign w:val="center"/>
            <w:hideMark/>
          </w:tcPr>
          <w:p w:rsidR="00C86E6D" w:rsidRPr="007154DC" w:rsidRDefault="00C86E6D" w:rsidP="00C86E6D">
            <w:pPr>
              <w:widowControl/>
              <w:jc w:val="left"/>
              <w:rPr>
                <w:rFonts w:ascii="宋体" w:eastAsia="宋体" w:hAnsi="宋体" w:cs="宋体"/>
                <w:color w:val="000000"/>
                <w:kern w:val="0"/>
                <w:szCs w:val="21"/>
              </w:rPr>
            </w:pPr>
            <w:r>
              <w:rPr>
                <w:rFonts w:ascii="宋体" w:eastAsia="宋体" w:hAnsi="宋体" w:cs="宋体"/>
                <w:color w:val="000000"/>
                <w:kern w:val="0"/>
                <w:szCs w:val="21"/>
              </w:rPr>
              <w:t>3</w:t>
            </w:r>
          </w:p>
        </w:tc>
        <w:tc>
          <w:tcPr>
            <w:tcW w:w="4624"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平安中证港股通医药卫生综合交易型开放式指数证券投资基金</w:t>
            </w:r>
          </w:p>
        </w:tc>
        <w:tc>
          <w:tcPr>
            <w:tcW w:w="1194" w:type="dxa"/>
            <w:shd w:val="clear" w:color="auto" w:fill="auto"/>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159718</w:t>
            </w:r>
          </w:p>
        </w:tc>
        <w:tc>
          <w:tcPr>
            <w:tcW w:w="1951"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港股医药ETF</w:t>
            </w:r>
          </w:p>
        </w:tc>
      </w:tr>
      <w:tr w:rsidR="00C86E6D" w:rsidRPr="008C7E80" w:rsidTr="005A7E92">
        <w:trPr>
          <w:trHeight w:val="214"/>
          <w:jc w:val="center"/>
        </w:trPr>
        <w:tc>
          <w:tcPr>
            <w:tcW w:w="448" w:type="dxa"/>
            <w:shd w:val="clear" w:color="auto" w:fill="auto"/>
            <w:noWrap/>
            <w:vAlign w:val="center"/>
            <w:hideMark/>
          </w:tcPr>
          <w:p w:rsidR="00C86E6D" w:rsidRPr="007154DC" w:rsidRDefault="00C86E6D" w:rsidP="00C86E6D">
            <w:pPr>
              <w:widowControl/>
              <w:jc w:val="left"/>
              <w:rPr>
                <w:rFonts w:ascii="宋体" w:eastAsia="宋体" w:hAnsi="宋体" w:cs="宋体"/>
                <w:color w:val="000000"/>
                <w:kern w:val="0"/>
                <w:szCs w:val="21"/>
              </w:rPr>
            </w:pPr>
            <w:r>
              <w:rPr>
                <w:rFonts w:ascii="宋体" w:eastAsia="宋体" w:hAnsi="宋体" w:cs="宋体"/>
                <w:color w:val="000000"/>
                <w:kern w:val="0"/>
                <w:szCs w:val="21"/>
              </w:rPr>
              <w:t>4</w:t>
            </w:r>
          </w:p>
        </w:tc>
        <w:tc>
          <w:tcPr>
            <w:tcW w:w="4624"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平安富时中国国企开放共赢交易型开放式指数证券投资基金</w:t>
            </w:r>
          </w:p>
        </w:tc>
        <w:tc>
          <w:tcPr>
            <w:tcW w:w="1194" w:type="dxa"/>
            <w:shd w:val="clear" w:color="auto" w:fill="auto"/>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159719</w:t>
            </w:r>
          </w:p>
        </w:tc>
        <w:tc>
          <w:tcPr>
            <w:tcW w:w="1951"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国企共赢ETF</w:t>
            </w:r>
          </w:p>
        </w:tc>
      </w:tr>
      <w:tr w:rsidR="00C86E6D" w:rsidRPr="008C7E80" w:rsidTr="005A7E92">
        <w:trPr>
          <w:trHeight w:val="214"/>
          <w:jc w:val="center"/>
        </w:trPr>
        <w:tc>
          <w:tcPr>
            <w:tcW w:w="448" w:type="dxa"/>
            <w:shd w:val="clear" w:color="auto" w:fill="auto"/>
            <w:noWrap/>
            <w:vAlign w:val="center"/>
            <w:hideMark/>
          </w:tcPr>
          <w:p w:rsidR="00C86E6D" w:rsidRPr="007154DC" w:rsidRDefault="00C86E6D" w:rsidP="00C86E6D">
            <w:pPr>
              <w:widowControl/>
              <w:jc w:val="left"/>
              <w:rPr>
                <w:rFonts w:ascii="宋体" w:eastAsia="宋体" w:hAnsi="宋体" w:cs="宋体"/>
                <w:color w:val="000000"/>
                <w:kern w:val="0"/>
                <w:szCs w:val="21"/>
              </w:rPr>
            </w:pPr>
            <w:r>
              <w:rPr>
                <w:rFonts w:ascii="宋体" w:eastAsia="宋体" w:hAnsi="宋体" w:cs="宋体"/>
                <w:color w:val="000000"/>
                <w:kern w:val="0"/>
                <w:szCs w:val="21"/>
              </w:rPr>
              <w:t>5</w:t>
            </w:r>
          </w:p>
        </w:tc>
        <w:tc>
          <w:tcPr>
            <w:tcW w:w="4624"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平安中证沪港深线上消费主题交易型开放式指数证券投资基金</w:t>
            </w:r>
          </w:p>
        </w:tc>
        <w:tc>
          <w:tcPr>
            <w:tcW w:w="1194" w:type="dxa"/>
            <w:shd w:val="clear" w:color="auto" w:fill="auto"/>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159793</w:t>
            </w:r>
          </w:p>
        </w:tc>
        <w:tc>
          <w:tcPr>
            <w:tcW w:w="1951"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线上消费ETF平安</w:t>
            </w:r>
          </w:p>
        </w:tc>
      </w:tr>
      <w:tr w:rsidR="00C86E6D" w:rsidRPr="008C7E80" w:rsidTr="005A7E92">
        <w:trPr>
          <w:trHeight w:val="214"/>
          <w:jc w:val="center"/>
        </w:trPr>
        <w:tc>
          <w:tcPr>
            <w:tcW w:w="448" w:type="dxa"/>
            <w:shd w:val="clear" w:color="auto" w:fill="auto"/>
            <w:noWrap/>
            <w:vAlign w:val="center"/>
            <w:hideMark/>
          </w:tcPr>
          <w:p w:rsidR="00C86E6D" w:rsidRPr="007154DC" w:rsidRDefault="00C86E6D" w:rsidP="00C86E6D">
            <w:pPr>
              <w:widowControl/>
              <w:jc w:val="left"/>
              <w:rPr>
                <w:rFonts w:ascii="宋体" w:eastAsia="宋体" w:hAnsi="宋体" w:cs="宋体"/>
                <w:color w:val="000000"/>
                <w:kern w:val="0"/>
                <w:szCs w:val="21"/>
              </w:rPr>
            </w:pPr>
            <w:r>
              <w:rPr>
                <w:rFonts w:ascii="宋体" w:eastAsia="宋体" w:hAnsi="宋体" w:cs="宋体"/>
                <w:color w:val="000000"/>
                <w:kern w:val="0"/>
                <w:szCs w:val="21"/>
              </w:rPr>
              <w:t>6</w:t>
            </w:r>
          </w:p>
        </w:tc>
        <w:tc>
          <w:tcPr>
            <w:tcW w:w="4624"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平安中债</w:t>
            </w:r>
            <w:r w:rsidRPr="00C86E6D">
              <w:rPr>
                <w:rFonts w:ascii="宋体" w:eastAsia="宋体" w:hAnsi="宋体" w:cs="宋体"/>
                <w:color w:val="000000"/>
                <w:kern w:val="0"/>
                <w:szCs w:val="21"/>
              </w:rPr>
              <w:t>-0-3 年国开行债券交易型开放式指数证券投资基金</w:t>
            </w:r>
          </w:p>
        </w:tc>
        <w:tc>
          <w:tcPr>
            <w:tcW w:w="1194" w:type="dxa"/>
            <w:shd w:val="clear" w:color="auto" w:fill="auto"/>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159651</w:t>
            </w:r>
          </w:p>
        </w:tc>
        <w:tc>
          <w:tcPr>
            <w:tcW w:w="1951" w:type="dxa"/>
            <w:shd w:val="clear" w:color="000000" w:fill="FFFFFF"/>
            <w:noWrap/>
            <w:hideMark/>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国开债券ETF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平安国证</w:t>
            </w:r>
            <w:r w:rsidRPr="00C86E6D">
              <w:rPr>
                <w:rFonts w:ascii="宋体" w:eastAsia="宋体" w:hAnsi="宋体" w:cs="宋体"/>
                <w:color w:val="000000"/>
                <w:kern w:val="0"/>
                <w:szCs w:val="21"/>
              </w:rPr>
              <w:t>2000交易型开放式指数证券投资基金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159521</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2000指数ETF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w:t>
            </w:r>
            <w:r w:rsidRPr="00C86E6D">
              <w:rPr>
                <w:rFonts w:ascii="宋体" w:eastAsia="宋体" w:hAnsi="宋体" w:cs="宋体"/>
                <w:color w:val="000000"/>
                <w:kern w:val="0"/>
                <w:szCs w:val="21"/>
              </w:rPr>
              <w:t>2000增强策略交易型开放式指数证券投资基金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159556</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中证2000ETF增强</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w:t>
            </w:r>
            <w:r w:rsidRPr="00C86E6D">
              <w:rPr>
                <w:rFonts w:ascii="宋体" w:eastAsia="宋体" w:hAnsi="宋体" w:cs="宋体"/>
                <w:color w:val="000000"/>
                <w:kern w:val="0"/>
                <w:szCs w:val="21"/>
              </w:rPr>
              <w:t>A50交易型开放式指数证券投资基金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159593</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中证A50指数ETF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平安中证沪深港黄金产业股票交易型开放式指数证券投资基金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159322</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黄金产业ETF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1</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平安中证汽车零部件主题交易型开放式指数证券投资基金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159306</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汽车零件ETF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2</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平安交易型货币市场基金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511700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场内货币ETF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平安沪深</w:t>
            </w:r>
            <w:r w:rsidRPr="00C86E6D">
              <w:rPr>
                <w:rFonts w:ascii="宋体" w:eastAsia="宋体" w:hAnsi="宋体" w:cs="宋体"/>
                <w:color w:val="000000"/>
                <w:kern w:val="0"/>
                <w:szCs w:val="21"/>
              </w:rPr>
              <w:t>300交易型开放式指数证券投资基金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510390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沪深300ETF平安</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w:t>
            </w:r>
            <w:r w:rsidRPr="00C86E6D">
              <w:rPr>
                <w:rFonts w:ascii="宋体" w:eastAsia="宋体" w:hAnsi="宋体" w:cs="宋体"/>
                <w:color w:val="000000"/>
                <w:kern w:val="0"/>
                <w:szCs w:val="21"/>
              </w:rPr>
              <w:t>500交易型开放式指数证券投资基金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510590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中证500ETF平安</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5</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w:t>
            </w:r>
            <w:r w:rsidRPr="00C86E6D">
              <w:rPr>
                <w:rFonts w:ascii="宋体" w:eastAsia="宋体" w:hAnsi="宋体" w:cs="宋体"/>
                <w:color w:val="000000"/>
                <w:kern w:val="0"/>
                <w:szCs w:val="21"/>
              </w:rPr>
              <w:t>MSCI中国A股低波动交易型开放式指数证券投资基金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512390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平安MSCI低波ETF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6</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w:t>
            </w:r>
            <w:r w:rsidRPr="00C86E6D">
              <w:rPr>
                <w:rFonts w:ascii="宋体" w:eastAsia="宋体" w:hAnsi="宋体" w:cs="宋体"/>
                <w:color w:val="000000"/>
                <w:kern w:val="0"/>
                <w:szCs w:val="21"/>
              </w:rPr>
              <w:t>MSCI中国A股国际交易型开放式指数证券投资基金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512360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平安MSCI国际ETF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7</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w:t>
            </w:r>
            <w:r w:rsidRPr="00C86E6D">
              <w:rPr>
                <w:rFonts w:ascii="宋体" w:eastAsia="宋体" w:hAnsi="宋体" w:cs="宋体"/>
                <w:color w:val="000000"/>
                <w:kern w:val="0"/>
                <w:szCs w:val="21"/>
              </w:rPr>
              <w:t>5-10年期国债活跃券交易型开放式指数证券投资基金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511020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活跃国债ETF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8</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平安中债</w:t>
            </w:r>
            <w:r w:rsidRPr="00C86E6D">
              <w:rPr>
                <w:rFonts w:ascii="宋体" w:eastAsia="宋体" w:hAnsi="宋体" w:cs="宋体"/>
                <w:color w:val="000000"/>
                <w:kern w:val="0"/>
                <w:szCs w:val="21"/>
              </w:rPr>
              <w:t>-中高等级公司债利差因子交易型开放式指数证券投资基金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511030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公司债ETF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9</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平安中证人工智能主题交易型开放式指数证券投资基金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512930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AI人工智能ETF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平安中证粤港澳大湾区发展主题交易型开放式指数证券投资基金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512970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大湾区ETF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r>
              <w:rPr>
                <w:rFonts w:ascii="宋体" w:eastAsia="宋体" w:hAnsi="宋体" w:cs="宋体"/>
                <w:color w:val="000000"/>
                <w:kern w:val="0"/>
                <w:szCs w:val="21"/>
              </w:rPr>
              <w:t>1</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平安中证新能源汽车产业交易型开放式指数证券投资基金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515700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新能车ETF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2</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平安中证光伏产业交易型开放式指数证券投资基金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516180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光伏ETF平安</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3</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平安中证畜牧养殖交易型开放式指数证券投资基金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516760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养殖ETF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平安中证医药及医疗器械创新交易型开放式指数证券投资基金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516820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医疗创新ETF</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5</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平安中证新材料主题交易型开放式指数证券投资基金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516890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新材料ETF平安</w:t>
            </w:r>
          </w:p>
        </w:tc>
      </w:tr>
      <w:tr w:rsidR="00C86E6D" w:rsidRPr="008C7E80" w:rsidTr="005A7E92">
        <w:trPr>
          <w:trHeight w:val="214"/>
          <w:jc w:val="center"/>
        </w:trPr>
        <w:tc>
          <w:tcPr>
            <w:tcW w:w="448" w:type="dxa"/>
            <w:shd w:val="clear" w:color="auto" w:fill="auto"/>
            <w:noWrap/>
            <w:vAlign w:val="center"/>
          </w:tcPr>
          <w:p w:rsidR="00C86E6D" w:rsidRDefault="00C86E6D" w:rsidP="00C86E6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6</w:t>
            </w:r>
          </w:p>
        </w:tc>
        <w:tc>
          <w:tcPr>
            <w:tcW w:w="4624"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hint="eastAsia"/>
                <w:color w:val="000000"/>
                <w:kern w:val="0"/>
                <w:szCs w:val="21"/>
              </w:rPr>
              <w:t>平安中证消费电子主题交易型开放式指数证券投资基金</w:t>
            </w:r>
          </w:p>
        </w:tc>
        <w:tc>
          <w:tcPr>
            <w:tcW w:w="1194" w:type="dxa"/>
            <w:shd w:val="clear" w:color="auto" w:fill="auto"/>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561600</w:t>
            </w:r>
          </w:p>
        </w:tc>
        <w:tc>
          <w:tcPr>
            <w:tcW w:w="1951" w:type="dxa"/>
            <w:shd w:val="clear" w:color="000000" w:fill="FFFFFF"/>
            <w:noWrap/>
          </w:tcPr>
          <w:p w:rsidR="00C86E6D" w:rsidRPr="00C86E6D" w:rsidRDefault="00C86E6D" w:rsidP="00C86E6D">
            <w:pPr>
              <w:rPr>
                <w:rFonts w:ascii="宋体" w:eastAsia="宋体" w:hAnsi="宋体" w:cs="宋体"/>
                <w:color w:val="000000"/>
                <w:kern w:val="0"/>
                <w:szCs w:val="21"/>
              </w:rPr>
            </w:pPr>
            <w:r w:rsidRPr="00C86E6D">
              <w:rPr>
                <w:rFonts w:ascii="宋体" w:eastAsia="宋体" w:hAnsi="宋体" w:cs="宋体"/>
                <w:color w:val="000000"/>
                <w:kern w:val="0"/>
                <w:szCs w:val="21"/>
              </w:rPr>
              <w:t>消费电子ETF</w:t>
            </w:r>
          </w:p>
        </w:tc>
      </w:tr>
    </w:tbl>
    <w:p w:rsidR="00411A72" w:rsidRPr="00911FDF" w:rsidRDefault="00411A72" w:rsidP="007154DC">
      <w:pPr>
        <w:pStyle w:val="Default"/>
        <w:spacing w:line="360" w:lineRule="auto"/>
        <w:ind w:firstLineChars="200" w:firstLine="420"/>
        <w:rPr>
          <w:sz w:val="21"/>
          <w:szCs w:val="21"/>
        </w:rPr>
      </w:pPr>
      <w:r w:rsidRPr="00911FDF">
        <w:rPr>
          <w:rFonts w:hint="eastAsia"/>
          <w:sz w:val="21"/>
          <w:szCs w:val="21"/>
        </w:rPr>
        <w:t xml:space="preserve">投资者可通过以下渠道咨询详情: </w:t>
      </w:r>
    </w:p>
    <w:p w:rsidR="0002555A" w:rsidRPr="0002555A" w:rsidRDefault="00D02E87" w:rsidP="0002555A">
      <w:pPr>
        <w:pStyle w:val="Default"/>
        <w:spacing w:line="360" w:lineRule="auto"/>
        <w:ind w:firstLineChars="200" w:firstLine="420"/>
        <w:rPr>
          <w:sz w:val="21"/>
          <w:szCs w:val="21"/>
        </w:rPr>
      </w:pPr>
      <w:r>
        <w:rPr>
          <w:rFonts w:hint="eastAsia"/>
          <w:sz w:val="21"/>
          <w:szCs w:val="21"/>
        </w:rPr>
        <w:t>1、</w:t>
      </w:r>
      <w:r w:rsidR="0002555A" w:rsidRPr="0002555A">
        <w:rPr>
          <w:rFonts w:hint="eastAsia"/>
          <w:sz w:val="21"/>
          <w:szCs w:val="21"/>
        </w:rPr>
        <w:t>大同证券有限责任公司</w:t>
      </w:r>
    </w:p>
    <w:p w:rsidR="0002555A" w:rsidRPr="0002555A" w:rsidRDefault="0002555A" w:rsidP="0002555A">
      <w:pPr>
        <w:pStyle w:val="Default"/>
        <w:spacing w:line="360" w:lineRule="auto"/>
        <w:ind w:firstLineChars="200" w:firstLine="420"/>
        <w:rPr>
          <w:sz w:val="21"/>
          <w:szCs w:val="21"/>
        </w:rPr>
      </w:pPr>
      <w:r w:rsidRPr="0002555A">
        <w:rPr>
          <w:rFonts w:hint="eastAsia"/>
          <w:sz w:val="21"/>
          <w:szCs w:val="21"/>
        </w:rPr>
        <w:t>客服电话：</w:t>
      </w:r>
      <w:r w:rsidRPr="0002555A">
        <w:rPr>
          <w:sz w:val="21"/>
          <w:szCs w:val="21"/>
        </w:rPr>
        <w:t>4007121212</w:t>
      </w:r>
    </w:p>
    <w:p w:rsidR="00D02E87" w:rsidRDefault="0002555A" w:rsidP="0002555A">
      <w:pPr>
        <w:pStyle w:val="Default"/>
        <w:spacing w:line="360" w:lineRule="auto"/>
        <w:ind w:firstLineChars="200" w:firstLine="420"/>
        <w:rPr>
          <w:sz w:val="21"/>
          <w:szCs w:val="21"/>
        </w:rPr>
      </w:pPr>
      <w:r w:rsidRPr="0002555A">
        <w:rPr>
          <w:rFonts w:hint="eastAsia"/>
          <w:sz w:val="21"/>
          <w:szCs w:val="21"/>
        </w:rPr>
        <w:t>网址：</w:t>
      </w:r>
      <w:r w:rsidRPr="0002555A">
        <w:rPr>
          <w:sz w:val="21"/>
          <w:szCs w:val="21"/>
        </w:rPr>
        <w:t>www.dtsbc.com.cn</w:t>
      </w:r>
      <w:r w:rsidR="00D02E87" w:rsidRPr="00D02E87">
        <w:rPr>
          <w:sz w:val="21"/>
          <w:szCs w:val="21"/>
        </w:rPr>
        <w:t xml:space="preserve"> </w:t>
      </w:r>
    </w:p>
    <w:p w:rsidR="00B04B28" w:rsidRDefault="00411A72" w:rsidP="00D02E87">
      <w:pPr>
        <w:pStyle w:val="Default"/>
        <w:spacing w:line="360" w:lineRule="auto"/>
        <w:ind w:firstLineChars="200" w:firstLine="420"/>
        <w:rPr>
          <w:sz w:val="21"/>
          <w:szCs w:val="21"/>
        </w:rPr>
      </w:pPr>
      <w:r w:rsidRPr="00911FDF">
        <w:rPr>
          <w:sz w:val="21"/>
          <w:szCs w:val="21"/>
        </w:rPr>
        <w:t>2</w:t>
      </w:r>
      <w:r w:rsidR="003C12DF">
        <w:rPr>
          <w:rFonts w:hint="eastAsia"/>
          <w:sz w:val="21"/>
          <w:szCs w:val="21"/>
        </w:rPr>
        <w:t>、</w:t>
      </w:r>
      <w:r w:rsidRPr="00911FDF">
        <w:rPr>
          <w:sz w:val="21"/>
          <w:szCs w:val="21"/>
        </w:rPr>
        <w:t>平安基金管理有限公司</w:t>
      </w:r>
    </w:p>
    <w:p w:rsidR="00411A72" w:rsidRPr="00911FDF" w:rsidRDefault="00411A72" w:rsidP="00B04B28">
      <w:pPr>
        <w:pStyle w:val="Default"/>
        <w:spacing w:line="360" w:lineRule="auto"/>
        <w:ind w:firstLineChars="200" w:firstLine="420"/>
        <w:rPr>
          <w:sz w:val="21"/>
          <w:szCs w:val="21"/>
        </w:rPr>
      </w:pPr>
      <w:r w:rsidRPr="00911FDF">
        <w:rPr>
          <w:sz w:val="21"/>
          <w:szCs w:val="21"/>
        </w:rPr>
        <w:t>客服电话：400</w:t>
      </w:r>
      <w:r w:rsidRPr="00911FDF">
        <w:rPr>
          <w:rFonts w:hint="eastAsia"/>
          <w:sz w:val="21"/>
          <w:szCs w:val="21"/>
        </w:rPr>
        <w:t>-</w:t>
      </w:r>
      <w:r w:rsidRPr="00911FDF">
        <w:rPr>
          <w:sz w:val="21"/>
          <w:szCs w:val="21"/>
        </w:rPr>
        <w:t>800</w:t>
      </w:r>
      <w:r w:rsidRPr="00911FDF">
        <w:rPr>
          <w:rFonts w:hint="eastAsia"/>
          <w:sz w:val="21"/>
          <w:szCs w:val="21"/>
        </w:rPr>
        <w:t>-</w:t>
      </w:r>
      <w:r w:rsidRPr="00911FDF">
        <w:rPr>
          <w:sz w:val="21"/>
          <w:szCs w:val="21"/>
        </w:rPr>
        <w:t>4800</w:t>
      </w:r>
    </w:p>
    <w:p w:rsidR="00411A72" w:rsidRPr="00911FDF" w:rsidRDefault="00411A72" w:rsidP="00B04B28">
      <w:pPr>
        <w:pStyle w:val="Default"/>
        <w:spacing w:line="360" w:lineRule="auto"/>
        <w:ind w:firstLineChars="200" w:firstLine="420"/>
        <w:rPr>
          <w:sz w:val="21"/>
          <w:szCs w:val="21"/>
        </w:rPr>
      </w:pPr>
      <w:r w:rsidRPr="00911FDF">
        <w:rPr>
          <w:sz w:val="21"/>
          <w:szCs w:val="21"/>
        </w:rPr>
        <w:t xml:space="preserve">网址：fund.pingan.com </w:t>
      </w:r>
    </w:p>
    <w:p w:rsidR="00411A72" w:rsidRPr="00911FDF" w:rsidRDefault="00911FDF" w:rsidP="00B626B6">
      <w:pPr>
        <w:pStyle w:val="Default"/>
        <w:spacing w:line="360" w:lineRule="auto"/>
        <w:ind w:firstLineChars="200" w:firstLine="422"/>
        <w:rPr>
          <w:sz w:val="21"/>
          <w:szCs w:val="21"/>
        </w:rPr>
      </w:pPr>
      <w:r w:rsidRPr="00911FDF">
        <w:rPr>
          <w:rFonts w:hint="eastAsia"/>
          <w:b/>
          <w:sz w:val="21"/>
          <w:szCs w:val="21"/>
        </w:rPr>
        <w:t>风险提示：</w:t>
      </w:r>
      <w:r w:rsidRPr="0046637C">
        <w:rPr>
          <w:rFonts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411A72" w:rsidRPr="00911FDF" w:rsidRDefault="00411A72" w:rsidP="00911FDF">
      <w:pPr>
        <w:pStyle w:val="Default"/>
        <w:spacing w:line="360" w:lineRule="auto"/>
        <w:rPr>
          <w:sz w:val="21"/>
          <w:szCs w:val="21"/>
        </w:rPr>
      </w:pPr>
      <w:r w:rsidRPr="00911FDF">
        <w:rPr>
          <w:rFonts w:hint="eastAsia"/>
          <w:sz w:val="21"/>
          <w:szCs w:val="21"/>
        </w:rPr>
        <w:t xml:space="preserve"> </w:t>
      </w:r>
      <w:r w:rsidR="00911FDF">
        <w:rPr>
          <w:sz w:val="21"/>
          <w:szCs w:val="21"/>
        </w:rPr>
        <w:t xml:space="preserve">   </w:t>
      </w:r>
      <w:r w:rsidRPr="00911FDF">
        <w:rPr>
          <w:rFonts w:hint="eastAsia"/>
          <w:sz w:val="21"/>
          <w:szCs w:val="21"/>
        </w:rPr>
        <w:t xml:space="preserve">特此公告。 </w:t>
      </w:r>
    </w:p>
    <w:p w:rsidR="00411A72" w:rsidRPr="00911FDF" w:rsidRDefault="00411A72" w:rsidP="00911FDF">
      <w:pPr>
        <w:pStyle w:val="Default"/>
        <w:spacing w:line="360" w:lineRule="auto"/>
        <w:rPr>
          <w:sz w:val="21"/>
          <w:szCs w:val="21"/>
        </w:rPr>
      </w:pPr>
      <w:r w:rsidRPr="00911FDF">
        <w:rPr>
          <w:rFonts w:hint="eastAsia"/>
          <w:sz w:val="21"/>
          <w:szCs w:val="21"/>
        </w:rPr>
        <w:t xml:space="preserve">                                             </w:t>
      </w:r>
      <w:r w:rsidR="00911FDF">
        <w:rPr>
          <w:sz w:val="21"/>
          <w:szCs w:val="21"/>
        </w:rPr>
        <w:t xml:space="preserve">              </w:t>
      </w:r>
      <w:r w:rsidRPr="00911FDF">
        <w:rPr>
          <w:rFonts w:hint="eastAsia"/>
          <w:sz w:val="21"/>
          <w:szCs w:val="21"/>
        </w:rPr>
        <w:t xml:space="preserve">平安基金管理有限公司 </w:t>
      </w:r>
    </w:p>
    <w:p w:rsidR="00411A72" w:rsidRPr="006425A5" w:rsidRDefault="00411A72" w:rsidP="00360DDF">
      <w:pPr>
        <w:pStyle w:val="Default"/>
        <w:spacing w:line="360" w:lineRule="auto"/>
        <w:jc w:val="right"/>
      </w:pPr>
      <w:r w:rsidRPr="006425A5">
        <w:rPr>
          <w:rFonts w:hint="eastAsia"/>
        </w:rPr>
        <w:t xml:space="preserve">                        </w:t>
      </w:r>
      <w:r>
        <w:rPr>
          <w:rFonts w:hint="eastAsia"/>
        </w:rPr>
        <w:t xml:space="preserve">                   </w:t>
      </w:r>
      <w:r w:rsidRPr="00360DDF">
        <w:rPr>
          <w:rFonts w:hint="eastAsia"/>
          <w:sz w:val="21"/>
          <w:szCs w:val="21"/>
        </w:rPr>
        <w:t xml:space="preserve"> </w:t>
      </w:r>
      <w:r w:rsidR="0002555A" w:rsidRPr="00F50467">
        <w:rPr>
          <w:rFonts w:hAnsi="宋体"/>
          <w:sz w:val="21"/>
          <w:szCs w:val="21"/>
        </w:rPr>
        <w:t>202</w:t>
      </w:r>
      <w:r w:rsidR="0002555A">
        <w:rPr>
          <w:rFonts w:hAnsi="宋体"/>
          <w:sz w:val="21"/>
          <w:szCs w:val="21"/>
        </w:rPr>
        <w:t>5</w:t>
      </w:r>
      <w:r w:rsidR="0002555A">
        <w:rPr>
          <w:rFonts w:hAnsi="宋体" w:hint="eastAsia"/>
          <w:sz w:val="21"/>
          <w:szCs w:val="21"/>
        </w:rPr>
        <w:t>年</w:t>
      </w:r>
      <w:r w:rsidR="0002555A">
        <w:rPr>
          <w:rFonts w:hAnsi="宋体"/>
          <w:sz w:val="21"/>
          <w:szCs w:val="21"/>
        </w:rPr>
        <w:t>1</w:t>
      </w:r>
      <w:r w:rsidR="0002555A" w:rsidRPr="00F50467">
        <w:rPr>
          <w:rFonts w:hAnsi="宋体" w:hint="eastAsia"/>
          <w:sz w:val="21"/>
          <w:szCs w:val="21"/>
        </w:rPr>
        <w:t>月</w:t>
      </w:r>
      <w:r w:rsidR="0002555A">
        <w:rPr>
          <w:rFonts w:hAnsi="宋体"/>
          <w:sz w:val="21"/>
          <w:szCs w:val="21"/>
        </w:rPr>
        <w:t>8</w:t>
      </w:r>
      <w:r w:rsidR="0002555A" w:rsidRPr="00F50467">
        <w:rPr>
          <w:rFonts w:hAnsi="宋体" w:hint="eastAsia"/>
          <w:sz w:val="21"/>
          <w:szCs w:val="21"/>
        </w:rPr>
        <w:t>日</w:t>
      </w:r>
    </w:p>
    <w:p w:rsidR="00F352C6" w:rsidRDefault="00F352C6"/>
    <w:sectPr w:rsidR="00F352C6" w:rsidSect="00767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BE1" w:rsidRDefault="00484BE1" w:rsidP="00411A72">
      <w:r>
        <w:separator/>
      </w:r>
    </w:p>
  </w:endnote>
  <w:endnote w:type="continuationSeparator" w:id="0">
    <w:p w:rsidR="00484BE1" w:rsidRDefault="00484BE1" w:rsidP="00411A7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BE1" w:rsidRDefault="00484BE1" w:rsidP="00411A72">
      <w:r>
        <w:separator/>
      </w:r>
    </w:p>
  </w:footnote>
  <w:footnote w:type="continuationSeparator" w:id="0">
    <w:p w:rsidR="00484BE1" w:rsidRDefault="00484BE1" w:rsidP="00411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340"/>
    <w:rsid w:val="00020834"/>
    <w:rsid w:val="000220C6"/>
    <w:rsid w:val="0002555A"/>
    <w:rsid w:val="00030E3A"/>
    <w:rsid w:val="0005360B"/>
    <w:rsid w:val="00075246"/>
    <w:rsid w:val="000946E6"/>
    <w:rsid w:val="000A100A"/>
    <w:rsid w:val="000D498D"/>
    <w:rsid w:val="000E5D68"/>
    <w:rsid w:val="00114281"/>
    <w:rsid w:val="0015367C"/>
    <w:rsid w:val="00172BDC"/>
    <w:rsid w:val="001814C5"/>
    <w:rsid w:val="001953B8"/>
    <w:rsid w:val="001B0EBF"/>
    <w:rsid w:val="001E313D"/>
    <w:rsid w:val="00294B8C"/>
    <w:rsid w:val="00360DDF"/>
    <w:rsid w:val="003B10F0"/>
    <w:rsid w:val="003C12DF"/>
    <w:rsid w:val="003C7351"/>
    <w:rsid w:val="00403E3C"/>
    <w:rsid w:val="00406C56"/>
    <w:rsid w:val="00411A72"/>
    <w:rsid w:val="00432496"/>
    <w:rsid w:val="004455C2"/>
    <w:rsid w:val="004778BD"/>
    <w:rsid w:val="00484BE1"/>
    <w:rsid w:val="004A0398"/>
    <w:rsid w:val="004A5276"/>
    <w:rsid w:val="004B163E"/>
    <w:rsid w:val="004B189B"/>
    <w:rsid w:val="004E6A2F"/>
    <w:rsid w:val="00545796"/>
    <w:rsid w:val="00546A41"/>
    <w:rsid w:val="00560140"/>
    <w:rsid w:val="00597805"/>
    <w:rsid w:val="005A5CCE"/>
    <w:rsid w:val="005A7E92"/>
    <w:rsid w:val="0061500D"/>
    <w:rsid w:val="00634D28"/>
    <w:rsid w:val="00681420"/>
    <w:rsid w:val="00697BBE"/>
    <w:rsid w:val="006E1F2C"/>
    <w:rsid w:val="006E66C8"/>
    <w:rsid w:val="00703BB4"/>
    <w:rsid w:val="00714F0B"/>
    <w:rsid w:val="007154DC"/>
    <w:rsid w:val="007164BB"/>
    <w:rsid w:val="007672E0"/>
    <w:rsid w:val="0077015F"/>
    <w:rsid w:val="007A08DD"/>
    <w:rsid w:val="007B0B31"/>
    <w:rsid w:val="007B4F3D"/>
    <w:rsid w:val="007F6926"/>
    <w:rsid w:val="008258B5"/>
    <w:rsid w:val="00842340"/>
    <w:rsid w:val="00846948"/>
    <w:rsid w:val="00854F9B"/>
    <w:rsid w:val="00872C88"/>
    <w:rsid w:val="008C7E80"/>
    <w:rsid w:val="008D4780"/>
    <w:rsid w:val="009113AA"/>
    <w:rsid w:val="00911FDF"/>
    <w:rsid w:val="00923443"/>
    <w:rsid w:val="00951898"/>
    <w:rsid w:val="009A095E"/>
    <w:rsid w:val="00A16F5E"/>
    <w:rsid w:val="00A31E1A"/>
    <w:rsid w:val="00A63B79"/>
    <w:rsid w:val="00A70318"/>
    <w:rsid w:val="00AA3942"/>
    <w:rsid w:val="00AD212E"/>
    <w:rsid w:val="00AE20AC"/>
    <w:rsid w:val="00B04B28"/>
    <w:rsid w:val="00B12D7F"/>
    <w:rsid w:val="00B17EF2"/>
    <w:rsid w:val="00B44ECC"/>
    <w:rsid w:val="00B53422"/>
    <w:rsid w:val="00B626B6"/>
    <w:rsid w:val="00B8039B"/>
    <w:rsid w:val="00BB7E35"/>
    <w:rsid w:val="00BF1A5E"/>
    <w:rsid w:val="00BF5916"/>
    <w:rsid w:val="00C03D2E"/>
    <w:rsid w:val="00C446F8"/>
    <w:rsid w:val="00C537B4"/>
    <w:rsid w:val="00C554E1"/>
    <w:rsid w:val="00C81DA9"/>
    <w:rsid w:val="00C86E6D"/>
    <w:rsid w:val="00CB6552"/>
    <w:rsid w:val="00CB7756"/>
    <w:rsid w:val="00CF074E"/>
    <w:rsid w:val="00D02E87"/>
    <w:rsid w:val="00D15826"/>
    <w:rsid w:val="00D276A1"/>
    <w:rsid w:val="00D35807"/>
    <w:rsid w:val="00D46B28"/>
    <w:rsid w:val="00D5778D"/>
    <w:rsid w:val="00E02D10"/>
    <w:rsid w:val="00E06260"/>
    <w:rsid w:val="00E17703"/>
    <w:rsid w:val="00E2244A"/>
    <w:rsid w:val="00E53277"/>
    <w:rsid w:val="00EB1D5F"/>
    <w:rsid w:val="00F32D15"/>
    <w:rsid w:val="00F352C6"/>
    <w:rsid w:val="00F450E6"/>
    <w:rsid w:val="00F50467"/>
    <w:rsid w:val="00F512B1"/>
    <w:rsid w:val="00F728FF"/>
    <w:rsid w:val="00F908A8"/>
    <w:rsid w:val="00FB6308"/>
    <w:rsid w:val="00FD0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A72"/>
    <w:rPr>
      <w:sz w:val="18"/>
      <w:szCs w:val="18"/>
    </w:rPr>
  </w:style>
  <w:style w:type="paragraph" w:styleId="a4">
    <w:name w:val="footer"/>
    <w:basedOn w:val="a"/>
    <w:link w:val="Char0"/>
    <w:uiPriority w:val="99"/>
    <w:unhideWhenUsed/>
    <w:rsid w:val="00411A72"/>
    <w:pPr>
      <w:tabs>
        <w:tab w:val="center" w:pos="4153"/>
        <w:tab w:val="right" w:pos="8306"/>
      </w:tabs>
      <w:snapToGrid w:val="0"/>
      <w:jc w:val="left"/>
    </w:pPr>
    <w:rPr>
      <w:sz w:val="18"/>
      <w:szCs w:val="18"/>
    </w:rPr>
  </w:style>
  <w:style w:type="character" w:customStyle="1" w:styleId="Char0">
    <w:name w:val="页脚 Char"/>
    <w:basedOn w:val="a0"/>
    <w:link w:val="a4"/>
    <w:uiPriority w:val="99"/>
    <w:rsid w:val="00411A72"/>
    <w:rPr>
      <w:sz w:val="18"/>
      <w:szCs w:val="18"/>
    </w:rPr>
  </w:style>
  <w:style w:type="paragraph" w:customStyle="1" w:styleId="Default">
    <w:name w:val="Default"/>
    <w:rsid w:val="00911FDF"/>
    <w:pPr>
      <w:widowControl w:val="0"/>
      <w:autoSpaceDE w:val="0"/>
      <w:autoSpaceDN w:val="0"/>
      <w:adjustRightInd w:val="0"/>
    </w:pPr>
    <w:rPr>
      <w:rFonts w:ascii="宋体" w:eastAsia="宋体" w:hAnsi="Times New Roman" w:cs="宋体"/>
      <w:color w:val="000000"/>
      <w:kern w:val="0"/>
      <w:sz w:val="24"/>
      <w:szCs w:val="24"/>
    </w:rPr>
  </w:style>
  <w:style w:type="character" w:styleId="a5">
    <w:name w:val="Hyperlink"/>
    <w:basedOn w:val="a0"/>
    <w:uiPriority w:val="99"/>
    <w:unhideWhenUsed/>
    <w:rsid w:val="003C12D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47284757">
      <w:bodyDiv w:val="1"/>
      <w:marLeft w:val="0"/>
      <w:marRight w:val="0"/>
      <w:marTop w:val="0"/>
      <w:marBottom w:val="0"/>
      <w:divBdr>
        <w:top w:val="none" w:sz="0" w:space="0" w:color="auto"/>
        <w:left w:val="none" w:sz="0" w:space="0" w:color="auto"/>
        <w:bottom w:val="none" w:sz="0" w:space="0" w:color="auto"/>
        <w:right w:val="none" w:sz="0" w:space="0" w:color="auto"/>
      </w:divBdr>
    </w:div>
    <w:div w:id="20088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4</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ZHONGM</cp:lastModifiedBy>
  <cp:revision>2</cp:revision>
  <dcterms:created xsi:type="dcterms:W3CDTF">2025-01-07T16:02:00Z</dcterms:created>
  <dcterms:modified xsi:type="dcterms:W3CDTF">2025-01-07T16:02:00Z</dcterms:modified>
</cp:coreProperties>
</file>