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906246" w:rsidRDefault="00E31073" w:rsidP="00E047F2">
      <w:pPr>
        <w:widowControl/>
        <w:spacing w:line="360" w:lineRule="auto"/>
        <w:jc w:val="center"/>
        <w:rPr>
          <w:rFonts w:ascii="Arial" w:hAnsi="Arial" w:cs="Arial"/>
          <w:b/>
          <w:bCs/>
          <w:kern w:val="0"/>
          <w:sz w:val="32"/>
          <w:szCs w:val="21"/>
        </w:rPr>
      </w:pPr>
      <w:bookmarkStart w:id="0" w:name="_GoBack"/>
      <w:bookmarkEnd w:id="0"/>
      <w:r w:rsidRPr="00E31073">
        <w:rPr>
          <w:rFonts w:ascii="Arial" w:hAnsi="Arial" w:cs="Arial" w:hint="eastAsia"/>
          <w:b/>
          <w:bCs/>
          <w:kern w:val="0"/>
          <w:sz w:val="32"/>
          <w:szCs w:val="21"/>
        </w:rPr>
        <w:t>关于景顺长城纳斯达克科技市值加权交易型开放式指数证券投资基金发起式联接基金</w:t>
      </w:r>
      <w:r w:rsidRPr="00E31073">
        <w:rPr>
          <w:rFonts w:ascii="Arial" w:hAnsi="Arial" w:cs="Arial" w:hint="eastAsia"/>
          <w:b/>
          <w:bCs/>
          <w:kern w:val="0"/>
          <w:sz w:val="32"/>
          <w:szCs w:val="21"/>
        </w:rPr>
        <w:t>(QDII) A</w:t>
      </w:r>
      <w:r w:rsidRPr="00E31073">
        <w:rPr>
          <w:rFonts w:ascii="Arial" w:hAnsi="Arial" w:cs="Arial" w:hint="eastAsia"/>
          <w:b/>
          <w:bCs/>
          <w:kern w:val="0"/>
          <w:sz w:val="32"/>
          <w:szCs w:val="21"/>
        </w:rPr>
        <w:t>、</w:t>
      </w:r>
      <w:r w:rsidRPr="00E31073">
        <w:rPr>
          <w:rFonts w:ascii="Arial" w:hAnsi="Arial" w:cs="Arial" w:hint="eastAsia"/>
          <w:b/>
          <w:bCs/>
          <w:kern w:val="0"/>
          <w:sz w:val="32"/>
          <w:szCs w:val="21"/>
        </w:rPr>
        <w:t>C</w:t>
      </w:r>
      <w:r w:rsidRPr="00E31073">
        <w:rPr>
          <w:rFonts w:ascii="Arial" w:hAnsi="Arial" w:cs="Arial" w:hint="eastAsia"/>
          <w:b/>
          <w:bCs/>
          <w:kern w:val="0"/>
          <w:sz w:val="32"/>
          <w:szCs w:val="21"/>
        </w:rPr>
        <w:t>、</w:t>
      </w:r>
      <w:r w:rsidRPr="00E31073">
        <w:rPr>
          <w:rFonts w:ascii="Arial" w:hAnsi="Arial" w:cs="Arial" w:hint="eastAsia"/>
          <w:b/>
          <w:bCs/>
          <w:kern w:val="0"/>
          <w:sz w:val="32"/>
          <w:szCs w:val="21"/>
        </w:rPr>
        <w:t>E</w:t>
      </w:r>
      <w:r w:rsidRPr="00E31073">
        <w:rPr>
          <w:rFonts w:ascii="Arial" w:hAnsi="Arial" w:cs="Arial" w:hint="eastAsia"/>
          <w:b/>
          <w:bCs/>
          <w:kern w:val="0"/>
          <w:sz w:val="32"/>
          <w:szCs w:val="21"/>
        </w:rPr>
        <w:t>类人民币份额新增东北证券为销售机构的公告</w:t>
      </w:r>
    </w:p>
    <w:p w:rsidR="0098471D" w:rsidRPr="00B96D69" w:rsidRDefault="0098471D">
      <w:pPr>
        <w:widowControl/>
        <w:spacing w:line="360" w:lineRule="auto"/>
        <w:jc w:val="center"/>
        <w:rPr>
          <w:rFonts w:ascii="Arial" w:hAnsi="Arial" w:cs="Arial"/>
          <w:kern w:val="0"/>
          <w:szCs w:val="21"/>
        </w:rPr>
      </w:pPr>
    </w:p>
    <w:p w:rsidR="00157191" w:rsidRPr="006E2C1C" w:rsidRDefault="000528B7" w:rsidP="008F2D12">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E31073">
        <w:rPr>
          <w:rFonts w:ascii="Arial" w:hAnsi="Arial" w:cs="Arial" w:hint="eastAsia"/>
          <w:szCs w:val="21"/>
        </w:rPr>
        <w:t>东北证券</w:t>
      </w:r>
      <w:r w:rsidR="0027383F" w:rsidRPr="0027383F">
        <w:rPr>
          <w:rFonts w:ascii="Arial" w:hAnsi="Arial" w:cs="Arial" w:hint="eastAsia"/>
          <w:szCs w:val="21"/>
        </w:rPr>
        <w:t>股份有限公司</w:t>
      </w:r>
      <w:r w:rsidR="00FD2208">
        <w:rPr>
          <w:rFonts w:ascii="Arial" w:hAnsi="Arial" w:cs="Arial" w:hint="eastAsia"/>
          <w:szCs w:val="21"/>
        </w:rPr>
        <w:t>（以下简称“</w:t>
      </w:r>
      <w:r w:rsidR="00E31073">
        <w:rPr>
          <w:rFonts w:ascii="Arial" w:hAnsi="Arial" w:cs="Arial" w:hint="eastAsia"/>
          <w:szCs w:val="21"/>
        </w:rPr>
        <w:t>东北证券</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786D29">
        <w:rPr>
          <w:rFonts w:ascii="Arial" w:hAnsi="Arial" w:cs="Arial"/>
          <w:szCs w:val="21"/>
        </w:rPr>
        <w:t>5</w:t>
      </w:r>
      <w:r w:rsidR="00032518" w:rsidRPr="007E66B4">
        <w:rPr>
          <w:rFonts w:ascii="Arial" w:hAnsi="Arial" w:cs="Arial" w:hint="eastAsia"/>
          <w:szCs w:val="21"/>
        </w:rPr>
        <w:t>年</w:t>
      </w:r>
      <w:r w:rsidR="00786D29">
        <w:rPr>
          <w:rFonts w:ascii="Arial" w:hAnsi="Arial" w:cs="Arial"/>
          <w:szCs w:val="21"/>
        </w:rPr>
        <w:t>1</w:t>
      </w:r>
      <w:r w:rsidR="00032518" w:rsidRPr="007E66B4">
        <w:rPr>
          <w:rFonts w:ascii="Arial" w:hAnsi="Arial" w:cs="Arial" w:hint="eastAsia"/>
          <w:szCs w:val="21"/>
        </w:rPr>
        <w:t>月</w:t>
      </w:r>
      <w:r w:rsidR="00786D29">
        <w:rPr>
          <w:rFonts w:ascii="Arial" w:hAnsi="Arial" w:cs="Arial"/>
          <w:szCs w:val="21"/>
        </w:rPr>
        <w:t>8</w:t>
      </w:r>
      <w:r w:rsidRPr="007E66B4">
        <w:rPr>
          <w:rFonts w:ascii="Arial" w:hAnsi="Arial" w:cs="Arial" w:hint="eastAsia"/>
          <w:szCs w:val="21"/>
        </w:rPr>
        <w:t>日起新增委托</w:t>
      </w:r>
      <w:r w:rsidR="00E31073">
        <w:rPr>
          <w:rFonts w:ascii="Arial" w:hAnsi="Arial" w:cs="Arial" w:hint="eastAsia"/>
          <w:szCs w:val="21"/>
        </w:rPr>
        <w:t>东北证券</w:t>
      </w:r>
      <w:r w:rsidR="004F0132" w:rsidRPr="007E66B4">
        <w:rPr>
          <w:rFonts w:ascii="Arial" w:hAnsi="Arial" w:cs="Arial" w:hint="eastAsia"/>
          <w:szCs w:val="21"/>
        </w:rPr>
        <w:t>销售</w:t>
      </w:r>
      <w:r w:rsidR="00B64721" w:rsidRPr="000147DB">
        <w:rPr>
          <w:rFonts w:ascii="Arial" w:hAnsi="Arial" w:cs="Arial" w:hint="eastAsia"/>
          <w:szCs w:val="21"/>
        </w:rPr>
        <w:t>本公司旗下</w:t>
      </w:r>
      <w:r w:rsidR="00786D29" w:rsidRPr="00786D29">
        <w:rPr>
          <w:rFonts w:ascii="Arial" w:hAnsi="Arial" w:cs="Arial" w:hint="eastAsia"/>
          <w:szCs w:val="21"/>
        </w:rPr>
        <w:t>景顺长城纳斯达克科技市值加权交易型开放式指数证券投资基金发起式联接基金</w:t>
      </w:r>
      <w:r w:rsidR="00786D29" w:rsidRPr="00786D29">
        <w:rPr>
          <w:rFonts w:ascii="Arial" w:hAnsi="Arial" w:cs="Arial" w:hint="eastAsia"/>
          <w:szCs w:val="21"/>
        </w:rPr>
        <w:t>(QDII) A</w:t>
      </w:r>
      <w:r w:rsidR="00786D29" w:rsidRPr="00786D29">
        <w:rPr>
          <w:rFonts w:ascii="Arial" w:hAnsi="Arial" w:cs="Arial" w:hint="eastAsia"/>
          <w:szCs w:val="21"/>
        </w:rPr>
        <w:t>、</w:t>
      </w:r>
      <w:r w:rsidR="00786D29" w:rsidRPr="00786D29">
        <w:rPr>
          <w:rFonts w:ascii="Arial" w:hAnsi="Arial" w:cs="Arial" w:hint="eastAsia"/>
          <w:szCs w:val="21"/>
        </w:rPr>
        <w:t>C</w:t>
      </w:r>
      <w:r w:rsidR="00786D29" w:rsidRPr="00786D29">
        <w:rPr>
          <w:rFonts w:ascii="Arial" w:hAnsi="Arial" w:cs="Arial" w:hint="eastAsia"/>
          <w:szCs w:val="21"/>
        </w:rPr>
        <w:t>、</w:t>
      </w:r>
      <w:r w:rsidR="00786D29" w:rsidRPr="00786D29">
        <w:rPr>
          <w:rFonts w:ascii="Arial" w:hAnsi="Arial" w:cs="Arial" w:hint="eastAsia"/>
          <w:szCs w:val="21"/>
        </w:rPr>
        <w:t>E</w:t>
      </w:r>
      <w:r w:rsidR="00786D29" w:rsidRPr="00786D29">
        <w:rPr>
          <w:rFonts w:ascii="Arial" w:hAnsi="Arial" w:cs="Arial" w:hint="eastAsia"/>
          <w:szCs w:val="21"/>
        </w:rPr>
        <w:t>类人民币份额</w:t>
      </w:r>
      <w:r w:rsidR="006B759B" w:rsidRPr="007E66B4">
        <w:rPr>
          <w:rFonts w:ascii="Arial" w:hAnsi="Arial" w:cs="Arial" w:hint="eastAsia"/>
          <w:szCs w:val="21"/>
        </w:rPr>
        <w:t>，具体的业务流程、办理时间和办理方式以</w:t>
      </w:r>
      <w:r w:rsidR="00E31073">
        <w:rPr>
          <w:rFonts w:ascii="Arial" w:hAnsi="Arial" w:cs="Arial" w:hint="eastAsia"/>
          <w:szCs w:val="21"/>
        </w:rPr>
        <w:t>东北证券</w:t>
      </w:r>
      <w:r w:rsidR="006B759B" w:rsidRPr="007E66B4">
        <w:rPr>
          <w:rFonts w:ascii="Arial" w:hAnsi="Arial" w:cs="Arial" w:hint="eastAsia"/>
          <w:szCs w:val="21"/>
        </w:rPr>
        <w:t>的规定为准。现将相关事项公告如下：</w:t>
      </w: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364" w:type="dxa"/>
        <w:tblInd w:w="-147" w:type="dxa"/>
        <w:tblLook w:val="04A0"/>
      </w:tblPr>
      <w:tblGrid>
        <w:gridCol w:w="1276"/>
        <w:gridCol w:w="2552"/>
        <w:gridCol w:w="1134"/>
        <w:gridCol w:w="1276"/>
        <w:gridCol w:w="2126"/>
      </w:tblGrid>
      <w:tr w:rsidR="002B7241" w:rsidRPr="00B64721" w:rsidTr="00E06666">
        <w:trPr>
          <w:trHeight w:val="288"/>
        </w:trPr>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552"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126"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6E4966" w:rsidRPr="00B64721" w:rsidTr="00E06666">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tcPr>
          <w:p w:rsidR="006E4966" w:rsidRPr="00FD796D" w:rsidRDefault="006E4966" w:rsidP="006E4966">
            <w:pPr>
              <w:widowControl/>
              <w:jc w:val="center"/>
              <w:rPr>
                <w:rFonts w:ascii="Arial" w:hAnsi="Arial" w:cs="Arial"/>
              </w:rPr>
            </w:pPr>
            <w:r w:rsidRPr="006E4966">
              <w:rPr>
                <w:rFonts w:ascii="Arial" w:hAnsi="Arial" w:cs="Arial"/>
              </w:rPr>
              <w:t>017091</w:t>
            </w:r>
          </w:p>
        </w:tc>
        <w:tc>
          <w:tcPr>
            <w:tcW w:w="2552" w:type="dxa"/>
            <w:tcBorders>
              <w:top w:val="nil"/>
              <w:left w:val="nil"/>
              <w:bottom w:val="single" w:sz="4" w:space="0" w:color="auto"/>
              <w:right w:val="single" w:sz="4" w:space="0" w:color="auto"/>
            </w:tcBorders>
            <w:shd w:val="clear" w:color="000000" w:fill="FFFFFF"/>
            <w:noWrap/>
            <w:vAlign w:val="center"/>
          </w:tcPr>
          <w:p w:rsidR="006E4966" w:rsidRPr="006D0DD1" w:rsidRDefault="006E4966" w:rsidP="006E4966">
            <w:pPr>
              <w:widowControl/>
              <w:jc w:val="center"/>
              <w:rPr>
                <w:rFonts w:ascii="Arial" w:hAnsi="Arial" w:cs="Arial"/>
              </w:rPr>
            </w:pPr>
            <w:r w:rsidRPr="006E4966">
              <w:rPr>
                <w:rFonts w:ascii="Arial" w:hAnsi="Arial" w:cs="Arial" w:hint="eastAsia"/>
              </w:rPr>
              <w:t>景顺长城纳斯达克科技市值加权交易型开放式指数证券投资基金发起式联接基金（</w:t>
            </w:r>
            <w:r w:rsidRPr="006E4966">
              <w:rPr>
                <w:rFonts w:ascii="Arial" w:hAnsi="Arial" w:cs="Arial" w:hint="eastAsia"/>
              </w:rPr>
              <w:t>QDII</w:t>
            </w:r>
            <w:r w:rsidRPr="006E4966">
              <w:rPr>
                <w:rFonts w:ascii="Arial" w:hAnsi="Arial" w:cs="Arial" w:hint="eastAsia"/>
              </w:rPr>
              <w:t>）</w:t>
            </w:r>
            <w:r w:rsidRPr="006E4966">
              <w:rPr>
                <w:rFonts w:ascii="Arial" w:hAnsi="Arial" w:cs="Arial" w:hint="eastAsia"/>
              </w:rPr>
              <w:t>A</w:t>
            </w:r>
            <w:r w:rsidRPr="006E4966">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6E4966" w:rsidRPr="000E3694" w:rsidRDefault="006E4966" w:rsidP="006E4966">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6E4966" w:rsidRPr="000E3694" w:rsidRDefault="006E4966" w:rsidP="006E4966">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6E4966" w:rsidRDefault="006E4966" w:rsidP="006E4966">
            <w:pPr>
              <w:widowControl/>
              <w:jc w:val="center"/>
              <w:rPr>
                <w:rFonts w:ascii="Arial" w:hAnsi="Arial" w:cs="Arial"/>
              </w:rPr>
            </w:pPr>
            <w:r>
              <w:rPr>
                <w:rFonts w:ascii="Arial" w:hAnsi="Arial" w:cs="Arial" w:hint="eastAsia"/>
              </w:rPr>
              <w:t>是</w:t>
            </w:r>
          </w:p>
        </w:tc>
      </w:tr>
      <w:tr w:rsidR="006E4966" w:rsidRPr="00B64721" w:rsidTr="00E06666">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tcPr>
          <w:p w:rsidR="006E4966" w:rsidRPr="00FD796D" w:rsidRDefault="006E4966" w:rsidP="006E4966">
            <w:pPr>
              <w:widowControl/>
              <w:jc w:val="center"/>
              <w:rPr>
                <w:rFonts w:ascii="Arial" w:hAnsi="Arial" w:cs="Arial"/>
              </w:rPr>
            </w:pPr>
            <w:r w:rsidRPr="006E4966">
              <w:rPr>
                <w:rFonts w:ascii="Arial" w:hAnsi="Arial" w:cs="Arial"/>
              </w:rPr>
              <w:t>017093</w:t>
            </w:r>
          </w:p>
        </w:tc>
        <w:tc>
          <w:tcPr>
            <w:tcW w:w="2552" w:type="dxa"/>
            <w:tcBorders>
              <w:top w:val="nil"/>
              <w:left w:val="nil"/>
              <w:bottom w:val="single" w:sz="4" w:space="0" w:color="auto"/>
              <w:right w:val="single" w:sz="4" w:space="0" w:color="auto"/>
            </w:tcBorders>
            <w:shd w:val="clear" w:color="000000" w:fill="FFFFFF"/>
            <w:noWrap/>
            <w:vAlign w:val="center"/>
          </w:tcPr>
          <w:p w:rsidR="006E4966" w:rsidRPr="006D0DD1" w:rsidRDefault="006E4966" w:rsidP="006E4966">
            <w:pPr>
              <w:widowControl/>
              <w:jc w:val="center"/>
              <w:rPr>
                <w:rFonts w:ascii="Arial" w:hAnsi="Arial" w:cs="Arial"/>
              </w:rPr>
            </w:pPr>
            <w:r w:rsidRPr="006E4966">
              <w:rPr>
                <w:rFonts w:ascii="Arial" w:hAnsi="Arial" w:cs="Arial" w:hint="eastAsia"/>
              </w:rPr>
              <w:t>景顺长城纳斯达克科技市值加权交易型开放式指数证券投资基金发起式联接基金（</w:t>
            </w:r>
            <w:r w:rsidRPr="006E4966">
              <w:rPr>
                <w:rFonts w:ascii="Arial" w:hAnsi="Arial" w:cs="Arial" w:hint="eastAsia"/>
              </w:rPr>
              <w:t>QDII</w:t>
            </w:r>
            <w:r w:rsidRPr="006E4966">
              <w:rPr>
                <w:rFonts w:ascii="Arial" w:hAnsi="Arial" w:cs="Arial" w:hint="eastAsia"/>
              </w:rPr>
              <w:t>）</w:t>
            </w:r>
            <w:r w:rsidRPr="006E4966">
              <w:rPr>
                <w:rFonts w:ascii="Arial" w:hAnsi="Arial" w:cs="Arial" w:hint="eastAsia"/>
              </w:rPr>
              <w:t>C</w:t>
            </w:r>
            <w:r w:rsidRPr="006E4966">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6E4966" w:rsidRPr="000E3694" w:rsidRDefault="006E4966" w:rsidP="006E4966">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6E4966" w:rsidRPr="000E3694" w:rsidRDefault="006E4966" w:rsidP="006E4966">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6E4966" w:rsidRDefault="006E4966" w:rsidP="006E4966">
            <w:pPr>
              <w:widowControl/>
              <w:jc w:val="center"/>
              <w:rPr>
                <w:rFonts w:ascii="Arial" w:hAnsi="Arial" w:cs="Arial"/>
              </w:rPr>
            </w:pPr>
            <w:r>
              <w:rPr>
                <w:rFonts w:ascii="Arial" w:hAnsi="Arial" w:cs="Arial" w:hint="eastAsia"/>
              </w:rPr>
              <w:t>不适用</w:t>
            </w:r>
          </w:p>
        </w:tc>
      </w:tr>
      <w:tr w:rsidR="000E3694" w:rsidRPr="00B64721" w:rsidTr="00E06666">
        <w:trPr>
          <w:trHeight w:val="288"/>
        </w:trPr>
        <w:tc>
          <w:tcPr>
            <w:tcW w:w="1276" w:type="dxa"/>
            <w:tcBorders>
              <w:top w:val="nil"/>
              <w:left w:val="single" w:sz="4" w:space="0" w:color="auto"/>
              <w:bottom w:val="single" w:sz="4" w:space="0" w:color="auto"/>
              <w:right w:val="single" w:sz="4" w:space="0" w:color="auto"/>
            </w:tcBorders>
            <w:shd w:val="clear" w:color="auto" w:fill="auto"/>
            <w:noWrap/>
            <w:vAlign w:val="center"/>
          </w:tcPr>
          <w:p w:rsidR="000E3694" w:rsidRPr="00B64721" w:rsidRDefault="00FD796D" w:rsidP="000E3694">
            <w:pPr>
              <w:widowControl/>
              <w:jc w:val="center"/>
              <w:rPr>
                <w:rFonts w:ascii="Arial" w:hAnsi="Arial" w:cs="Arial"/>
              </w:rPr>
            </w:pPr>
            <w:r w:rsidRPr="00FD796D">
              <w:rPr>
                <w:rFonts w:ascii="Arial" w:hAnsi="Arial" w:cs="Arial"/>
              </w:rPr>
              <w:t>019118</w:t>
            </w:r>
          </w:p>
        </w:tc>
        <w:tc>
          <w:tcPr>
            <w:tcW w:w="2552" w:type="dxa"/>
            <w:tcBorders>
              <w:top w:val="nil"/>
              <w:left w:val="nil"/>
              <w:bottom w:val="single" w:sz="4" w:space="0" w:color="auto"/>
              <w:right w:val="single" w:sz="4" w:space="0" w:color="auto"/>
            </w:tcBorders>
            <w:shd w:val="clear" w:color="000000" w:fill="FFFFFF"/>
            <w:noWrap/>
            <w:vAlign w:val="center"/>
          </w:tcPr>
          <w:p w:rsidR="000E3694" w:rsidRPr="00B64721" w:rsidRDefault="006D0DD1" w:rsidP="000E3694">
            <w:pPr>
              <w:widowControl/>
              <w:jc w:val="center"/>
              <w:rPr>
                <w:rFonts w:ascii="Arial" w:hAnsi="Arial" w:cs="Arial"/>
              </w:rPr>
            </w:pPr>
            <w:r w:rsidRPr="006D0DD1">
              <w:rPr>
                <w:rFonts w:ascii="Arial" w:hAnsi="Arial" w:cs="Arial" w:hint="eastAsia"/>
              </w:rPr>
              <w:t>景顺长城纳斯达克科技市值加权交易型开放式指数证券投资基金发起式联接基金（</w:t>
            </w:r>
            <w:r w:rsidRPr="006D0DD1">
              <w:rPr>
                <w:rFonts w:ascii="Arial" w:hAnsi="Arial" w:cs="Arial" w:hint="eastAsia"/>
              </w:rPr>
              <w:t>QDII</w:t>
            </w:r>
            <w:r w:rsidRPr="006D0DD1">
              <w:rPr>
                <w:rFonts w:ascii="Arial" w:hAnsi="Arial" w:cs="Arial" w:hint="eastAsia"/>
              </w:rPr>
              <w:t>）</w:t>
            </w:r>
            <w:r w:rsidR="00B96D69">
              <w:rPr>
                <w:rFonts w:ascii="Arial" w:hAnsi="Arial" w:cs="Arial"/>
              </w:rPr>
              <w:t>E</w:t>
            </w:r>
            <w:r w:rsidRPr="006D0DD1">
              <w:rPr>
                <w:rFonts w:ascii="Arial" w:hAnsi="Arial" w:cs="Arial" w:hint="eastAsia"/>
              </w:rPr>
              <w:t>人民币</w:t>
            </w:r>
          </w:p>
        </w:tc>
        <w:tc>
          <w:tcPr>
            <w:tcW w:w="1134"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1276" w:type="dxa"/>
            <w:tcBorders>
              <w:top w:val="nil"/>
              <w:left w:val="nil"/>
              <w:bottom w:val="single" w:sz="4" w:space="0" w:color="auto"/>
              <w:right w:val="single" w:sz="4" w:space="0" w:color="auto"/>
            </w:tcBorders>
            <w:shd w:val="clear" w:color="000000" w:fill="FFFFFF"/>
            <w:vAlign w:val="center"/>
          </w:tcPr>
          <w:p w:rsidR="000E3694" w:rsidRPr="00B64721" w:rsidRDefault="000E3694" w:rsidP="000E3694">
            <w:pPr>
              <w:widowControl/>
              <w:jc w:val="center"/>
              <w:rPr>
                <w:rFonts w:ascii="Arial" w:hAnsi="Arial" w:cs="Arial"/>
              </w:rPr>
            </w:pPr>
            <w:r w:rsidRPr="000E3694">
              <w:rPr>
                <w:rFonts w:ascii="Arial" w:hAnsi="Arial" w:cs="Arial" w:hint="eastAsia"/>
              </w:rPr>
              <w:t>开通</w:t>
            </w:r>
          </w:p>
        </w:tc>
        <w:tc>
          <w:tcPr>
            <w:tcW w:w="2126" w:type="dxa"/>
            <w:tcBorders>
              <w:top w:val="nil"/>
              <w:left w:val="nil"/>
              <w:bottom w:val="single" w:sz="4" w:space="0" w:color="auto"/>
              <w:right w:val="single" w:sz="4" w:space="0" w:color="auto"/>
            </w:tcBorders>
            <w:shd w:val="clear" w:color="000000" w:fill="FFFFFF"/>
            <w:vAlign w:val="center"/>
          </w:tcPr>
          <w:p w:rsidR="000E3694" w:rsidRPr="00B64721" w:rsidRDefault="007D1AB5" w:rsidP="000E3694">
            <w:pPr>
              <w:widowControl/>
              <w:jc w:val="center"/>
              <w:rPr>
                <w:rFonts w:ascii="Arial" w:hAnsi="Arial" w:cs="Arial"/>
              </w:rPr>
            </w:pPr>
            <w:r>
              <w:rPr>
                <w:rFonts w:ascii="Arial" w:hAnsi="Arial" w:cs="Arial" w:hint="eastAsia"/>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E31073">
        <w:rPr>
          <w:rFonts w:ascii="Arial" w:hAnsi="Arial" w:cs="Arial" w:hint="eastAsia"/>
          <w:szCs w:val="21"/>
        </w:rPr>
        <w:t>东北证券</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Pr="00B42343"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B42343" w:rsidRPr="00B42343">
        <w:rPr>
          <w:rFonts w:ascii="Arial" w:hAnsi="Arial" w:cs="Arial" w:hint="eastAsia"/>
          <w:color w:val="000000"/>
          <w:kern w:val="0"/>
          <w:szCs w:val="21"/>
        </w:rPr>
        <w:t>东北证券股份有限公司</w:t>
      </w:r>
    </w:p>
    <w:p w:rsidR="00B42343"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注册（办公）地址：长春市生态大街6666号</w:t>
      </w:r>
    </w:p>
    <w:p w:rsidR="00B42343"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法定代表人：李福春</w:t>
      </w:r>
    </w:p>
    <w:p w:rsidR="00B42343"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联系人：安岩岩</w:t>
      </w:r>
    </w:p>
    <w:p w:rsidR="00B42343"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lastRenderedPageBreak/>
        <w:t>电话：021-20361166</w:t>
      </w:r>
    </w:p>
    <w:p w:rsidR="00B42343"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客户服务电话：95360</w:t>
      </w:r>
    </w:p>
    <w:p w:rsidR="007D1AB5"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网址：</w:t>
      </w:r>
      <w:r>
        <w:rPr>
          <w:rFonts w:ascii="宋体" w:hAnsi="宋体" w:cs="Arial" w:hint="eastAsia"/>
          <w:kern w:val="0"/>
          <w:szCs w:val="21"/>
        </w:rPr>
        <w:t>www.nesc.cn</w:t>
      </w:r>
    </w:p>
    <w:p w:rsidR="00EF4BB2" w:rsidRDefault="002B7241" w:rsidP="007D1AB5">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0E3694" w:rsidRPr="00FF2D56" w:rsidRDefault="00D3539F" w:rsidP="000E3694">
      <w:pPr>
        <w:widowControl/>
        <w:spacing w:line="360" w:lineRule="auto"/>
        <w:ind w:firstLineChars="200" w:firstLine="420"/>
        <w:jc w:val="left"/>
        <w:rPr>
          <w:rFonts w:ascii="Arial" w:hAnsi="Arial" w:cs="Arial"/>
          <w:szCs w:val="21"/>
        </w:rPr>
      </w:pPr>
      <w:r w:rsidRPr="00FF2D56">
        <w:rPr>
          <w:rFonts w:ascii="Arial" w:hAnsi="Arial" w:cs="Arial" w:hint="eastAsia"/>
          <w:szCs w:val="21"/>
        </w:rPr>
        <w:t>2</w:t>
      </w:r>
      <w:r w:rsidRPr="00FF2D56">
        <w:rPr>
          <w:rFonts w:ascii="Arial" w:hAnsi="Arial" w:cs="Arial" w:hint="eastAsia"/>
          <w:szCs w:val="21"/>
        </w:rPr>
        <w:t>、</w:t>
      </w:r>
      <w:r w:rsidR="00E31073">
        <w:rPr>
          <w:rFonts w:ascii="Arial" w:hAnsi="Arial" w:cs="Arial" w:hint="eastAsia"/>
          <w:szCs w:val="21"/>
        </w:rPr>
        <w:t>东北证券</w:t>
      </w:r>
      <w:r w:rsidR="0027383F" w:rsidRPr="0027383F">
        <w:rPr>
          <w:rFonts w:ascii="Arial" w:hAnsi="Arial" w:cs="Arial" w:hint="eastAsia"/>
          <w:szCs w:val="21"/>
        </w:rPr>
        <w:t>股份有限公司</w:t>
      </w:r>
    </w:p>
    <w:p w:rsidR="00B42343"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客户服务电话：95360</w:t>
      </w:r>
    </w:p>
    <w:p w:rsidR="004C31CA" w:rsidRPr="00B42343" w:rsidRDefault="00B42343" w:rsidP="00B42343">
      <w:pPr>
        <w:widowControl/>
        <w:spacing w:line="360" w:lineRule="auto"/>
        <w:ind w:firstLineChars="200" w:firstLine="420"/>
        <w:jc w:val="left"/>
        <w:rPr>
          <w:rFonts w:ascii="宋体" w:hAnsi="宋体" w:cs="Arial"/>
          <w:kern w:val="0"/>
          <w:szCs w:val="21"/>
        </w:rPr>
      </w:pPr>
      <w:r w:rsidRPr="00B42343">
        <w:rPr>
          <w:rFonts w:ascii="宋体" w:hAnsi="宋体" w:cs="Arial" w:hint="eastAsia"/>
          <w:kern w:val="0"/>
          <w:szCs w:val="21"/>
        </w:rPr>
        <w:t>网址：</w:t>
      </w:r>
      <w:r>
        <w:rPr>
          <w:rFonts w:ascii="宋体" w:hAnsi="宋体" w:cs="Arial" w:hint="eastAsia"/>
          <w:kern w:val="0"/>
          <w:szCs w:val="21"/>
        </w:rPr>
        <w:t>www.nesc.cn</w:t>
      </w:r>
    </w:p>
    <w:p w:rsidR="001C6804" w:rsidRPr="004C31CA" w:rsidRDefault="001C6804" w:rsidP="00D31C77">
      <w:pPr>
        <w:widowControl/>
        <w:spacing w:line="360" w:lineRule="auto"/>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lastRenderedPageBreak/>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B42343">
        <w:rPr>
          <w:rFonts w:ascii="Arial" w:hAnsi="Arial" w:cs="Arial" w:hint="eastAsia"/>
          <w:kern w:val="0"/>
          <w:szCs w:val="21"/>
        </w:rPr>
        <w:t>五</w:t>
      </w:r>
      <w:r w:rsidRPr="00FD5083">
        <w:rPr>
          <w:rFonts w:ascii="Arial" w:hAnsi="Arial" w:cs="Arial"/>
          <w:kern w:val="0"/>
          <w:szCs w:val="21"/>
        </w:rPr>
        <w:t>年</w:t>
      </w:r>
      <w:r w:rsidR="00B42343">
        <w:rPr>
          <w:rFonts w:ascii="Arial" w:hAnsi="Arial" w:cs="Arial" w:hint="eastAsia"/>
          <w:kern w:val="0"/>
          <w:szCs w:val="21"/>
        </w:rPr>
        <w:t>一</w:t>
      </w:r>
      <w:r w:rsidR="00527CFF" w:rsidRPr="00FD5083">
        <w:rPr>
          <w:rFonts w:ascii="Arial" w:hAnsi="Arial" w:cs="Arial"/>
          <w:kern w:val="0"/>
          <w:szCs w:val="21"/>
        </w:rPr>
        <w:t>月</w:t>
      </w:r>
      <w:r w:rsidR="00647F2B">
        <w:rPr>
          <w:rFonts w:ascii="Arial" w:hAnsi="Arial" w:cs="Arial" w:hint="eastAsia"/>
          <w:kern w:val="0"/>
          <w:szCs w:val="21"/>
        </w:rPr>
        <w:t>八</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81" w:rsidRDefault="001F6281" w:rsidP="008E6554">
      <w:r>
        <w:separator/>
      </w:r>
    </w:p>
  </w:endnote>
  <w:endnote w:type="continuationSeparator" w:id="0">
    <w:p w:rsidR="001F6281" w:rsidRDefault="001F6281"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81" w:rsidRDefault="001F6281" w:rsidP="008E6554">
      <w:r>
        <w:separator/>
      </w:r>
    </w:p>
  </w:footnote>
  <w:footnote w:type="continuationSeparator" w:id="0">
    <w:p w:rsidR="001F6281" w:rsidRDefault="001F6281"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05CC"/>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3694"/>
    <w:rsid w:val="000E4EFF"/>
    <w:rsid w:val="000E519B"/>
    <w:rsid w:val="000F2CC2"/>
    <w:rsid w:val="000F42D3"/>
    <w:rsid w:val="000F7255"/>
    <w:rsid w:val="000F77C2"/>
    <w:rsid w:val="000F7828"/>
    <w:rsid w:val="00114F87"/>
    <w:rsid w:val="001177E7"/>
    <w:rsid w:val="00117968"/>
    <w:rsid w:val="001266DC"/>
    <w:rsid w:val="00127C63"/>
    <w:rsid w:val="00135738"/>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1F6281"/>
    <w:rsid w:val="00202B24"/>
    <w:rsid w:val="00203FAC"/>
    <w:rsid w:val="00204C10"/>
    <w:rsid w:val="00211CF7"/>
    <w:rsid w:val="00212012"/>
    <w:rsid w:val="002153DB"/>
    <w:rsid w:val="002173ED"/>
    <w:rsid w:val="002219BA"/>
    <w:rsid w:val="0022685D"/>
    <w:rsid w:val="00231D19"/>
    <w:rsid w:val="00233787"/>
    <w:rsid w:val="0023615A"/>
    <w:rsid w:val="00237082"/>
    <w:rsid w:val="00237325"/>
    <w:rsid w:val="00244686"/>
    <w:rsid w:val="00244FD4"/>
    <w:rsid w:val="0024632E"/>
    <w:rsid w:val="00246E7C"/>
    <w:rsid w:val="0025482E"/>
    <w:rsid w:val="002603E0"/>
    <w:rsid w:val="00270632"/>
    <w:rsid w:val="0027124D"/>
    <w:rsid w:val="00273499"/>
    <w:rsid w:val="0027383F"/>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0B14"/>
    <w:rsid w:val="003F5F55"/>
    <w:rsid w:val="003F691A"/>
    <w:rsid w:val="00401ABC"/>
    <w:rsid w:val="004055B6"/>
    <w:rsid w:val="00410A84"/>
    <w:rsid w:val="0042334C"/>
    <w:rsid w:val="00433A06"/>
    <w:rsid w:val="0043521C"/>
    <w:rsid w:val="00446A68"/>
    <w:rsid w:val="004511CC"/>
    <w:rsid w:val="004526A0"/>
    <w:rsid w:val="00454120"/>
    <w:rsid w:val="00462C3A"/>
    <w:rsid w:val="00463C10"/>
    <w:rsid w:val="00473665"/>
    <w:rsid w:val="00474CD6"/>
    <w:rsid w:val="00477944"/>
    <w:rsid w:val="00477E37"/>
    <w:rsid w:val="004804CC"/>
    <w:rsid w:val="00481844"/>
    <w:rsid w:val="00481981"/>
    <w:rsid w:val="004836B4"/>
    <w:rsid w:val="00484125"/>
    <w:rsid w:val="00487C2B"/>
    <w:rsid w:val="00487FC1"/>
    <w:rsid w:val="00490AE0"/>
    <w:rsid w:val="004956FF"/>
    <w:rsid w:val="00496DCC"/>
    <w:rsid w:val="004A03A6"/>
    <w:rsid w:val="004B48E2"/>
    <w:rsid w:val="004B554A"/>
    <w:rsid w:val="004B6D59"/>
    <w:rsid w:val="004C1108"/>
    <w:rsid w:val="004C31CA"/>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12F6"/>
    <w:rsid w:val="005E2FEF"/>
    <w:rsid w:val="005E5012"/>
    <w:rsid w:val="005E6A63"/>
    <w:rsid w:val="005F0033"/>
    <w:rsid w:val="005F0DB5"/>
    <w:rsid w:val="006072AD"/>
    <w:rsid w:val="00610E26"/>
    <w:rsid w:val="006126E5"/>
    <w:rsid w:val="006171A2"/>
    <w:rsid w:val="006204DD"/>
    <w:rsid w:val="00622B06"/>
    <w:rsid w:val="0062408D"/>
    <w:rsid w:val="006274D8"/>
    <w:rsid w:val="00636162"/>
    <w:rsid w:val="0063778C"/>
    <w:rsid w:val="006427C4"/>
    <w:rsid w:val="0064495D"/>
    <w:rsid w:val="00647F2B"/>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C4BA5"/>
    <w:rsid w:val="006D0DD1"/>
    <w:rsid w:val="006E03F8"/>
    <w:rsid w:val="006E1ECE"/>
    <w:rsid w:val="006E2C1C"/>
    <w:rsid w:val="006E4966"/>
    <w:rsid w:val="006E61CE"/>
    <w:rsid w:val="006E7494"/>
    <w:rsid w:val="006F2854"/>
    <w:rsid w:val="006F3AE6"/>
    <w:rsid w:val="006F3B04"/>
    <w:rsid w:val="006F3F21"/>
    <w:rsid w:val="006F52E7"/>
    <w:rsid w:val="00700967"/>
    <w:rsid w:val="00701E6B"/>
    <w:rsid w:val="00702AC9"/>
    <w:rsid w:val="007124FC"/>
    <w:rsid w:val="0071254D"/>
    <w:rsid w:val="00716703"/>
    <w:rsid w:val="00716F24"/>
    <w:rsid w:val="00730817"/>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86D29"/>
    <w:rsid w:val="00794CB5"/>
    <w:rsid w:val="00794FE2"/>
    <w:rsid w:val="007A1BC3"/>
    <w:rsid w:val="007A54E7"/>
    <w:rsid w:val="007B0164"/>
    <w:rsid w:val="007B0F40"/>
    <w:rsid w:val="007B1208"/>
    <w:rsid w:val="007B2867"/>
    <w:rsid w:val="007B3CC8"/>
    <w:rsid w:val="007B4377"/>
    <w:rsid w:val="007B6639"/>
    <w:rsid w:val="007D1AB5"/>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7C3"/>
    <w:rsid w:val="008C6E80"/>
    <w:rsid w:val="008C756C"/>
    <w:rsid w:val="008D0E9B"/>
    <w:rsid w:val="008E6554"/>
    <w:rsid w:val="008E69FE"/>
    <w:rsid w:val="008E6BF4"/>
    <w:rsid w:val="008F10FB"/>
    <w:rsid w:val="008F2D12"/>
    <w:rsid w:val="008F5136"/>
    <w:rsid w:val="00903B4A"/>
    <w:rsid w:val="00906246"/>
    <w:rsid w:val="00906B42"/>
    <w:rsid w:val="0091122A"/>
    <w:rsid w:val="009112E5"/>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E73EE"/>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20A2"/>
    <w:rsid w:val="00A62CC1"/>
    <w:rsid w:val="00A63940"/>
    <w:rsid w:val="00A63F11"/>
    <w:rsid w:val="00A65ECD"/>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343"/>
    <w:rsid w:val="00B425D5"/>
    <w:rsid w:val="00B46D00"/>
    <w:rsid w:val="00B55515"/>
    <w:rsid w:val="00B61B14"/>
    <w:rsid w:val="00B64721"/>
    <w:rsid w:val="00B67D5E"/>
    <w:rsid w:val="00B753AD"/>
    <w:rsid w:val="00B86E81"/>
    <w:rsid w:val="00B94F4F"/>
    <w:rsid w:val="00B951BD"/>
    <w:rsid w:val="00B962A1"/>
    <w:rsid w:val="00B96D69"/>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7D5C"/>
    <w:rsid w:val="00C057E4"/>
    <w:rsid w:val="00C06895"/>
    <w:rsid w:val="00C11517"/>
    <w:rsid w:val="00C229F4"/>
    <w:rsid w:val="00C22DC9"/>
    <w:rsid w:val="00C26967"/>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709A"/>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26E19"/>
    <w:rsid w:val="00D3065A"/>
    <w:rsid w:val="00D31C77"/>
    <w:rsid w:val="00D32FF5"/>
    <w:rsid w:val="00D332B2"/>
    <w:rsid w:val="00D3539F"/>
    <w:rsid w:val="00D3591D"/>
    <w:rsid w:val="00D42661"/>
    <w:rsid w:val="00D43A97"/>
    <w:rsid w:val="00D4414A"/>
    <w:rsid w:val="00D44C8A"/>
    <w:rsid w:val="00D5324E"/>
    <w:rsid w:val="00D608E7"/>
    <w:rsid w:val="00D60D84"/>
    <w:rsid w:val="00D65C0F"/>
    <w:rsid w:val="00D8170A"/>
    <w:rsid w:val="00D81AA4"/>
    <w:rsid w:val="00D82018"/>
    <w:rsid w:val="00D870ED"/>
    <w:rsid w:val="00D8735F"/>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06666"/>
    <w:rsid w:val="00E11B16"/>
    <w:rsid w:val="00E15C1D"/>
    <w:rsid w:val="00E23889"/>
    <w:rsid w:val="00E24841"/>
    <w:rsid w:val="00E31073"/>
    <w:rsid w:val="00E3464C"/>
    <w:rsid w:val="00E41019"/>
    <w:rsid w:val="00E41BE9"/>
    <w:rsid w:val="00E50F8D"/>
    <w:rsid w:val="00E512DC"/>
    <w:rsid w:val="00E5727E"/>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2B25"/>
    <w:rsid w:val="00EC431C"/>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D796D"/>
    <w:rsid w:val="00FE1B4E"/>
    <w:rsid w:val="00FE6A70"/>
    <w:rsid w:val="00FF2D56"/>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qFormat="1"/>
    <w:lsdException w:name="annotation subject" w:semiHidden="0"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9840929">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116458132">
      <w:bodyDiv w:val="1"/>
      <w:marLeft w:val="0"/>
      <w:marRight w:val="0"/>
      <w:marTop w:val="0"/>
      <w:marBottom w:val="0"/>
      <w:divBdr>
        <w:top w:val="none" w:sz="0" w:space="0" w:color="auto"/>
        <w:left w:val="none" w:sz="0" w:space="0" w:color="auto"/>
        <w:bottom w:val="none" w:sz="0" w:space="0" w:color="auto"/>
        <w:right w:val="none" w:sz="0" w:space="0" w:color="auto"/>
      </w:divBdr>
    </w:div>
    <w:div w:id="119955649">
      <w:bodyDiv w:val="1"/>
      <w:marLeft w:val="0"/>
      <w:marRight w:val="0"/>
      <w:marTop w:val="0"/>
      <w:marBottom w:val="0"/>
      <w:divBdr>
        <w:top w:val="none" w:sz="0" w:space="0" w:color="auto"/>
        <w:left w:val="none" w:sz="0" w:space="0" w:color="auto"/>
        <w:bottom w:val="none" w:sz="0" w:space="0" w:color="auto"/>
        <w:right w:val="none" w:sz="0" w:space="0" w:color="auto"/>
      </w:divBdr>
    </w:div>
    <w:div w:id="150297391">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685713849">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751">
      <w:bodyDiv w:val="1"/>
      <w:marLeft w:val="0"/>
      <w:marRight w:val="0"/>
      <w:marTop w:val="0"/>
      <w:marBottom w:val="0"/>
      <w:divBdr>
        <w:top w:val="none" w:sz="0" w:space="0" w:color="auto"/>
        <w:left w:val="none" w:sz="0" w:space="0" w:color="auto"/>
        <w:bottom w:val="none" w:sz="0" w:space="0" w:color="auto"/>
        <w:right w:val="none" w:sz="0" w:space="0" w:color="auto"/>
      </w:divBdr>
    </w:div>
    <w:div w:id="113279595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441492453">
      <w:bodyDiv w:val="1"/>
      <w:marLeft w:val="0"/>
      <w:marRight w:val="0"/>
      <w:marTop w:val="0"/>
      <w:marBottom w:val="0"/>
      <w:divBdr>
        <w:top w:val="none" w:sz="0" w:space="0" w:color="auto"/>
        <w:left w:val="none" w:sz="0" w:space="0" w:color="auto"/>
        <w:bottom w:val="none" w:sz="0" w:space="0" w:color="auto"/>
        <w:right w:val="none" w:sz="0" w:space="0" w:color="auto"/>
      </w:divBdr>
    </w:div>
    <w:div w:id="1520582353">
      <w:bodyDiv w:val="1"/>
      <w:marLeft w:val="0"/>
      <w:marRight w:val="0"/>
      <w:marTop w:val="0"/>
      <w:marBottom w:val="0"/>
      <w:divBdr>
        <w:top w:val="none" w:sz="0" w:space="0" w:color="auto"/>
        <w:left w:val="none" w:sz="0" w:space="0" w:color="auto"/>
        <w:bottom w:val="none" w:sz="0" w:space="0" w:color="auto"/>
        <w:right w:val="none" w:sz="0" w:space="0" w:color="auto"/>
      </w:divBdr>
    </w:div>
    <w:div w:id="1533618015">
      <w:bodyDiv w:val="1"/>
      <w:marLeft w:val="0"/>
      <w:marRight w:val="0"/>
      <w:marTop w:val="0"/>
      <w:marBottom w:val="0"/>
      <w:divBdr>
        <w:top w:val="none" w:sz="0" w:space="0" w:color="auto"/>
        <w:left w:val="none" w:sz="0" w:space="0" w:color="auto"/>
        <w:bottom w:val="none" w:sz="0" w:space="0" w:color="auto"/>
        <w:right w:val="none" w:sz="0" w:space="0" w:color="auto"/>
      </w:divBdr>
    </w:div>
    <w:div w:id="1583107175">
      <w:bodyDiv w:val="1"/>
      <w:marLeft w:val="0"/>
      <w:marRight w:val="0"/>
      <w:marTop w:val="0"/>
      <w:marBottom w:val="0"/>
      <w:divBdr>
        <w:top w:val="none" w:sz="0" w:space="0" w:color="auto"/>
        <w:left w:val="none" w:sz="0" w:space="0" w:color="auto"/>
        <w:bottom w:val="none" w:sz="0" w:space="0" w:color="auto"/>
        <w:right w:val="none" w:sz="0" w:space="0" w:color="auto"/>
      </w:divBdr>
    </w:div>
    <w:div w:id="1583491801">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39728927">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688170777">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0548849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4</DocSecurity>
  <Lines>12</Lines>
  <Paragraphs>3</Paragraphs>
  <ScaleCrop>false</ScaleCrop>
  <Company>JDJR</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2025-01-07T16:01:00Z</dcterms:created>
  <dcterms:modified xsi:type="dcterms:W3CDTF">2025-01-07T16:01:00Z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