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6CA4" w:rsidRDefault="00146CA4">
      <w:pPr>
        <w:rPr>
          <w:sz w:val="24"/>
        </w:rPr>
      </w:pPr>
      <w:bookmarkStart w:id="0" w:name="_GoBack"/>
      <w:bookmarkEnd w:id="0"/>
    </w:p>
    <w:p w:rsidR="00146CA4" w:rsidRDefault="00146CA4">
      <w:pPr>
        <w:rPr>
          <w:sz w:val="24"/>
        </w:rPr>
      </w:pPr>
    </w:p>
    <w:p w:rsidR="00146CA4" w:rsidRDefault="00146CA4">
      <w:pPr>
        <w:rPr>
          <w:sz w:val="24"/>
        </w:rPr>
      </w:pPr>
    </w:p>
    <w:p w:rsidR="00146CA4" w:rsidRDefault="00146CA4">
      <w:pPr>
        <w:rPr>
          <w:sz w:val="24"/>
        </w:rPr>
      </w:pPr>
    </w:p>
    <w:p w:rsidR="00146CA4" w:rsidRDefault="00F14900">
      <w:pPr>
        <w:jc w:val="center"/>
        <w:rPr>
          <w:rFonts w:ascii="宋体" w:hAnsi="宋体"/>
          <w:sz w:val="48"/>
          <w:szCs w:val="48"/>
        </w:rPr>
      </w:pPr>
      <w:bookmarkStart w:id="1" w:name="s0002"/>
      <w:r>
        <w:rPr>
          <w:rFonts w:ascii="宋体" w:hAnsi="宋体"/>
          <w:b/>
          <w:sz w:val="48"/>
          <w:szCs w:val="48"/>
        </w:rPr>
        <w:t>东方红优质甄选一年持有期混合型证券投资基金分红公告</w:t>
      </w:r>
      <w:bookmarkEnd w:id="1"/>
    </w:p>
    <w:p w:rsidR="00146CA4" w:rsidRDefault="00146CA4">
      <w:pPr>
        <w:jc w:val="center"/>
        <w:rPr>
          <w:rFonts w:ascii="宋体" w:hAnsi="宋体"/>
          <w:sz w:val="30"/>
          <w:szCs w:val="30"/>
        </w:rPr>
      </w:pPr>
    </w:p>
    <w:p w:rsidR="00146CA4" w:rsidRDefault="00146CA4">
      <w:pPr>
        <w:jc w:val="center"/>
        <w:rPr>
          <w:rFonts w:ascii="宋体" w:hAnsi="宋体"/>
          <w:sz w:val="30"/>
          <w:szCs w:val="30"/>
        </w:rPr>
      </w:pPr>
    </w:p>
    <w:p w:rsidR="00146CA4" w:rsidRDefault="00146CA4">
      <w:pPr>
        <w:jc w:val="center"/>
        <w:rPr>
          <w:rFonts w:ascii="宋体" w:hAnsi="宋体"/>
          <w:sz w:val="30"/>
          <w:szCs w:val="30"/>
        </w:rPr>
      </w:pPr>
    </w:p>
    <w:p w:rsidR="00146CA4" w:rsidRDefault="00146CA4">
      <w:pPr>
        <w:jc w:val="center"/>
        <w:rPr>
          <w:rFonts w:ascii="宋体" w:hAnsi="宋体"/>
          <w:sz w:val="30"/>
          <w:szCs w:val="30"/>
        </w:rPr>
      </w:pPr>
    </w:p>
    <w:p w:rsidR="00146CA4" w:rsidRDefault="00146CA4">
      <w:pPr>
        <w:jc w:val="center"/>
        <w:rPr>
          <w:rFonts w:ascii="宋体" w:hAnsi="宋体"/>
          <w:sz w:val="30"/>
          <w:szCs w:val="30"/>
        </w:rPr>
      </w:pPr>
    </w:p>
    <w:p w:rsidR="00146CA4" w:rsidRDefault="00146CA4">
      <w:pPr>
        <w:rPr>
          <w:sz w:val="24"/>
        </w:rPr>
      </w:pPr>
    </w:p>
    <w:p w:rsidR="00146CA4" w:rsidRDefault="00146CA4">
      <w:pPr>
        <w:rPr>
          <w:sz w:val="24"/>
        </w:rPr>
      </w:pPr>
    </w:p>
    <w:p w:rsidR="00146CA4" w:rsidRDefault="00146CA4">
      <w:pPr>
        <w:rPr>
          <w:sz w:val="24"/>
        </w:rPr>
      </w:pPr>
    </w:p>
    <w:p w:rsidR="00146CA4" w:rsidRDefault="00146CA4">
      <w:pPr>
        <w:rPr>
          <w:sz w:val="24"/>
        </w:rPr>
      </w:pPr>
    </w:p>
    <w:p w:rsidR="00146CA4" w:rsidRDefault="00146CA4">
      <w:pPr>
        <w:rPr>
          <w:sz w:val="24"/>
        </w:rPr>
      </w:pPr>
    </w:p>
    <w:p w:rsidR="00146CA4" w:rsidRDefault="00146CA4">
      <w:pPr>
        <w:rPr>
          <w:sz w:val="24"/>
        </w:rPr>
      </w:pPr>
    </w:p>
    <w:p w:rsidR="00146CA4" w:rsidRDefault="00146CA4">
      <w:pPr>
        <w:rPr>
          <w:sz w:val="24"/>
        </w:rPr>
      </w:pPr>
    </w:p>
    <w:p w:rsidR="00146CA4" w:rsidRDefault="00146CA4">
      <w:pPr>
        <w:rPr>
          <w:sz w:val="24"/>
        </w:rPr>
      </w:pPr>
    </w:p>
    <w:p w:rsidR="00146CA4" w:rsidRDefault="00146CA4">
      <w:pPr>
        <w:rPr>
          <w:sz w:val="24"/>
        </w:rPr>
      </w:pPr>
    </w:p>
    <w:p w:rsidR="00146CA4" w:rsidRDefault="00146CA4">
      <w:pPr>
        <w:rPr>
          <w:sz w:val="24"/>
        </w:rPr>
      </w:pPr>
    </w:p>
    <w:p w:rsidR="00146CA4" w:rsidRDefault="00146CA4">
      <w:pPr>
        <w:rPr>
          <w:sz w:val="24"/>
        </w:rPr>
      </w:pPr>
    </w:p>
    <w:p w:rsidR="00146CA4" w:rsidRDefault="00146CA4">
      <w:pPr>
        <w:rPr>
          <w:sz w:val="24"/>
        </w:rPr>
      </w:pPr>
    </w:p>
    <w:p w:rsidR="00146CA4" w:rsidRDefault="00146CA4">
      <w:pPr>
        <w:rPr>
          <w:sz w:val="24"/>
        </w:rPr>
      </w:pPr>
    </w:p>
    <w:p w:rsidR="00146CA4" w:rsidRDefault="00146CA4">
      <w:pPr>
        <w:rPr>
          <w:sz w:val="24"/>
        </w:rPr>
      </w:pPr>
    </w:p>
    <w:p w:rsidR="00146CA4" w:rsidRDefault="00146CA4">
      <w:pPr>
        <w:rPr>
          <w:sz w:val="24"/>
        </w:rPr>
      </w:pPr>
    </w:p>
    <w:p w:rsidR="00146CA4" w:rsidRDefault="00146CA4">
      <w:pPr>
        <w:rPr>
          <w:sz w:val="24"/>
        </w:rPr>
      </w:pPr>
    </w:p>
    <w:p w:rsidR="00146CA4" w:rsidRDefault="00146CA4">
      <w:pPr>
        <w:rPr>
          <w:sz w:val="24"/>
        </w:rPr>
      </w:pPr>
    </w:p>
    <w:p w:rsidR="00146CA4" w:rsidRDefault="00146CA4">
      <w:pPr>
        <w:rPr>
          <w:sz w:val="24"/>
        </w:rPr>
      </w:pPr>
    </w:p>
    <w:p w:rsidR="00146CA4" w:rsidRDefault="00F14900">
      <w:pPr>
        <w:ind w:left="2100" w:firstLine="420"/>
        <w:rPr>
          <w:rFonts w:ascii="宋体" w:hAnsi="宋体"/>
          <w:bCs/>
          <w:sz w:val="24"/>
          <w:szCs w:val="24"/>
        </w:rPr>
      </w:pPr>
      <w:r>
        <w:rPr>
          <w:rFonts w:ascii="宋体" w:hAnsi="宋体" w:hint="eastAsia"/>
          <w:b/>
          <w:sz w:val="28"/>
          <w:szCs w:val="28"/>
        </w:rPr>
        <w:t>公告</w:t>
      </w:r>
      <w:r>
        <w:rPr>
          <w:rFonts w:ascii="宋体" w:hAnsi="宋体"/>
          <w:b/>
          <w:sz w:val="28"/>
          <w:szCs w:val="28"/>
        </w:rPr>
        <w:t>送出日期：</w:t>
      </w:r>
      <w:bookmarkStart w:id="2" w:name="s0003"/>
      <w:r>
        <w:rPr>
          <w:rFonts w:ascii="宋体" w:hAnsi="宋体"/>
          <w:b/>
          <w:sz w:val="28"/>
          <w:szCs w:val="28"/>
        </w:rPr>
        <w:t>2025</w:t>
      </w:r>
      <w:r>
        <w:rPr>
          <w:rFonts w:ascii="宋体" w:hAnsi="宋体"/>
          <w:b/>
          <w:sz w:val="28"/>
          <w:szCs w:val="28"/>
        </w:rPr>
        <w:t>年</w:t>
      </w:r>
      <w:r>
        <w:rPr>
          <w:rFonts w:ascii="宋体" w:hAnsi="宋体"/>
          <w:b/>
          <w:sz w:val="28"/>
          <w:szCs w:val="28"/>
        </w:rPr>
        <w:t>01</w:t>
      </w:r>
      <w:r>
        <w:rPr>
          <w:rFonts w:ascii="宋体" w:hAnsi="宋体"/>
          <w:b/>
          <w:sz w:val="28"/>
          <w:szCs w:val="28"/>
        </w:rPr>
        <w:t>月</w:t>
      </w:r>
      <w:r>
        <w:rPr>
          <w:rFonts w:ascii="宋体" w:hAnsi="宋体"/>
          <w:b/>
          <w:sz w:val="28"/>
          <w:szCs w:val="28"/>
        </w:rPr>
        <w:t>08</w:t>
      </w:r>
      <w:r>
        <w:rPr>
          <w:rFonts w:ascii="宋体" w:hAnsi="宋体"/>
          <w:b/>
          <w:sz w:val="28"/>
          <w:szCs w:val="28"/>
        </w:rPr>
        <w:t>日</w:t>
      </w:r>
      <w:bookmarkEnd w:id="2"/>
    </w:p>
    <w:p w:rsidR="00146CA4" w:rsidRDefault="00F14900" w:rsidP="00F14900">
      <w:pPr>
        <w:pStyle w:val="2"/>
        <w:spacing w:beforeLines="50" w:afterLines="50" w:line="240" w:lineRule="auto"/>
        <w:jc w:val="left"/>
        <w:rPr>
          <w:rFonts w:ascii="宋体" w:eastAsia="宋体" w:hAnsi="宋体"/>
          <w:bCs/>
          <w:sz w:val="24"/>
          <w:szCs w:val="24"/>
        </w:rPr>
      </w:pPr>
      <w:r>
        <w:rPr>
          <w:rFonts w:hint="eastAsia"/>
          <w:color w:val="404040"/>
          <w:kern w:val="0"/>
        </w:rPr>
        <w:br w:type="page"/>
      </w:r>
      <w:r>
        <w:rPr>
          <w:rFonts w:ascii="宋体" w:eastAsia="宋体" w:hAnsi="宋体" w:hint="eastAsia"/>
          <w:bCs/>
          <w:sz w:val="24"/>
          <w:szCs w:val="24"/>
        </w:rPr>
        <w:lastRenderedPageBreak/>
        <w:t>1</w:t>
      </w:r>
      <w:r>
        <w:rPr>
          <w:rFonts w:ascii="宋体" w:eastAsia="宋体" w:hAnsi="宋体" w:hint="eastAsia"/>
          <w:bCs/>
          <w:sz w:val="24"/>
          <w:szCs w:val="24"/>
        </w:rPr>
        <w:t>公告基本信息</w:t>
      </w:r>
    </w:p>
    <w:tbl>
      <w:tblPr>
        <w:tblW w:w="0" w:type="auto"/>
        <w:jc w:val="center"/>
        <w:tblInd w:w="116" w:type="dxa"/>
        <w:tblCellMar>
          <w:left w:w="0" w:type="dxa"/>
          <w:right w:w="0" w:type="dxa"/>
        </w:tblCellMar>
        <w:tblLook w:val="04A0"/>
      </w:tblPr>
      <w:tblGrid>
        <w:gridCol w:w="1019"/>
        <w:gridCol w:w="1943"/>
        <w:gridCol w:w="3119"/>
        <w:gridCol w:w="2863"/>
      </w:tblGrid>
      <w:tr w:rsidR="00146CA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基金名称</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东方红优质甄选一年持有期混合型证券投资基金</w:t>
            </w:r>
          </w:p>
        </w:tc>
      </w:tr>
      <w:tr w:rsidR="00146CA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基金简称</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东方红优质甄选一年持有混合</w:t>
            </w:r>
          </w:p>
        </w:tc>
      </w:tr>
      <w:tr w:rsidR="00146CA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基金主代码</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009725</w:t>
            </w:r>
          </w:p>
        </w:tc>
      </w:tr>
      <w:tr w:rsidR="00146CA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基金合同生效日</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2020</w:t>
            </w:r>
            <w:r>
              <w:rPr>
                <w:rFonts w:ascii="宋体" w:hAnsi="宋体" w:cs="宋体"/>
                <w:color w:val="000000"/>
                <w:kern w:val="0"/>
                <w:szCs w:val="21"/>
              </w:rPr>
              <w:t>年</w:t>
            </w:r>
            <w:r>
              <w:rPr>
                <w:rFonts w:ascii="宋体" w:hAnsi="宋体" w:cs="宋体"/>
                <w:color w:val="000000"/>
                <w:kern w:val="0"/>
                <w:szCs w:val="21"/>
              </w:rPr>
              <w:t>07</w:t>
            </w:r>
            <w:r>
              <w:rPr>
                <w:rFonts w:ascii="宋体" w:hAnsi="宋体" w:cs="宋体"/>
                <w:color w:val="000000"/>
                <w:kern w:val="0"/>
                <w:szCs w:val="21"/>
              </w:rPr>
              <w:t>月</w:t>
            </w:r>
            <w:r>
              <w:rPr>
                <w:rFonts w:ascii="宋体" w:hAnsi="宋体" w:cs="宋体"/>
                <w:color w:val="000000"/>
                <w:kern w:val="0"/>
                <w:szCs w:val="21"/>
              </w:rPr>
              <w:t>23</w:t>
            </w:r>
            <w:r>
              <w:rPr>
                <w:rFonts w:ascii="宋体" w:hAnsi="宋体" w:cs="宋体"/>
                <w:color w:val="000000"/>
                <w:kern w:val="0"/>
                <w:szCs w:val="21"/>
              </w:rPr>
              <w:t>日</w:t>
            </w:r>
          </w:p>
        </w:tc>
      </w:tr>
      <w:tr w:rsidR="00146CA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基金管理人名称</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上海东方证券资产管理有限公司</w:t>
            </w:r>
          </w:p>
        </w:tc>
      </w:tr>
      <w:tr w:rsidR="00146CA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基金托管人名称</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中国光大银行股份有限公司</w:t>
            </w:r>
          </w:p>
        </w:tc>
      </w:tr>
      <w:tr w:rsidR="00146CA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公告依据</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公开募集证券投资基金信息披露管理办法》《东方红优质甄选一年持有期混合型证券投资基金基金合同》（以下简称基金合同）《东方红优质甄选一年持有期混合型证券投资基金招募说明书》（以下简称招募说明书）</w:t>
            </w:r>
            <w:r>
              <w:rPr>
                <w:rFonts w:ascii="宋体" w:hAnsi="宋体" w:cs="宋体"/>
                <w:color w:val="000000"/>
                <w:kern w:val="0"/>
                <w:szCs w:val="21"/>
              </w:rPr>
              <w:t xml:space="preserve"> </w:t>
            </w:r>
          </w:p>
        </w:tc>
      </w:tr>
      <w:tr w:rsidR="00146CA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收益分配基准日</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2024</w:t>
            </w:r>
            <w:r>
              <w:rPr>
                <w:rFonts w:ascii="宋体" w:hAnsi="宋体" w:cs="宋体"/>
                <w:color w:val="000000"/>
                <w:kern w:val="0"/>
                <w:szCs w:val="21"/>
              </w:rPr>
              <w:t>年</w:t>
            </w:r>
            <w:r>
              <w:rPr>
                <w:rFonts w:ascii="宋体" w:hAnsi="宋体" w:cs="宋体"/>
                <w:color w:val="000000"/>
                <w:kern w:val="0"/>
                <w:szCs w:val="21"/>
              </w:rPr>
              <w:t>12</w:t>
            </w:r>
            <w:r>
              <w:rPr>
                <w:rFonts w:ascii="宋体" w:hAnsi="宋体" w:cs="宋体"/>
                <w:color w:val="000000"/>
                <w:kern w:val="0"/>
                <w:szCs w:val="21"/>
              </w:rPr>
              <w:t>月</w:t>
            </w:r>
            <w:r>
              <w:rPr>
                <w:rFonts w:ascii="宋体" w:hAnsi="宋体" w:cs="宋体"/>
                <w:color w:val="000000"/>
                <w:kern w:val="0"/>
                <w:szCs w:val="21"/>
              </w:rPr>
              <w:t>31</w:t>
            </w:r>
            <w:r>
              <w:rPr>
                <w:rFonts w:ascii="宋体" w:hAnsi="宋体" w:cs="宋体"/>
                <w:color w:val="000000"/>
                <w:kern w:val="0"/>
                <w:szCs w:val="21"/>
              </w:rPr>
              <w:t>日</w:t>
            </w:r>
          </w:p>
        </w:tc>
      </w:tr>
      <w:tr w:rsidR="00146CA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有关年度分红次数的说明</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2024</w:t>
            </w:r>
            <w:r>
              <w:rPr>
                <w:rFonts w:ascii="宋体" w:hAnsi="宋体" w:cs="宋体"/>
                <w:color w:val="000000"/>
                <w:kern w:val="0"/>
                <w:szCs w:val="21"/>
              </w:rPr>
              <w:t>年度第四次分红</w:t>
            </w:r>
          </w:p>
        </w:tc>
      </w:tr>
      <w:tr w:rsidR="00146CA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下属分类基金的基金简称</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东方红优质甄选一年持有混合</w:t>
            </w:r>
            <w:r>
              <w:rPr>
                <w:rFonts w:ascii="宋体" w:hAnsi="宋体" w:cs="宋体"/>
                <w:color w:val="000000"/>
                <w:kern w:val="0"/>
                <w:szCs w:val="21"/>
              </w:rPr>
              <w:t>A</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东方红优质甄选一年持有混合</w:t>
            </w:r>
            <w:r>
              <w:rPr>
                <w:rFonts w:ascii="宋体" w:hAnsi="宋体" w:cs="宋体"/>
                <w:color w:val="000000"/>
                <w:kern w:val="0"/>
                <w:szCs w:val="21"/>
              </w:rPr>
              <w:t>C</w:t>
            </w:r>
          </w:p>
        </w:tc>
      </w:tr>
      <w:tr w:rsidR="00146CA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下属分类基金的交易代码</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009725</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013785</w:t>
            </w:r>
          </w:p>
        </w:tc>
      </w:tr>
      <w:tr w:rsidR="00146CA4">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截止基准日下属分类基金的相关指标</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基准日下属分类基金份额净值（单位：人民币元）</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1.0397</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1.0382</w:t>
            </w:r>
          </w:p>
        </w:tc>
      </w:tr>
      <w:tr w:rsidR="00146CA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146CA4" w:rsidRDefault="00146CA4">
            <w:pPr>
              <w:rPr>
                <w:rFonts w:ascii="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基准日下属分类基金可供分配利润（单位：人民币元）</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6,596,947.03</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12,218.31</w:t>
            </w:r>
          </w:p>
        </w:tc>
      </w:tr>
      <w:tr w:rsidR="00146CA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146CA4" w:rsidRDefault="00146CA4">
            <w:pPr>
              <w:rPr>
                <w:rFonts w:ascii="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截止基准日按照基金合同约定的分红比例计算的应分配金额（单位：人民币元）</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3,958,168.22</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7,330.99</w:t>
            </w:r>
          </w:p>
        </w:tc>
      </w:tr>
      <w:tr w:rsidR="00146CA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本次下属分类基金分红方案（单位：元</w:t>
            </w:r>
            <w:r>
              <w:rPr>
                <w:rFonts w:ascii="宋体" w:hAnsi="宋体" w:cs="宋体"/>
                <w:color w:val="000000"/>
                <w:kern w:val="0"/>
                <w:szCs w:val="21"/>
              </w:rPr>
              <w:t>/10</w:t>
            </w:r>
            <w:r>
              <w:rPr>
                <w:rFonts w:ascii="宋体" w:hAnsi="宋体" w:cs="宋体"/>
                <w:color w:val="000000"/>
                <w:kern w:val="0"/>
                <w:szCs w:val="21"/>
              </w:rPr>
              <w:t>份基金份额）</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0.1300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0.1300</w:t>
            </w:r>
          </w:p>
        </w:tc>
      </w:tr>
    </w:tbl>
    <w:p w:rsidR="00146CA4" w:rsidRDefault="00F14900">
      <w:pPr>
        <w:spacing w:line="360" w:lineRule="auto"/>
        <w:jc w:val="left"/>
        <w:rPr>
          <w:szCs w:val="21"/>
        </w:rPr>
      </w:pPr>
      <w:bookmarkStart w:id="3" w:name="table_1"/>
      <w:bookmarkStart w:id="4" w:name="s2645"/>
      <w:bookmarkEnd w:id="3"/>
      <w:r>
        <w:rPr>
          <w:szCs w:val="21"/>
        </w:rPr>
        <w:t>注：（</w:t>
      </w:r>
      <w:r>
        <w:rPr>
          <w:szCs w:val="21"/>
        </w:rPr>
        <w:t>1</w:t>
      </w:r>
      <w:r>
        <w:rPr>
          <w:szCs w:val="21"/>
        </w:rPr>
        <w:t>）东方红优质甄选一年持有期混合型证券投资基金（以下简称本基金）本次分红方案为每</w:t>
      </w:r>
      <w:r>
        <w:rPr>
          <w:szCs w:val="21"/>
        </w:rPr>
        <w:t>10</w:t>
      </w:r>
      <w:r>
        <w:rPr>
          <w:szCs w:val="21"/>
        </w:rPr>
        <w:t>份基金份额发放红利</w:t>
      </w:r>
      <w:r>
        <w:rPr>
          <w:szCs w:val="21"/>
        </w:rPr>
        <w:t>0.1300</w:t>
      </w:r>
      <w:r>
        <w:rPr>
          <w:szCs w:val="21"/>
        </w:rPr>
        <w:t>元，即每份基金份额发放红利</w:t>
      </w:r>
      <w:r>
        <w:rPr>
          <w:szCs w:val="21"/>
        </w:rPr>
        <w:t>0.0130</w:t>
      </w:r>
      <w:r>
        <w:rPr>
          <w:szCs w:val="21"/>
        </w:rPr>
        <w:t>元。</w:t>
      </w:r>
    </w:p>
    <w:p w:rsidR="00146CA4" w:rsidRDefault="00F14900">
      <w:pPr>
        <w:spacing w:line="360" w:lineRule="auto"/>
        <w:jc w:val="left"/>
        <w:rPr>
          <w:rFonts w:asciiTheme="minorEastAsia" w:eastAsiaTheme="minorEastAsia" w:hAnsiTheme="minorEastAsia" w:cstheme="minorEastAsia"/>
          <w:szCs w:val="21"/>
        </w:rPr>
      </w:pPr>
      <w:r>
        <w:rPr>
          <w:szCs w:val="21"/>
        </w:rPr>
        <w:t>（</w:t>
      </w:r>
      <w:r>
        <w:rPr>
          <w:szCs w:val="21"/>
        </w:rPr>
        <w:t>2</w:t>
      </w:r>
      <w:r>
        <w:rPr>
          <w:szCs w:val="21"/>
        </w:rPr>
        <w:t>）根据基金合同，在符合有关基金分红条件的前提下，若每季度末每</w:t>
      </w:r>
      <w:r>
        <w:rPr>
          <w:szCs w:val="21"/>
        </w:rPr>
        <w:t>10</w:t>
      </w:r>
      <w:r>
        <w:rPr>
          <w:szCs w:val="21"/>
        </w:rPr>
        <w:t>份基金份额可供分配利润金额大于等于</w:t>
      </w:r>
      <w:r>
        <w:rPr>
          <w:szCs w:val="21"/>
        </w:rPr>
        <w:t>0.01</w:t>
      </w:r>
      <w:r>
        <w:rPr>
          <w:szCs w:val="21"/>
        </w:rPr>
        <w:t>元，则本基金进行收益分配，收益分配比例不低于收益分配基准日可供分配利润的</w:t>
      </w:r>
      <w:r>
        <w:rPr>
          <w:szCs w:val="21"/>
        </w:rPr>
        <w:t>60%</w:t>
      </w:r>
      <w:r>
        <w:rPr>
          <w:szCs w:val="21"/>
        </w:rPr>
        <w:t>。</w:t>
      </w:r>
      <w:bookmarkEnd w:id="4"/>
    </w:p>
    <w:p w:rsidR="00146CA4" w:rsidRDefault="00146CA4">
      <w:pPr>
        <w:spacing w:line="360" w:lineRule="auto"/>
        <w:jc w:val="left"/>
        <w:rPr>
          <w:szCs w:val="21"/>
        </w:rPr>
      </w:pPr>
    </w:p>
    <w:p w:rsidR="00146CA4" w:rsidRDefault="00F14900" w:rsidP="00F14900">
      <w:pPr>
        <w:pStyle w:val="2"/>
        <w:spacing w:beforeLines="50" w:afterLines="50" w:line="240" w:lineRule="auto"/>
        <w:rPr>
          <w:rFonts w:ascii="宋体" w:eastAsia="宋体" w:hAnsi="宋体"/>
          <w:bCs/>
          <w:sz w:val="24"/>
          <w:szCs w:val="24"/>
        </w:rPr>
      </w:pPr>
      <w:r>
        <w:rPr>
          <w:rFonts w:ascii="宋体" w:eastAsia="宋体" w:hAnsi="宋体" w:hint="eastAsia"/>
          <w:bCs/>
          <w:sz w:val="24"/>
          <w:szCs w:val="24"/>
        </w:rPr>
        <w:t>2</w:t>
      </w:r>
      <w:r>
        <w:rPr>
          <w:rFonts w:ascii="宋体" w:eastAsia="宋体" w:hAnsi="宋体" w:hint="eastAsia"/>
          <w:bCs/>
          <w:sz w:val="24"/>
          <w:szCs w:val="24"/>
        </w:rPr>
        <w:t>与分红相关的其他信息</w:t>
      </w:r>
    </w:p>
    <w:tbl>
      <w:tblPr>
        <w:tblW w:w="0" w:type="auto"/>
        <w:jc w:val="center"/>
        <w:tblInd w:w="116" w:type="dxa"/>
        <w:tblCellMar>
          <w:left w:w="0" w:type="dxa"/>
          <w:right w:w="0" w:type="dxa"/>
        </w:tblCellMar>
        <w:tblLook w:val="04A0"/>
      </w:tblPr>
      <w:tblGrid>
        <w:gridCol w:w="3067"/>
        <w:gridCol w:w="5877"/>
      </w:tblGrid>
      <w:tr w:rsidR="00146CA4">
        <w:trPr>
          <w:jc w:val="center"/>
        </w:trPr>
        <w:tc>
          <w:tcPr>
            <w:tcW w:w="30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权益登记日</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2025</w:t>
            </w:r>
            <w:r>
              <w:rPr>
                <w:rFonts w:ascii="宋体" w:hAnsi="宋体" w:cs="宋体"/>
                <w:color w:val="000000"/>
                <w:kern w:val="0"/>
                <w:szCs w:val="21"/>
              </w:rPr>
              <w:t>年</w:t>
            </w:r>
            <w:r>
              <w:rPr>
                <w:rFonts w:ascii="宋体" w:hAnsi="宋体" w:cs="宋体"/>
                <w:color w:val="000000"/>
                <w:kern w:val="0"/>
                <w:szCs w:val="21"/>
              </w:rPr>
              <w:t>01</w:t>
            </w:r>
            <w:r>
              <w:rPr>
                <w:rFonts w:ascii="宋体" w:hAnsi="宋体" w:cs="宋体"/>
                <w:color w:val="000000"/>
                <w:kern w:val="0"/>
                <w:szCs w:val="21"/>
              </w:rPr>
              <w:t>月</w:t>
            </w:r>
            <w:r>
              <w:rPr>
                <w:rFonts w:ascii="宋体" w:hAnsi="宋体" w:cs="宋体"/>
                <w:color w:val="000000"/>
                <w:kern w:val="0"/>
                <w:szCs w:val="21"/>
              </w:rPr>
              <w:t>10</w:t>
            </w:r>
            <w:r>
              <w:rPr>
                <w:rFonts w:ascii="宋体" w:hAnsi="宋体" w:cs="宋体"/>
                <w:color w:val="000000"/>
                <w:kern w:val="0"/>
                <w:szCs w:val="21"/>
              </w:rPr>
              <w:t>日</w:t>
            </w:r>
          </w:p>
        </w:tc>
      </w:tr>
      <w:tr w:rsidR="00146CA4">
        <w:trPr>
          <w:jc w:val="center"/>
        </w:trPr>
        <w:tc>
          <w:tcPr>
            <w:tcW w:w="30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除息日</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2025</w:t>
            </w:r>
            <w:r>
              <w:rPr>
                <w:rFonts w:ascii="宋体" w:hAnsi="宋体" w:cs="宋体"/>
                <w:color w:val="000000"/>
                <w:kern w:val="0"/>
                <w:szCs w:val="21"/>
              </w:rPr>
              <w:t>年</w:t>
            </w:r>
            <w:r>
              <w:rPr>
                <w:rFonts w:ascii="宋体" w:hAnsi="宋体" w:cs="宋体"/>
                <w:color w:val="000000"/>
                <w:kern w:val="0"/>
                <w:szCs w:val="21"/>
              </w:rPr>
              <w:t>01</w:t>
            </w:r>
            <w:r>
              <w:rPr>
                <w:rFonts w:ascii="宋体" w:hAnsi="宋体" w:cs="宋体"/>
                <w:color w:val="000000"/>
                <w:kern w:val="0"/>
                <w:szCs w:val="21"/>
              </w:rPr>
              <w:t>月</w:t>
            </w:r>
            <w:r>
              <w:rPr>
                <w:rFonts w:ascii="宋体" w:hAnsi="宋体" w:cs="宋体"/>
                <w:color w:val="000000"/>
                <w:kern w:val="0"/>
                <w:szCs w:val="21"/>
              </w:rPr>
              <w:t>10</w:t>
            </w:r>
            <w:r>
              <w:rPr>
                <w:rFonts w:ascii="宋体" w:hAnsi="宋体" w:cs="宋体"/>
                <w:color w:val="000000"/>
                <w:kern w:val="0"/>
                <w:szCs w:val="21"/>
              </w:rPr>
              <w:t>日</w:t>
            </w:r>
          </w:p>
        </w:tc>
      </w:tr>
      <w:tr w:rsidR="00146CA4">
        <w:trPr>
          <w:jc w:val="center"/>
        </w:trPr>
        <w:tc>
          <w:tcPr>
            <w:tcW w:w="30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lastRenderedPageBreak/>
              <w:t>现金红利发放日</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2025</w:t>
            </w:r>
            <w:r>
              <w:rPr>
                <w:rFonts w:ascii="宋体" w:hAnsi="宋体" w:cs="宋体"/>
                <w:color w:val="000000"/>
                <w:kern w:val="0"/>
                <w:szCs w:val="21"/>
              </w:rPr>
              <w:t>年</w:t>
            </w:r>
            <w:r>
              <w:rPr>
                <w:rFonts w:ascii="宋体" w:hAnsi="宋体" w:cs="宋体"/>
                <w:color w:val="000000"/>
                <w:kern w:val="0"/>
                <w:szCs w:val="21"/>
              </w:rPr>
              <w:t>01</w:t>
            </w:r>
            <w:r>
              <w:rPr>
                <w:rFonts w:ascii="宋体" w:hAnsi="宋体" w:cs="宋体"/>
                <w:color w:val="000000"/>
                <w:kern w:val="0"/>
                <w:szCs w:val="21"/>
              </w:rPr>
              <w:t>月</w:t>
            </w:r>
            <w:r>
              <w:rPr>
                <w:rFonts w:ascii="宋体" w:hAnsi="宋体" w:cs="宋体"/>
                <w:color w:val="000000"/>
                <w:kern w:val="0"/>
                <w:szCs w:val="21"/>
              </w:rPr>
              <w:t>14</w:t>
            </w:r>
            <w:r>
              <w:rPr>
                <w:rFonts w:ascii="宋体" w:hAnsi="宋体" w:cs="宋体"/>
                <w:color w:val="000000"/>
                <w:kern w:val="0"/>
                <w:szCs w:val="21"/>
              </w:rPr>
              <w:t>日</w:t>
            </w:r>
          </w:p>
        </w:tc>
      </w:tr>
      <w:tr w:rsidR="00146CA4">
        <w:trPr>
          <w:jc w:val="center"/>
        </w:trPr>
        <w:tc>
          <w:tcPr>
            <w:tcW w:w="30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分红对象</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本次收益分配对象为权益登记日在注册登记机构登记在册的本基金全体基金份额持有人。</w:t>
            </w:r>
          </w:p>
        </w:tc>
      </w:tr>
      <w:tr w:rsidR="00146CA4">
        <w:trPr>
          <w:jc w:val="center"/>
        </w:trPr>
        <w:tc>
          <w:tcPr>
            <w:tcW w:w="30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红利再投资相关事项的说明</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选择红利再投资方式的投资者红利再投资所得的基金份额将按</w:t>
            </w:r>
            <w:r>
              <w:rPr>
                <w:rFonts w:ascii="宋体" w:hAnsi="宋体" w:cs="宋体"/>
                <w:color w:val="000000"/>
                <w:kern w:val="0"/>
                <w:szCs w:val="21"/>
              </w:rPr>
              <w:t>2025</w:t>
            </w:r>
            <w:r>
              <w:rPr>
                <w:rFonts w:ascii="宋体" w:hAnsi="宋体" w:cs="宋体"/>
                <w:color w:val="000000"/>
                <w:kern w:val="0"/>
                <w:szCs w:val="21"/>
              </w:rPr>
              <w:t>年</w:t>
            </w:r>
            <w:r>
              <w:rPr>
                <w:rFonts w:ascii="宋体" w:hAnsi="宋体" w:cs="宋体"/>
                <w:color w:val="000000"/>
                <w:kern w:val="0"/>
                <w:szCs w:val="21"/>
              </w:rPr>
              <w:t>01</w:t>
            </w:r>
            <w:r>
              <w:rPr>
                <w:rFonts w:ascii="宋体" w:hAnsi="宋体" w:cs="宋体"/>
                <w:color w:val="000000"/>
                <w:kern w:val="0"/>
                <w:szCs w:val="21"/>
              </w:rPr>
              <w:t>月</w:t>
            </w:r>
            <w:r>
              <w:rPr>
                <w:rFonts w:ascii="宋体" w:hAnsi="宋体" w:cs="宋体"/>
                <w:color w:val="000000"/>
                <w:kern w:val="0"/>
                <w:szCs w:val="21"/>
              </w:rPr>
              <w:t>10</w:t>
            </w:r>
            <w:r>
              <w:rPr>
                <w:rFonts w:ascii="宋体" w:hAnsi="宋体" w:cs="宋体"/>
                <w:color w:val="000000"/>
                <w:kern w:val="0"/>
                <w:szCs w:val="21"/>
              </w:rPr>
              <w:t>日除息后的基金份额净值计算确定，</w:t>
            </w:r>
            <w:r>
              <w:rPr>
                <w:rFonts w:ascii="宋体" w:hAnsi="宋体" w:cs="宋体"/>
                <w:color w:val="000000"/>
                <w:kern w:val="0"/>
                <w:szCs w:val="21"/>
              </w:rPr>
              <w:t>2025</w:t>
            </w:r>
            <w:r>
              <w:rPr>
                <w:rFonts w:ascii="宋体" w:hAnsi="宋体" w:cs="宋体"/>
                <w:color w:val="000000"/>
                <w:kern w:val="0"/>
                <w:szCs w:val="21"/>
              </w:rPr>
              <w:t>年</w:t>
            </w:r>
            <w:r>
              <w:rPr>
                <w:rFonts w:ascii="宋体" w:hAnsi="宋体" w:cs="宋体"/>
                <w:color w:val="000000"/>
                <w:kern w:val="0"/>
                <w:szCs w:val="21"/>
              </w:rPr>
              <w:t>01</w:t>
            </w:r>
            <w:r>
              <w:rPr>
                <w:rFonts w:ascii="宋体" w:hAnsi="宋体" w:cs="宋体"/>
                <w:color w:val="000000"/>
                <w:kern w:val="0"/>
                <w:szCs w:val="21"/>
              </w:rPr>
              <w:t>月</w:t>
            </w:r>
            <w:r>
              <w:rPr>
                <w:rFonts w:ascii="宋体" w:hAnsi="宋体" w:cs="宋体"/>
                <w:color w:val="000000"/>
                <w:kern w:val="0"/>
                <w:szCs w:val="21"/>
              </w:rPr>
              <w:t>14</w:t>
            </w:r>
            <w:r>
              <w:rPr>
                <w:rFonts w:ascii="宋体" w:hAnsi="宋体" w:cs="宋体"/>
                <w:color w:val="000000"/>
                <w:kern w:val="0"/>
                <w:szCs w:val="21"/>
              </w:rPr>
              <w:t>日起投资者可以查询红利发放金额，红利再投资所得份额不受</w:t>
            </w:r>
            <w:r>
              <w:rPr>
                <w:rFonts w:ascii="宋体" w:hAnsi="宋体" w:cs="宋体"/>
                <w:color w:val="000000"/>
                <w:kern w:val="0"/>
                <w:szCs w:val="21"/>
              </w:rPr>
              <w:t>1</w:t>
            </w:r>
            <w:r>
              <w:rPr>
                <w:rFonts w:ascii="宋体" w:hAnsi="宋体" w:cs="宋体"/>
                <w:color w:val="000000"/>
                <w:kern w:val="0"/>
                <w:szCs w:val="21"/>
              </w:rPr>
              <w:t>年锁定持有期限制。</w:t>
            </w:r>
          </w:p>
        </w:tc>
      </w:tr>
      <w:tr w:rsidR="00146CA4">
        <w:trPr>
          <w:jc w:val="center"/>
        </w:trPr>
        <w:tc>
          <w:tcPr>
            <w:tcW w:w="30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税收相关事项的说明</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根据相关法律法规，基金向投资者分配的基金收益，暂免征收所得税。</w:t>
            </w:r>
            <w:r>
              <w:rPr>
                <w:rFonts w:ascii="宋体" w:hAnsi="宋体" w:cs="宋体"/>
                <w:color w:val="000000"/>
                <w:kern w:val="0"/>
                <w:szCs w:val="21"/>
              </w:rPr>
              <w:t xml:space="preserve"> </w:t>
            </w:r>
          </w:p>
        </w:tc>
      </w:tr>
      <w:tr w:rsidR="00146CA4">
        <w:trPr>
          <w:jc w:val="center"/>
        </w:trPr>
        <w:tc>
          <w:tcPr>
            <w:tcW w:w="30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费用相关事项的说明</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46CA4" w:rsidRDefault="00F14900">
            <w:pPr>
              <w:widowControl/>
              <w:jc w:val="left"/>
              <w:rPr>
                <w:rFonts w:ascii="宋体" w:hAnsi="宋体" w:cs="宋体"/>
                <w:color w:val="000000"/>
                <w:kern w:val="0"/>
                <w:szCs w:val="21"/>
              </w:rPr>
            </w:pPr>
            <w:r>
              <w:rPr>
                <w:rFonts w:ascii="宋体" w:hAnsi="宋体" w:cs="宋体"/>
                <w:color w:val="000000"/>
                <w:kern w:val="0"/>
                <w:szCs w:val="21"/>
              </w:rPr>
              <w:t>本基金本次分红免收分红手续费；选择红利再投资方式的投资者其红利再投资所得的基金份额免收申购费用。</w:t>
            </w:r>
            <w:r>
              <w:rPr>
                <w:rFonts w:ascii="宋体" w:hAnsi="宋体" w:cs="宋体"/>
                <w:color w:val="000000"/>
                <w:kern w:val="0"/>
                <w:szCs w:val="21"/>
              </w:rPr>
              <w:t xml:space="preserve"> </w:t>
            </w:r>
          </w:p>
        </w:tc>
      </w:tr>
    </w:tbl>
    <w:p w:rsidR="00146CA4" w:rsidRDefault="00146CA4">
      <w:pPr>
        <w:spacing w:line="360" w:lineRule="auto"/>
        <w:jc w:val="left"/>
        <w:rPr>
          <w:rFonts w:ascii="宋体" w:hAnsi="宋体"/>
          <w:bCs/>
          <w:szCs w:val="21"/>
        </w:rPr>
      </w:pPr>
      <w:bookmarkStart w:id="5" w:name="table_2"/>
      <w:bookmarkEnd w:id="5"/>
    </w:p>
    <w:p w:rsidR="00146CA4" w:rsidRDefault="00F14900" w:rsidP="00F14900">
      <w:pPr>
        <w:pStyle w:val="2"/>
        <w:spacing w:beforeLines="50" w:afterLines="50" w:line="240" w:lineRule="auto"/>
        <w:rPr>
          <w:rFonts w:ascii="宋体" w:eastAsia="宋体" w:hAnsi="宋体"/>
          <w:bCs/>
          <w:sz w:val="24"/>
          <w:szCs w:val="24"/>
        </w:rPr>
      </w:pPr>
      <w:r>
        <w:rPr>
          <w:rFonts w:ascii="宋体" w:eastAsia="宋体" w:hAnsi="宋体" w:hint="eastAsia"/>
          <w:bCs/>
          <w:sz w:val="24"/>
          <w:szCs w:val="24"/>
        </w:rPr>
        <w:t>3</w:t>
      </w:r>
      <w:r>
        <w:rPr>
          <w:rFonts w:ascii="宋体" w:eastAsia="宋体" w:hAnsi="宋体" w:hint="eastAsia"/>
          <w:bCs/>
          <w:sz w:val="24"/>
          <w:szCs w:val="24"/>
        </w:rPr>
        <w:t>其他需要提示的事项</w:t>
      </w:r>
    </w:p>
    <w:p w:rsidR="00146CA4" w:rsidRDefault="00F14900">
      <w:pPr>
        <w:spacing w:line="360" w:lineRule="auto"/>
        <w:ind w:firstLineChars="200" w:firstLine="420"/>
        <w:jc w:val="left"/>
        <w:rPr>
          <w:rFonts w:ascii="宋体" w:hAnsi="宋体"/>
          <w:szCs w:val="21"/>
        </w:rPr>
      </w:pPr>
      <w:bookmarkStart w:id="6" w:name="s2646"/>
      <w:r>
        <w:rPr>
          <w:rFonts w:ascii="宋体" w:hAnsi="宋体"/>
          <w:szCs w:val="21"/>
        </w:rPr>
        <w:t>（</w:t>
      </w:r>
      <w:r>
        <w:rPr>
          <w:rFonts w:ascii="宋体" w:hAnsi="宋体"/>
          <w:szCs w:val="21"/>
        </w:rPr>
        <w:t>1</w:t>
      </w:r>
      <w:r>
        <w:rPr>
          <w:rFonts w:ascii="宋体" w:hAnsi="宋体"/>
          <w:szCs w:val="21"/>
        </w:rPr>
        <w:t>）权益登记日申请申购（含定期定额投资、转换转入，如有）的基金份额不享有本次分红权益，权益登记日申请赎回（含转换转出，如有）的基金份额享有本次分红权益。</w:t>
      </w:r>
    </w:p>
    <w:p w:rsidR="00146CA4" w:rsidRDefault="00F14900">
      <w:pPr>
        <w:spacing w:line="360" w:lineRule="auto"/>
        <w:ind w:firstLineChars="200" w:firstLine="420"/>
        <w:jc w:val="left"/>
        <w:rPr>
          <w:rFonts w:ascii="宋体" w:hAnsi="宋体"/>
          <w:szCs w:val="21"/>
        </w:rPr>
      </w:pPr>
      <w:r>
        <w:rPr>
          <w:rFonts w:ascii="宋体" w:hAnsi="宋体"/>
          <w:szCs w:val="21"/>
        </w:rPr>
        <w:t>（</w:t>
      </w:r>
      <w:r>
        <w:rPr>
          <w:rFonts w:ascii="宋体" w:hAnsi="宋体"/>
          <w:szCs w:val="21"/>
        </w:rPr>
        <w:t>2</w:t>
      </w:r>
      <w:r>
        <w:rPr>
          <w:rFonts w:ascii="宋体" w:hAnsi="宋体"/>
          <w:szCs w:val="21"/>
        </w:rPr>
        <w:t>）本基金收益分配方式分为现金分红与红利再投资，投资人可选择现金红利或将现金红利按除权日的基金份额净值自动转为同一类别的基金份额进行再投资；若投资者不选择，本基金默认的收益分配方式是现金分红，本次分红确认的方式将按照投资者在权益登记日前（不含</w:t>
      </w:r>
      <w:r>
        <w:rPr>
          <w:rFonts w:ascii="宋体" w:hAnsi="宋体"/>
          <w:szCs w:val="21"/>
        </w:rPr>
        <w:t>2025</w:t>
      </w:r>
      <w:r>
        <w:rPr>
          <w:rFonts w:ascii="宋体" w:hAnsi="宋体"/>
          <w:szCs w:val="21"/>
        </w:rPr>
        <w:t>年</w:t>
      </w:r>
      <w:r>
        <w:rPr>
          <w:rFonts w:ascii="宋体" w:hAnsi="宋体"/>
          <w:szCs w:val="21"/>
        </w:rPr>
        <w:t>01</w:t>
      </w:r>
      <w:r>
        <w:rPr>
          <w:rFonts w:ascii="宋体" w:hAnsi="宋体"/>
          <w:szCs w:val="21"/>
        </w:rPr>
        <w:t>月</w:t>
      </w:r>
      <w:r>
        <w:rPr>
          <w:rFonts w:ascii="宋体" w:hAnsi="宋体"/>
          <w:szCs w:val="21"/>
        </w:rPr>
        <w:t>10</w:t>
      </w:r>
      <w:r>
        <w:rPr>
          <w:rFonts w:ascii="宋体" w:hAnsi="宋体"/>
          <w:szCs w:val="21"/>
        </w:rPr>
        <w:t>日）最后一次选择的分红方式为准。如投资者在多家销售机构购买了本基金，其在任一家销售机构所做的</w:t>
      </w:r>
      <w:r>
        <w:rPr>
          <w:rFonts w:ascii="宋体" w:hAnsi="宋体"/>
          <w:szCs w:val="21"/>
        </w:rPr>
        <w:t>基金份额的分红方式变更，只适用于该销售机构指定交易账户下托管的基金份额，投资者可登陆本公司官网查询本基金销售机构。</w:t>
      </w:r>
    </w:p>
    <w:p w:rsidR="00146CA4" w:rsidRDefault="00F14900">
      <w:pPr>
        <w:spacing w:line="360" w:lineRule="auto"/>
        <w:ind w:firstLineChars="200" w:firstLine="420"/>
        <w:jc w:val="left"/>
        <w:rPr>
          <w:rFonts w:ascii="宋体" w:hAnsi="宋体"/>
          <w:szCs w:val="21"/>
        </w:rPr>
      </w:pPr>
      <w:r>
        <w:rPr>
          <w:rFonts w:ascii="宋体" w:hAnsi="宋体"/>
          <w:szCs w:val="21"/>
        </w:rPr>
        <w:t>（</w:t>
      </w:r>
      <w:r>
        <w:rPr>
          <w:rFonts w:ascii="宋体" w:hAnsi="宋体"/>
          <w:szCs w:val="21"/>
        </w:rPr>
        <w:t>3</w:t>
      </w:r>
      <w:r>
        <w:rPr>
          <w:rFonts w:ascii="宋体" w:hAnsi="宋体"/>
          <w:szCs w:val="21"/>
        </w:rPr>
        <w:t>）根据相关法律法规和基金合同约定本基金不再符合基金分红条件的，本基金管理人可另行刊登相关公告决定是否予以分红或变更分红方案，并依法履行相关程序。</w:t>
      </w:r>
    </w:p>
    <w:p w:rsidR="00146CA4" w:rsidRDefault="00F14900">
      <w:pPr>
        <w:spacing w:line="360" w:lineRule="auto"/>
        <w:ind w:firstLineChars="200" w:firstLine="420"/>
        <w:jc w:val="left"/>
        <w:rPr>
          <w:rFonts w:ascii="宋体" w:hAnsi="宋体"/>
          <w:szCs w:val="21"/>
        </w:rPr>
      </w:pPr>
      <w:r>
        <w:rPr>
          <w:rFonts w:ascii="宋体" w:hAnsi="宋体"/>
          <w:szCs w:val="21"/>
        </w:rPr>
        <w:t>（</w:t>
      </w:r>
      <w:r>
        <w:rPr>
          <w:rFonts w:ascii="宋体" w:hAnsi="宋体"/>
          <w:szCs w:val="21"/>
        </w:rPr>
        <w:t>4</w:t>
      </w:r>
      <w:r>
        <w:rPr>
          <w:rFonts w:ascii="宋体" w:hAnsi="宋体"/>
          <w:szCs w:val="21"/>
        </w:rPr>
        <w:t>）咨询方式</w:t>
      </w:r>
    </w:p>
    <w:p w:rsidR="00146CA4" w:rsidRDefault="00F14900">
      <w:pPr>
        <w:spacing w:line="360" w:lineRule="auto"/>
        <w:ind w:firstLineChars="200" w:firstLine="420"/>
        <w:jc w:val="left"/>
        <w:rPr>
          <w:rFonts w:ascii="宋体" w:hAnsi="宋体"/>
          <w:szCs w:val="21"/>
        </w:rPr>
      </w:pPr>
      <w:r>
        <w:rPr>
          <w:rFonts w:ascii="宋体" w:hAnsi="宋体"/>
          <w:szCs w:val="21"/>
        </w:rPr>
        <w:t>a</w:t>
      </w:r>
      <w:r>
        <w:rPr>
          <w:rFonts w:ascii="宋体" w:hAnsi="宋体"/>
          <w:szCs w:val="21"/>
        </w:rPr>
        <w:t>登陆公司网站：</w:t>
      </w:r>
      <w:r>
        <w:rPr>
          <w:rFonts w:ascii="宋体" w:hAnsi="宋体"/>
          <w:szCs w:val="21"/>
        </w:rPr>
        <w:t>www.dfham.com</w:t>
      </w:r>
      <w:r>
        <w:rPr>
          <w:rFonts w:ascii="宋体" w:hAnsi="宋体"/>
          <w:szCs w:val="21"/>
        </w:rPr>
        <w:t>；</w:t>
      </w:r>
    </w:p>
    <w:p w:rsidR="00146CA4" w:rsidRDefault="00F14900">
      <w:pPr>
        <w:spacing w:line="360" w:lineRule="auto"/>
        <w:ind w:firstLineChars="200" w:firstLine="420"/>
        <w:jc w:val="left"/>
        <w:rPr>
          <w:rFonts w:ascii="宋体" w:hAnsi="宋体"/>
          <w:szCs w:val="21"/>
        </w:rPr>
      </w:pPr>
      <w:r>
        <w:rPr>
          <w:rFonts w:ascii="宋体" w:hAnsi="宋体"/>
          <w:szCs w:val="21"/>
        </w:rPr>
        <w:t>b</w:t>
      </w:r>
      <w:r>
        <w:rPr>
          <w:rFonts w:ascii="宋体" w:hAnsi="宋体"/>
          <w:szCs w:val="21"/>
        </w:rPr>
        <w:t>拨打客户服务热线：</w:t>
      </w:r>
      <w:r>
        <w:rPr>
          <w:rFonts w:ascii="宋体" w:hAnsi="宋体"/>
          <w:szCs w:val="21"/>
        </w:rPr>
        <w:t>4009200808</w:t>
      </w:r>
      <w:r>
        <w:rPr>
          <w:rFonts w:ascii="宋体" w:hAnsi="宋体"/>
          <w:szCs w:val="21"/>
        </w:rPr>
        <w:t>。</w:t>
      </w:r>
    </w:p>
    <w:p w:rsidR="00146CA4" w:rsidRDefault="00F14900">
      <w:pPr>
        <w:spacing w:line="360" w:lineRule="auto"/>
        <w:ind w:firstLineChars="200" w:firstLine="420"/>
        <w:jc w:val="left"/>
        <w:rPr>
          <w:rFonts w:ascii="宋体" w:hAnsi="宋体"/>
          <w:szCs w:val="21"/>
        </w:rPr>
      </w:pPr>
      <w:r>
        <w:rPr>
          <w:rFonts w:ascii="宋体" w:hAnsi="宋体"/>
          <w:szCs w:val="21"/>
        </w:rPr>
        <w:t>（</w:t>
      </w:r>
      <w:r>
        <w:rPr>
          <w:rFonts w:ascii="宋体" w:hAnsi="宋体"/>
          <w:szCs w:val="21"/>
        </w:rPr>
        <w:t>5</w:t>
      </w:r>
      <w:r>
        <w:rPr>
          <w:rFonts w:ascii="宋体" w:hAnsi="宋体"/>
          <w:szCs w:val="21"/>
        </w:rPr>
        <w:t>）风险提示：本基金管理人承诺以诚实信用、勤勉尽责的原则管理和运用基金财产，但不保证基金一定盈利，也不保证最低收益。因基金分红导致基金份额</w:t>
      </w:r>
      <w:r>
        <w:rPr>
          <w:rFonts w:ascii="宋体" w:hAnsi="宋体"/>
          <w:szCs w:val="21"/>
        </w:rPr>
        <w:t>净值变化，不会改变基金的风险收益特征，不会降低基金投资风险或提高基金投资收益。基金的过往业绩不代表未来表现，敬请投资者注意投资风险。投资者投资于上述基金前应认真阅读基金最新的基金合同、招募说明书、基金产品资料概要及相关业务公告。敬请投资者关注适当性管理相关规定，提前做好风险测评，并根据自身的风险承受能力购买风险等级相匹配的产品。</w:t>
      </w:r>
      <w:bookmarkEnd w:id="6"/>
    </w:p>
    <w:p w:rsidR="00146CA4" w:rsidRDefault="00146CA4">
      <w:pPr>
        <w:spacing w:line="360" w:lineRule="auto"/>
        <w:ind w:firstLineChars="200" w:firstLine="420"/>
        <w:jc w:val="left"/>
        <w:rPr>
          <w:rFonts w:ascii="宋体" w:hAnsi="宋体"/>
          <w:szCs w:val="21"/>
        </w:rPr>
      </w:pPr>
    </w:p>
    <w:p w:rsidR="00146CA4" w:rsidRDefault="00F14900">
      <w:pPr>
        <w:spacing w:line="360" w:lineRule="auto"/>
        <w:ind w:firstLineChars="200" w:firstLine="420"/>
        <w:jc w:val="right"/>
        <w:rPr>
          <w:rFonts w:ascii="宋体" w:hAnsi="宋体"/>
          <w:szCs w:val="30"/>
        </w:rPr>
      </w:pPr>
      <w:bookmarkStart w:id="7" w:name="s0186_1"/>
      <w:r>
        <w:rPr>
          <w:rFonts w:ascii="宋体" w:hAnsi="宋体"/>
          <w:szCs w:val="30"/>
        </w:rPr>
        <w:t>上海东方证券资产管理有限公司</w:t>
      </w:r>
      <w:bookmarkEnd w:id="7"/>
    </w:p>
    <w:p w:rsidR="00146CA4" w:rsidRDefault="00F14900">
      <w:pPr>
        <w:spacing w:line="360" w:lineRule="auto"/>
        <w:ind w:firstLineChars="200" w:firstLine="420"/>
        <w:jc w:val="right"/>
        <w:rPr>
          <w:rFonts w:ascii="宋体" w:hAnsi="宋体"/>
          <w:sz w:val="18"/>
          <w:szCs w:val="30"/>
        </w:rPr>
      </w:pPr>
      <w:bookmarkStart w:id="8" w:name="s0003_1"/>
      <w:r>
        <w:rPr>
          <w:rFonts w:ascii="宋体" w:hAnsi="宋体"/>
          <w:szCs w:val="30"/>
        </w:rPr>
        <w:t>2025</w:t>
      </w:r>
      <w:r>
        <w:rPr>
          <w:rFonts w:ascii="宋体" w:hAnsi="宋体"/>
          <w:szCs w:val="30"/>
        </w:rPr>
        <w:t>年</w:t>
      </w:r>
      <w:r>
        <w:rPr>
          <w:rFonts w:ascii="宋体" w:hAnsi="宋体"/>
          <w:szCs w:val="30"/>
        </w:rPr>
        <w:t>01</w:t>
      </w:r>
      <w:r>
        <w:rPr>
          <w:rFonts w:ascii="宋体" w:hAnsi="宋体"/>
          <w:szCs w:val="30"/>
        </w:rPr>
        <w:t>月</w:t>
      </w:r>
      <w:r>
        <w:rPr>
          <w:rFonts w:ascii="宋体" w:hAnsi="宋体"/>
          <w:szCs w:val="30"/>
        </w:rPr>
        <w:t>08</w:t>
      </w:r>
      <w:r>
        <w:rPr>
          <w:rFonts w:ascii="宋体" w:hAnsi="宋体"/>
          <w:szCs w:val="30"/>
        </w:rPr>
        <w:t>日</w:t>
      </w:r>
      <w:bookmarkEnd w:id="8"/>
    </w:p>
    <w:sectPr w:rsidR="00146CA4" w:rsidSect="00146CA4">
      <w:pgSz w:w="11906" w:h="16838"/>
      <w:pgMar w:top="1440" w:right="1531" w:bottom="1134" w:left="153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docVars>
    <w:docVar w:name="commondata" w:val="eyJoZGlkIjoiMGNmZTFhNjZiYTIxOTlmZTExNzBkNWQwODcyODUyNGUifQ=="/>
  </w:docVars>
  <w:rsids>
    <w:rsidRoot w:val="00146CA4"/>
    <w:rsid w:val="00146CA4"/>
    <w:rsid w:val="00F14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qFormat="1"/>
    <w:lsdException w:name="Title" w:semiHidden="0" w:uiPriority="10" w:unhideWhenUsed="0" w:qFormat="1"/>
    <w:lsdException w:name="Default Paragraph Fo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CA4"/>
    <w:pPr>
      <w:widowControl w:val="0"/>
      <w:jc w:val="both"/>
    </w:pPr>
    <w:rPr>
      <w:kern w:val="2"/>
      <w:sz w:val="21"/>
      <w:szCs w:val="22"/>
    </w:rPr>
  </w:style>
  <w:style w:type="paragraph" w:styleId="2">
    <w:name w:val="heading 2"/>
    <w:basedOn w:val="a"/>
    <w:next w:val="a"/>
    <w:link w:val="2Char"/>
    <w:qFormat/>
    <w:rsid w:val="00146CA4"/>
    <w:pPr>
      <w:keepNext/>
      <w:keepLines/>
      <w:spacing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146CA4"/>
    <w:pPr>
      <w:shd w:val="clear" w:color="auto" w:fill="000080"/>
    </w:pPr>
  </w:style>
  <w:style w:type="paragraph" w:styleId="a4">
    <w:name w:val="annotation text"/>
    <w:basedOn w:val="a"/>
    <w:link w:val="Char"/>
    <w:uiPriority w:val="99"/>
    <w:unhideWhenUsed/>
    <w:qFormat/>
    <w:rsid w:val="00146CA4"/>
    <w:pPr>
      <w:jc w:val="left"/>
    </w:pPr>
  </w:style>
  <w:style w:type="paragraph" w:styleId="a5">
    <w:name w:val="Balloon Text"/>
    <w:basedOn w:val="a"/>
    <w:link w:val="Char0"/>
    <w:uiPriority w:val="99"/>
    <w:unhideWhenUsed/>
    <w:qFormat/>
    <w:rsid w:val="00146CA4"/>
    <w:rPr>
      <w:sz w:val="18"/>
      <w:szCs w:val="18"/>
    </w:rPr>
  </w:style>
  <w:style w:type="paragraph" w:styleId="a6">
    <w:name w:val="footer"/>
    <w:basedOn w:val="a"/>
    <w:link w:val="Char1"/>
    <w:qFormat/>
    <w:rsid w:val="00146CA4"/>
    <w:pPr>
      <w:tabs>
        <w:tab w:val="center" w:pos="4153"/>
        <w:tab w:val="right" w:pos="8306"/>
      </w:tabs>
      <w:snapToGrid w:val="0"/>
      <w:jc w:val="left"/>
    </w:pPr>
    <w:rPr>
      <w:sz w:val="18"/>
      <w:szCs w:val="18"/>
    </w:rPr>
  </w:style>
  <w:style w:type="paragraph" w:styleId="a7">
    <w:name w:val="header"/>
    <w:basedOn w:val="a"/>
    <w:link w:val="Char2"/>
    <w:qFormat/>
    <w:rsid w:val="00146CA4"/>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3"/>
    <w:qFormat/>
    <w:rsid w:val="00146CA4"/>
    <w:pPr>
      <w:snapToGrid w:val="0"/>
      <w:jc w:val="left"/>
    </w:pPr>
    <w:rPr>
      <w:sz w:val="18"/>
      <w:szCs w:val="20"/>
    </w:rPr>
  </w:style>
  <w:style w:type="paragraph" w:styleId="a9">
    <w:name w:val="annotation subject"/>
    <w:basedOn w:val="a4"/>
    <w:next w:val="a4"/>
    <w:link w:val="Char4"/>
    <w:uiPriority w:val="99"/>
    <w:unhideWhenUsed/>
    <w:qFormat/>
    <w:rsid w:val="00146CA4"/>
    <w:rPr>
      <w:b/>
      <w:bCs/>
    </w:rPr>
  </w:style>
  <w:style w:type="character" w:styleId="aa">
    <w:name w:val="annotation reference"/>
    <w:uiPriority w:val="99"/>
    <w:unhideWhenUsed/>
    <w:qFormat/>
    <w:rsid w:val="00146CA4"/>
    <w:rPr>
      <w:sz w:val="21"/>
      <w:szCs w:val="21"/>
    </w:rPr>
  </w:style>
  <w:style w:type="character" w:styleId="ab">
    <w:name w:val="footnote reference"/>
    <w:qFormat/>
    <w:rsid w:val="00146CA4"/>
    <w:rPr>
      <w:vertAlign w:val="superscript"/>
    </w:rPr>
  </w:style>
  <w:style w:type="character" w:customStyle="1" w:styleId="2Char">
    <w:name w:val="标题 2 Char"/>
    <w:link w:val="2"/>
    <w:qFormat/>
    <w:rsid w:val="00146CA4"/>
    <w:rPr>
      <w:rFonts w:ascii="Arial" w:eastAsia="黑体" w:hAnsi="Arial"/>
      <w:b/>
      <w:kern w:val="2"/>
      <w:sz w:val="32"/>
    </w:rPr>
  </w:style>
  <w:style w:type="character" w:customStyle="1" w:styleId="Char">
    <w:name w:val="批注文字 Char"/>
    <w:link w:val="a4"/>
    <w:uiPriority w:val="99"/>
    <w:semiHidden/>
    <w:qFormat/>
    <w:rsid w:val="00146CA4"/>
    <w:rPr>
      <w:kern w:val="2"/>
      <w:sz w:val="21"/>
      <w:szCs w:val="22"/>
    </w:rPr>
  </w:style>
  <w:style w:type="character" w:customStyle="1" w:styleId="Char0">
    <w:name w:val="批注框文本 Char"/>
    <w:link w:val="a5"/>
    <w:uiPriority w:val="99"/>
    <w:semiHidden/>
    <w:qFormat/>
    <w:rsid w:val="00146CA4"/>
    <w:rPr>
      <w:kern w:val="2"/>
      <w:sz w:val="18"/>
      <w:szCs w:val="18"/>
    </w:rPr>
  </w:style>
  <w:style w:type="character" w:customStyle="1" w:styleId="Char1">
    <w:name w:val="页脚 Char"/>
    <w:link w:val="a6"/>
    <w:qFormat/>
    <w:rsid w:val="00146CA4"/>
    <w:rPr>
      <w:kern w:val="2"/>
      <w:sz w:val="18"/>
      <w:szCs w:val="18"/>
    </w:rPr>
  </w:style>
  <w:style w:type="character" w:customStyle="1" w:styleId="Char2">
    <w:name w:val="页眉 Char"/>
    <w:link w:val="a7"/>
    <w:qFormat/>
    <w:rsid w:val="00146CA4"/>
    <w:rPr>
      <w:kern w:val="2"/>
      <w:sz w:val="18"/>
      <w:szCs w:val="18"/>
    </w:rPr>
  </w:style>
  <w:style w:type="character" w:customStyle="1" w:styleId="Char3">
    <w:name w:val="脚注文本 Char"/>
    <w:link w:val="a8"/>
    <w:qFormat/>
    <w:rsid w:val="00146CA4"/>
    <w:rPr>
      <w:rFonts w:ascii="Times New Roman" w:hAnsi="Times New Roman"/>
      <w:kern w:val="2"/>
      <w:sz w:val="18"/>
    </w:rPr>
  </w:style>
  <w:style w:type="character" w:customStyle="1" w:styleId="Char4">
    <w:name w:val="批注主题 Char"/>
    <w:link w:val="a9"/>
    <w:uiPriority w:val="99"/>
    <w:semiHidden/>
    <w:qFormat/>
    <w:rsid w:val="00146CA4"/>
    <w:rPr>
      <w:b/>
      <w:bCs/>
      <w:kern w:val="2"/>
      <w:sz w:val="21"/>
      <w:szCs w:val="22"/>
    </w:rPr>
  </w:style>
  <w:style w:type="paragraph" w:customStyle="1" w:styleId="Char5">
    <w:name w:val="Char"/>
    <w:basedOn w:val="a"/>
    <w:qFormat/>
    <w:rsid w:val="00146CA4"/>
    <w:rPr>
      <w:szCs w:val="24"/>
    </w:rPr>
  </w:style>
  <w:style w:type="paragraph" w:customStyle="1" w:styleId="Style21">
    <w:name w:val="_Style 21"/>
    <w:uiPriority w:val="99"/>
    <w:semiHidden/>
    <w:qFormat/>
    <w:rsid w:val="00146CA4"/>
    <w:rPr>
      <w:kern w:val="2"/>
      <w:sz w:val="21"/>
      <w:szCs w:val="22"/>
    </w:rPr>
  </w:style>
  <w:style w:type="character" w:customStyle="1" w:styleId="s2815">
    <w:name w:val="s2815"/>
    <w:basedOn w:val="a0"/>
    <w:rsid w:val="00146CA4"/>
  </w:style>
  <w:style w:type="character" w:customStyle="1" w:styleId="levelY">
    <w:name w:val="level_Y"/>
    <w:basedOn w:val="a0"/>
    <w:rsid w:val="00146CA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1591</Characters>
  <Application>Microsoft Office Word</Application>
  <DocSecurity>4</DocSecurity>
  <Lines>13</Lines>
  <Paragraphs>3</Paragraphs>
  <ScaleCrop>false</ScaleCrop>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Administrator</dc:creator>
  <cp:lastModifiedBy>ZHONGM</cp:lastModifiedBy>
  <cp:revision>2</cp:revision>
  <cp:lastPrinted>2018-12-19T02:55:00Z</cp:lastPrinted>
  <dcterms:created xsi:type="dcterms:W3CDTF">2025-01-07T16:00:00Z</dcterms:created>
  <dcterms:modified xsi:type="dcterms:W3CDTF">2025-01-07T16:00:00Z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1E1D7483D39041A1AD51B74FB19AD2F6_13</vt:lpwstr>
  </property>
  <property fmtid="{D5CDD505-2E9C-101B-9397-08002B2CF9AE}" pid="3" name="KSOProductBuildVer">
    <vt:lpwstr>2052-0.0.0.0</vt:lpwstr>
  </property>
</Properties>
</file>