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GoBack"/>
      <w:bookmarkStart w:id="1" w:name="_Toc249760023"/>
      <w:bookmarkEnd w:id="0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8A5BE6" w:rsidRPr="008A5BE6">
        <w:rPr>
          <w:rFonts w:hint="eastAsia"/>
          <w:b/>
          <w:bCs/>
          <w:color w:val="000000"/>
          <w:sz w:val="30"/>
          <w:szCs w:val="30"/>
        </w:rPr>
        <w:t>交银施罗德智选进取三个月持有期混合型发起式基金中基金（</w:t>
      </w:r>
      <w:r w:rsidR="008A5BE6" w:rsidRPr="008A5BE6">
        <w:rPr>
          <w:rFonts w:hint="eastAsia"/>
          <w:b/>
          <w:bCs/>
          <w:color w:val="000000"/>
          <w:sz w:val="30"/>
          <w:szCs w:val="30"/>
        </w:rPr>
        <w:t>FOF</w:t>
      </w:r>
      <w:r w:rsidR="008A5BE6" w:rsidRPr="008A5BE6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暂停申购、赎回和定期定额投资业务的公告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D32DDA">
        <w:rPr>
          <w:sz w:val="24"/>
        </w:rPr>
        <w:t>2025</w:t>
      </w:r>
      <w:r w:rsidR="00D32DDA">
        <w:rPr>
          <w:sz w:val="24"/>
        </w:rPr>
        <w:t>年</w:t>
      </w:r>
      <w:r w:rsidR="00D32DDA">
        <w:rPr>
          <w:sz w:val="24"/>
        </w:rPr>
        <w:t>1</w:t>
      </w:r>
      <w:r w:rsidR="00D32DDA">
        <w:rPr>
          <w:rFonts w:hint="eastAsia"/>
          <w:sz w:val="24"/>
        </w:rPr>
        <w:t>月</w:t>
      </w:r>
      <w:r w:rsidR="00D32DDA">
        <w:rPr>
          <w:sz w:val="24"/>
        </w:rPr>
        <w:t>6</w:t>
      </w:r>
      <w:r w:rsidR="00D32DDA">
        <w:rPr>
          <w:rFonts w:hint="eastAsia"/>
          <w:sz w:val="24"/>
        </w:rPr>
        <w:t>日</w:t>
      </w:r>
    </w:p>
    <w:bookmarkEnd w:id="1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1"/>
        <w:gridCol w:w="2891"/>
        <w:gridCol w:w="3496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8A5BE6">
            <w:pPr>
              <w:jc w:val="left"/>
              <w:rPr>
                <w:sz w:val="24"/>
              </w:rPr>
            </w:pPr>
            <w:r w:rsidRPr="008A5BE6">
              <w:rPr>
                <w:rFonts w:hint="eastAsia"/>
                <w:sz w:val="24"/>
              </w:rPr>
              <w:t>交银施罗德智选进取三个月持有期混合型发起式基金中基金（</w:t>
            </w:r>
            <w:r w:rsidRPr="008A5BE6">
              <w:rPr>
                <w:rFonts w:hint="eastAsia"/>
                <w:sz w:val="24"/>
              </w:rPr>
              <w:t>FOF</w:t>
            </w:r>
            <w:r w:rsidRPr="008A5BE6"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97458">
            <w:pPr>
              <w:rPr>
                <w:kern w:val="0"/>
                <w:sz w:val="20"/>
                <w:szCs w:val="20"/>
              </w:rPr>
            </w:pPr>
            <w:r w:rsidRPr="00E97458">
              <w:rPr>
                <w:rFonts w:hint="eastAsia"/>
                <w:sz w:val="24"/>
              </w:rPr>
              <w:t>交银智选进取三个月持有期混合发起（</w:t>
            </w:r>
            <w:r w:rsidRPr="00E97458">
              <w:rPr>
                <w:rFonts w:hint="eastAsia"/>
                <w:sz w:val="24"/>
              </w:rPr>
              <w:t>FOF</w:t>
            </w:r>
            <w:r w:rsidRPr="00E97458"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97458">
            <w:pPr>
              <w:rPr>
                <w:sz w:val="24"/>
              </w:rPr>
            </w:pPr>
            <w:r w:rsidRPr="00E97458">
              <w:rPr>
                <w:sz w:val="24"/>
              </w:rPr>
              <w:t>019211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E97458" w:rsidRPr="00E97458">
              <w:rPr>
                <w:rFonts w:hint="eastAsia"/>
                <w:sz w:val="24"/>
              </w:rPr>
              <w:t>交银施罗德智选进取三个月持有期混合型发起式基金中基金（</w:t>
            </w:r>
            <w:r w:rsidR="00E97458" w:rsidRPr="00E97458">
              <w:rPr>
                <w:rFonts w:hint="eastAsia"/>
                <w:sz w:val="24"/>
              </w:rPr>
              <w:t>FOF</w:t>
            </w:r>
            <w:r w:rsidR="00E97458" w:rsidRPr="00E97458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E97458" w:rsidRPr="00E97458">
              <w:rPr>
                <w:rFonts w:hint="eastAsia"/>
                <w:sz w:val="24"/>
              </w:rPr>
              <w:t>交银施罗德智选进取三个月持有期混合型发起式基金中基金（</w:t>
            </w:r>
            <w:r w:rsidR="00E97458" w:rsidRPr="00E97458">
              <w:rPr>
                <w:rFonts w:hint="eastAsia"/>
                <w:sz w:val="24"/>
              </w:rPr>
              <w:t>FOF</w:t>
            </w:r>
            <w:r w:rsidR="00E97458" w:rsidRPr="00E97458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E97458" w:rsidTr="00FD4448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D32DDA">
            <w:r>
              <w:rPr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>
              <w:rPr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7458" w:rsidTr="00FD4448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D32DDA">
            <w:r>
              <w:rPr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>
              <w:rPr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7458" w:rsidTr="00FD4448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0C148B" w:rsidP="00D32DDA">
            <w:r>
              <w:rPr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>
              <w:rPr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7458" w:rsidTr="00FD4448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Pr="00FD4448" w:rsidRDefault="00B56F38" w:rsidP="00D32DDA">
            <w:pPr>
              <w:rPr>
                <w:sz w:val="24"/>
              </w:rPr>
            </w:pPr>
            <w:r w:rsidRPr="00B56F38">
              <w:rPr>
                <w:rFonts w:hint="eastAsia"/>
                <w:sz w:val="24"/>
              </w:rPr>
              <w:t>为</w:t>
            </w:r>
            <w:r w:rsidR="001C76BD" w:rsidRPr="001C76BD">
              <w:rPr>
                <w:rFonts w:hint="eastAsia"/>
                <w:sz w:val="24"/>
              </w:rPr>
              <w:t>保护基金份额持有人的利益</w:t>
            </w:r>
            <w:r w:rsidR="00E97458">
              <w:rPr>
                <w:rFonts w:hint="eastAsia"/>
                <w:sz w:val="24"/>
              </w:rPr>
              <w:t>，交银施罗德基金管理有限公司（以下简称“本公司”）决定于</w:t>
            </w:r>
            <w:r w:rsidR="00D32DDA">
              <w:rPr>
                <w:rFonts w:hint="eastAsia"/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 w:rsidR="00D32DDA">
              <w:rPr>
                <w:rFonts w:hint="eastAsia"/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 w:rsidR="00D32DDA"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 w:rsidR="00D32DDA">
              <w:rPr>
                <w:rFonts w:hint="eastAsia"/>
                <w:sz w:val="24"/>
              </w:rPr>
              <w:t>日</w:t>
            </w:r>
            <w:r w:rsidR="00F04190">
              <w:rPr>
                <w:rFonts w:hint="eastAsia"/>
                <w:sz w:val="24"/>
              </w:rPr>
              <w:t>（星期二）</w:t>
            </w:r>
            <w:r w:rsidR="00E97458">
              <w:rPr>
                <w:rFonts w:hint="eastAsia"/>
                <w:sz w:val="24"/>
              </w:rPr>
              <w:t>起暂停本基金的申购、赎回和定期定额投资业务。</w:t>
            </w:r>
          </w:p>
        </w:tc>
      </w:tr>
      <w:tr w:rsidR="00E97458" w:rsidRPr="00976AC3" w:rsidDel="00B35883" w:rsidTr="00FD4448">
        <w:tblPrEx>
          <w:tblLook w:val="01E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458" w:rsidRDefault="00E97458" w:rsidP="00E9745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Pr="00976AC3" w:rsidRDefault="000C148B" w:rsidP="00E97458">
            <w:pPr>
              <w:rPr>
                <w:sz w:val="24"/>
              </w:rPr>
            </w:pPr>
            <w:r w:rsidRPr="00E97458">
              <w:rPr>
                <w:rFonts w:hint="eastAsia"/>
                <w:sz w:val="24"/>
              </w:rPr>
              <w:t>交银智选进取三个月持有期混合发起（</w:t>
            </w:r>
            <w:r w:rsidRPr="00E97458">
              <w:rPr>
                <w:rFonts w:hint="eastAsia"/>
                <w:sz w:val="24"/>
              </w:rPr>
              <w:t>FOF</w:t>
            </w:r>
            <w:r w:rsidRPr="00E97458">
              <w:rPr>
                <w:rFonts w:hint="eastAsia"/>
                <w:sz w:val="24"/>
              </w:rPr>
              <w:t>）</w:t>
            </w:r>
            <w:r w:rsidR="00E97458">
              <w:rPr>
                <w:rFonts w:hint="eastAsia"/>
                <w:sz w:val="24"/>
              </w:rPr>
              <w:t>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458" w:rsidRPr="00976AC3" w:rsidDel="00B35883" w:rsidRDefault="000C148B" w:rsidP="00E97458">
            <w:pPr>
              <w:rPr>
                <w:sz w:val="24"/>
              </w:rPr>
            </w:pPr>
            <w:r w:rsidRPr="00E97458">
              <w:rPr>
                <w:rFonts w:hint="eastAsia"/>
                <w:sz w:val="24"/>
              </w:rPr>
              <w:t>交银智选进取三个月持有期混合发起（</w:t>
            </w:r>
            <w:r w:rsidRPr="00E97458">
              <w:rPr>
                <w:rFonts w:hint="eastAsia"/>
                <w:sz w:val="24"/>
              </w:rPr>
              <w:t>FOF</w:t>
            </w:r>
            <w:r w:rsidRPr="00E97458">
              <w:rPr>
                <w:rFonts w:hint="eastAsia"/>
                <w:sz w:val="24"/>
              </w:rPr>
              <w:t>）</w:t>
            </w:r>
            <w:r w:rsidR="00E97458" w:rsidRPr="005B61E9">
              <w:rPr>
                <w:rFonts w:hint="eastAsia"/>
                <w:sz w:val="24"/>
              </w:rPr>
              <w:t>C</w:t>
            </w:r>
          </w:p>
        </w:tc>
      </w:tr>
      <w:tr w:rsidR="000C148B" w:rsidRPr="00976AC3" w:rsidDel="00B35883" w:rsidTr="00FD4448">
        <w:tblPrEx>
          <w:tblLook w:val="01E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148B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8B" w:rsidRPr="008E4C5F" w:rsidRDefault="000C148B" w:rsidP="000C148B">
            <w:pPr>
              <w:rPr>
                <w:sz w:val="24"/>
              </w:rPr>
            </w:pPr>
            <w:r w:rsidRPr="00E97458">
              <w:rPr>
                <w:sz w:val="24"/>
              </w:rPr>
              <w:t>019211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8B" w:rsidRPr="00976AC3" w:rsidDel="00B35883" w:rsidRDefault="000C148B" w:rsidP="000C148B">
            <w:pPr>
              <w:rPr>
                <w:sz w:val="24"/>
              </w:rPr>
            </w:pPr>
            <w:r w:rsidRPr="00E97458">
              <w:rPr>
                <w:sz w:val="24"/>
              </w:rPr>
              <w:t>01921</w:t>
            </w:r>
            <w:r>
              <w:rPr>
                <w:sz w:val="24"/>
              </w:rPr>
              <w:t>2</w:t>
            </w:r>
          </w:p>
        </w:tc>
      </w:tr>
      <w:tr w:rsidR="000C148B" w:rsidDel="00B35883" w:rsidTr="00FD4448">
        <w:tblPrEx>
          <w:tblLook w:val="01E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8B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8B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8B" w:rsidDel="00B35883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 w:rsidP="009B69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F33F87" w:rsidRPr="00F33F87">
        <w:rPr>
          <w:rFonts w:hint="eastAsia"/>
          <w:color w:val="000000"/>
          <w:sz w:val="24"/>
        </w:rPr>
        <w:t>本基金将于</w:t>
      </w:r>
      <w:r w:rsidR="00D34B54" w:rsidRPr="000825AC">
        <w:rPr>
          <w:rFonts w:hint="eastAsia"/>
          <w:color w:val="000000"/>
          <w:sz w:val="24"/>
        </w:rPr>
        <w:t>202</w:t>
      </w:r>
      <w:r w:rsidR="00D32DDA">
        <w:rPr>
          <w:color w:val="000000"/>
          <w:sz w:val="24"/>
        </w:rPr>
        <w:t>5</w:t>
      </w:r>
      <w:r w:rsidR="00D34B54" w:rsidRPr="000825AC">
        <w:rPr>
          <w:rFonts w:hint="eastAsia"/>
          <w:color w:val="000000"/>
          <w:sz w:val="24"/>
        </w:rPr>
        <w:t>年</w:t>
      </w:r>
      <w:r w:rsidR="00D32DDA">
        <w:rPr>
          <w:color w:val="000000"/>
          <w:sz w:val="24"/>
        </w:rPr>
        <w:t>1</w:t>
      </w:r>
      <w:r w:rsidR="00D34B54" w:rsidRPr="000825AC">
        <w:rPr>
          <w:rFonts w:hint="eastAsia"/>
          <w:color w:val="000000"/>
          <w:sz w:val="24"/>
        </w:rPr>
        <w:t>月</w:t>
      </w:r>
      <w:r w:rsidR="00D32DDA">
        <w:rPr>
          <w:color w:val="000000"/>
          <w:sz w:val="24"/>
        </w:rPr>
        <w:t>9</w:t>
      </w:r>
      <w:r w:rsidR="00D34B54" w:rsidRPr="000825AC">
        <w:rPr>
          <w:rFonts w:hint="eastAsia"/>
          <w:color w:val="000000"/>
          <w:sz w:val="24"/>
        </w:rPr>
        <w:t>日</w:t>
      </w:r>
      <w:r w:rsidR="00F33F87" w:rsidRPr="00F33F87">
        <w:rPr>
          <w:rFonts w:hint="eastAsia"/>
          <w:color w:val="000000"/>
          <w:sz w:val="24"/>
        </w:rPr>
        <w:t>起恢复办理申购、赎回、定期定额投资业务，届时不再另行公告。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9B6953"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 w:rsidSect="00DA6BC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78" w:rsidRDefault="003F7678">
      <w:r>
        <w:separator/>
      </w:r>
    </w:p>
  </w:endnote>
  <w:endnote w:type="continuationSeparator" w:id="0">
    <w:p w:rsidR="003F7678" w:rsidRDefault="003F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78" w:rsidRDefault="003F7678">
      <w:r>
        <w:separator/>
      </w:r>
    </w:p>
  </w:footnote>
  <w:footnote w:type="continuationSeparator" w:id="0">
    <w:p w:rsidR="003F7678" w:rsidRDefault="003F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D1" w:rsidRDefault="002F21FD">
    <w:pPr>
      <w:pStyle w:val="a6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8D5"/>
    <w:rsid w:val="000072BE"/>
    <w:rsid w:val="0002200B"/>
    <w:rsid w:val="00031FF8"/>
    <w:rsid w:val="00036C65"/>
    <w:rsid w:val="00046E9C"/>
    <w:rsid w:val="00066A2C"/>
    <w:rsid w:val="00081891"/>
    <w:rsid w:val="00081DCE"/>
    <w:rsid w:val="000825AC"/>
    <w:rsid w:val="000A1123"/>
    <w:rsid w:val="000A5FA3"/>
    <w:rsid w:val="000B15D6"/>
    <w:rsid w:val="000B6E16"/>
    <w:rsid w:val="000C148B"/>
    <w:rsid w:val="000C6EA7"/>
    <w:rsid w:val="000C788E"/>
    <w:rsid w:val="000C7A3A"/>
    <w:rsid w:val="000E1720"/>
    <w:rsid w:val="001026C6"/>
    <w:rsid w:val="00102C45"/>
    <w:rsid w:val="001064E1"/>
    <w:rsid w:val="0010669B"/>
    <w:rsid w:val="001177A2"/>
    <w:rsid w:val="001177E6"/>
    <w:rsid w:val="001259DA"/>
    <w:rsid w:val="00131560"/>
    <w:rsid w:val="00144688"/>
    <w:rsid w:val="00167036"/>
    <w:rsid w:val="00167CB1"/>
    <w:rsid w:val="001771BB"/>
    <w:rsid w:val="0017781E"/>
    <w:rsid w:val="00194BE7"/>
    <w:rsid w:val="001A0AEA"/>
    <w:rsid w:val="001A540E"/>
    <w:rsid w:val="001B18D5"/>
    <w:rsid w:val="001B2C80"/>
    <w:rsid w:val="001B46D0"/>
    <w:rsid w:val="001B7FFC"/>
    <w:rsid w:val="001C0C74"/>
    <w:rsid w:val="001C76BD"/>
    <w:rsid w:val="001D06BE"/>
    <w:rsid w:val="001D697E"/>
    <w:rsid w:val="001D7512"/>
    <w:rsid w:val="001E3D7A"/>
    <w:rsid w:val="001E59B3"/>
    <w:rsid w:val="001E6237"/>
    <w:rsid w:val="002179AD"/>
    <w:rsid w:val="00220101"/>
    <w:rsid w:val="002300E8"/>
    <w:rsid w:val="00233321"/>
    <w:rsid w:val="00236796"/>
    <w:rsid w:val="002370E1"/>
    <w:rsid w:val="00241C9C"/>
    <w:rsid w:val="00243A26"/>
    <w:rsid w:val="0026040C"/>
    <w:rsid w:val="002647E2"/>
    <w:rsid w:val="00274B91"/>
    <w:rsid w:val="00293AA5"/>
    <w:rsid w:val="002B6FE8"/>
    <w:rsid w:val="002E26DC"/>
    <w:rsid w:val="002E4451"/>
    <w:rsid w:val="002E46A6"/>
    <w:rsid w:val="002E5563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6368D"/>
    <w:rsid w:val="00371771"/>
    <w:rsid w:val="003775D4"/>
    <w:rsid w:val="00381395"/>
    <w:rsid w:val="0038427A"/>
    <w:rsid w:val="00386330"/>
    <w:rsid w:val="00387344"/>
    <w:rsid w:val="00387D1D"/>
    <w:rsid w:val="003A116A"/>
    <w:rsid w:val="003A5ACD"/>
    <w:rsid w:val="003C056B"/>
    <w:rsid w:val="003C580C"/>
    <w:rsid w:val="003D2213"/>
    <w:rsid w:val="003F0743"/>
    <w:rsid w:val="003F65D7"/>
    <w:rsid w:val="003F7678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24CD"/>
    <w:rsid w:val="004A4F96"/>
    <w:rsid w:val="004B021D"/>
    <w:rsid w:val="004B5F23"/>
    <w:rsid w:val="004C4847"/>
    <w:rsid w:val="004E0C62"/>
    <w:rsid w:val="004F2F0B"/>
    <w:rsid w:val="00500D62"/>
    <w:rsid w:val="00501C93"/>
    <w:rsid w:val="005107ED"/>
    <w:rsid w:val="0051133E"/>
    <w:rsid w:val="0052411F"/>
    <w:rsid w:val="005361D6"/>
    <w:rsid w:val="00543AA7"/>
    <w:rsid w:val="00545219"/>
    <w:rsid w:val="00567D1B"/>
    <w:rsid w:val="00573695"/>
    <w:rsid w:val="00592B63"/>
    <w:rsid w:val="005972D2"/>
    <w:rsid w:val="005A2917"/>
    <w:rsid w:val="005A33D0"/>
    <w:rsid w:val="005B2EA5"/>
    <w:rsid w:val="005B61E9"/>
    <w:rsid w:val="005C0CC6"/>
    <w:rsid w:val="005C17EC"/>
    <w:rsid w:val="005C21E9"/>
    <w:rsid w:val="005D003E"/>
    <w:rsid w:val="005D1892"/>
    <w:rsid w:val="005D18C2"/>
    <w:rsid w:val="005D1BA8"/>
    <w:rsid w:val="005D3A38"/>
    <w:rsid w:val="005D5FEE"/>
    <w:rsid w:val="005F1D07"/>
    <w:rsid w:val="005F78D0"/>
    <w:rsid w:val="00605216"/>
    <w:rsid w:val="006246ED"/>
    <w:rsid w:val="00625772"/>
    <w:rsid w:val="00626804"/>
    <w:rsid w:val="0062688B"/>
    <w:rsid w:val="0063296A"/>
    <w:rsid w:val="00654EAE"/>
    <w:rsid w:val="00662458"/>
    <w:rsid w:val="00670AC0"/>
    <w:rsid w:val="0067229A"/>
    <w:rsid w:val="006728BF"/>
    <w:rsid w:val="006849E0"/>
    <w:rsid w:val="006927E3"/>
    <w:rsid w:val="00694C69"/>
    <w:rsid w:val="006A624A"/>
    <w:rsid w:val="006B1C27"/>
    <w:rsid w:val="0070143C"/>
    <w:rsid w:val="00704EA1"/>
    <w:rsid w:val="00707143"/>
    <w:rsid w:val="007123AE"/>
    <w:rsid w:val="00721BC4"/>
    <w:rsid w:val="00726AB2"/>
    <w:rsid w:val="00727B57"/>
    <w:rsid w:val="00730C90"/>
    <w:rsid w:val="00747232"/>
    <w:rsid w:val="00747F7F"/>
    <w:rsid w:val="00772123"/>
    <w:rsid w:val="00774AC0"/>
    <w:rsid w:val="00781874"/>
    <w:rsid w:val="00782425"/>
    <w:rsid w:val="0078413B"/>
    <w:rsid w:val="00787AA4"/>
    <w:rsid w:val="007B495D"/>
    <w:rsid w:val="007C4750"/>
    <w:rsid w:val="007D4AD2"/>
    <w:rsid w:val="007F1BA1"/>
    <w:rsid w:val="008011B9"/>
    <w:rsid w:val="00824238"/>
    <w:rsid w:val="0084246E"/>
    <w:rsid w:val="00854E22"/>
    <w:rsid w:val="00856AAD"/>
    <w:rsid w:val="00856E09"/>
    <w:rsid w:val="00861631"/>
    <w:rsid w:val="008641DA"/>
    <w:rsid w:val="00867697"/>
    <w:rsid w:val="008737FA"/>
    <w:rsid w:val="00880309"/>
    <w:rsid w:val="00896C0A"/>
    <w:rsid w:val="008A5BE6"/>
    <w:rsid w:val="008A66FA"/>
    <w:rsid w:val="008A776C"/>
    <w:rsid w:val="008C3FD3"/>
    <w:rsid w:val="008E0CA6"/>
    <w:rsid w:val="008E33CD"/>
    <w:rsid w:val="008E4F89"/>
    <w:rsid w:val="008F567D"/>
    <w:rsid w:val="00910246"/>
    <w:rsid w:val="009103D4"/>
    <w:rsid w:val="0091165F"/>
    <w:rsid w:val="00916A7B"/>
    <w:rsid w:val="00920E12"/>
    <w:rsid w:val="00922878"/>
    <w:rsid w:val="009403A4"/>
    <w:rsid w:val="00942836"/>
    <w:rsid w:val="00942E72"/>
    <w:rsid w:val="00944434"/>
    <w:rsid w:val="00946387"/>
    <w:rsid w:val="00946F1A"/>
    <w:rsid w:val="009A129F"/>
    <w:rsid w:val="009A665D"/>
    <w:rsid w:val="009B313D"/>
    <w:rsid w:val="009B6953"/>
    <w:rsid w:val="009C00CB"/>
    <w:rsid w:val="009C2483"/>
    <w:rsid w:val="009C50DD"/>
    <w:rsid w:val="009E1D3E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85598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0493E"/>
    <w:rsid w:val="00B12396"/>
    <w:rsid w:val="00B17E7D"/>
    <w:rsid w:val="00B206C1"/>
    <w:rsid w:val="00B5512F"/>
    <w:rsid w:val="00B56F38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BF57B3"/>
    <w:rsid w:val="00C11EC5"/>
    <w:rsid w:val="00C12757"/>
    <w:rsid w:val="00C225E3"/>
    <w:rsid w:val="00C25CE6"/>
    <w:rsid w:val="00C32F38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B1C76"/>
    <w:rsid w:val="00CC1261"/>
    <w:rsid w:val="00CD3003"/>
    <w:rsid w:val="00CD4E22"/>
    <w:rsid w:val="00CF747C"/>
    <w:rsid w:val="00D0105A"/>
    <w:rsid w:val="00D060F7"/>
    <w:rsid w:val="00D102A5"/>
    <w:rsid w:val="00D2060E"/>
    <w:rsid w:val="00D25EAD"/>
    <w:rsid w:val="00D2635C"/>
    <w:rsid w:val="00D26C41"/>
    <w:rsid w:val="00D32DDA"/>
    <w:rsid w:val="00D34B54"/>
    <w:rsid w:val="00D551C0"/>
    <w:rsid w:val="00D65254"/>
    <w:rsid w:val="00D66FF3"/>
    <w:rsid w:val="00D717E6"/>
    <w:rsid w:val="00D762CB"/>
    <w:rsid w:val="00D90339"/>
    <w:rsid w:val="00D90ADA"/>
    <w:rsid w:val="00DA2FB1"/>
    <w:rsid w:val="00DA6BC7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8692F"/>
    <w:rsid w:val="00E97458"/>
    <w:rsid w:val="00EA2F18"/>
    <w:rsid w:val="00EB338E"/>
    <w:rsid w:val="00EB45D1"/>
    <w:rsid w:val="00EC0491"/>
    <w:rsid w:val="00ED35E0"/>
    <w:rsid w:val="00F00584"/>
    <w:rsid w:val="00F02107"/>
    <w:rsid w:val="00F04190"/>
    <w:rsid w:val="00F10708"/>
    <w:rsid w:val="00F33F87"/>
    <w:rsid w:val="00F3528F"/>
    <w:rsid w:val="00F46272"/>
    <w:rsid w:val="00F46C17"/>
    <w:rsid w:val="00F84E8D"/>
    <w:rsid w:val="00F94DD5"/>
    <w:rsid w:val="00FA04FE"/>
    <w:rsid w:val="00FA4317"/>
    <w:rsid w:val="00FB0422"/>
    <w:rsid w:val="00FB5ED5"/>
    <w:rsid w:val="00FD4448"/>
    <w:rsid w:val="00FD5041"/>
    <w:rsid w:val="00FE6182"/>
    <w:rsid w:val="405C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DA6BC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DA6BC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DA6B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A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DA6BC7"/>
    <w:rPr>
      <w:b/>
      <w:bCs/>
    </w:rPr>
  </w:style>
  <w:style w:type="character" w:styleId="a8">
    <w:name w:val="Hyperlink"/>
    <w:basedOn w:val="a0"/>
    <w:uiPriority w:val="99"/>
    <w:unhideWhenUsed/>
    <w:rsid w:val="00DA6BC7"/>
    <w:rPr>
      <w:color w:val="0563C1" w:themeColor="hyperlink"/>
      <w:u w:val="single"/>
    </w:rPr>
  </w:style>
  <w:style w:type="character" w:styleId="a9">
    <w:name w:val="annotation reference"/>
    <w:uiPriority w:val="99"/>
    <w:semiHidden/>
    <w:unhideWhenUsed/>
    <w:rsid w:val="00DA6BC7"/>
    <w:rPr>
      <w:sz w:val="21"/>
      <w:szCs w:val="21"/>
    </w:rPr>
  </w:style>
  <w:style w:type="character" w:customStyle="1" w:styleId="3Char">
    <w:name w:val="标题 3 Char"/>
    <w:link w:val="3"/>
    <w:semiHidden/>
    <w:rsid w:val="00DA6BC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rsid w:val="00DA6BC7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DA6BC7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DA6BC7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rsid w:val="00DA6BC7"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link w:val="a7"/>
    <w:uiPriority w:val="99"/>
    <w:semiHidden/>
    <w:rsid w:val="00DA6BC7"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sid w:val="00DA6BC7"/>
    <w:rPr>
      <w:rFonts w:ascii="Times New Roman" w:hAnsi="Times New Roman"/>
      <w:kern w:val="2"/>
      <w:sz w:val="21"/>
      <w:szCs w:val="24"/>
    </w:rPr>
  </w:style>
  <w:style w:type="paragraph" w:styleId="aa">
    <w:name w:val="Revision"/>
    <w:hidden/>
    <w:uiPriority w:val="99"/>
    <w:semiHidden/>
    <w:rsid w:val="00727B5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4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王晚婷</dc:creator>
  <cp:lastModifiedBy>ZHONGM</cp:lastModifiedBy>
  <cp:revision>2</cp:revision>
  <dcterms:created xsi:type="dcterms:W3CDTF">2025-01-05T16:00:00Z</dcterms:created>
  <dcterms:modified xsi:type="dcterms:W3CDTF">2025-01-05T16:00:00Z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