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99" w:rsidRDefault="008E5D99">
      <w:pPr>
        <w:pStyle w:val="ae"/>
        <w:rPr>
          <w:rFonts w:ascii="Times New Roman"/>
          <w:sz w:val="20"/>
        </w:rPr>
      </w:pPr>
    </w:p>
    <w:p w:rsidR="008E5D99" w:rsidRDefault="008E5D99">
      <w:pPr>
        <w:pStyle w:val="ae"/>
        <w:rPr>
          <w:rFonts w:ascii="Times New Roman"/>
          <w:sz w:val="20"/>
        </w:rPr>
      </w:pPr>
    </w:p>
    <w:p w:rsidR="008E5D99" w:rsidRDefault="006A38C5">
      <w:pPr>
        <w:spacing w:before="177" w:line="242" w:lineRule="auto"/>
        <w:ind w:left="335" w:right="363"/>
        <w:jc w:val="center"/>
        <w:rPr>
          <w:b/>
          <w:sz w:val="48"/>
        </w:rPr>
      </w:pPr>
      <w:r>
        <w:rPr>
          <w:b/>
          <w:w w:val="95"/>
          <w:sz w:val="48"/>
        </w:rPr>
        <w:t>华泰证券（上海）资产管理有限公司关于旗下部分基金非港股通交易日暂停申</w:t>
      </w:r>
      <w:r>
        <w:rPr>
          <w:b/>
          <w:sz w:val="48"/>
        </w:rPr>
        <w:t>购、赎回等业务的公告</w:t>
      </w:r>
    </w:p>
    <w:p w:rsidR="008E5D99" w:rsidRDefault="008E5D99">
      <w:pPr>
        <w:pStyle w:val="ae"/>
        <w:spacing w:before="2"/>
        <w:rPr>
          <w:b/>
          <w:sz w:val="35"/>
        </w:rPr>
      </w:pPr>
    </w:p>
    <w:p w:rsidR="008E5D99" w:rsidRDefault="006A38C5">
      <w:pPr>
        <w:ind w:left="335" w:right="353"/>
        <w:jc w:val="center"/>
        <w:rPr>
          <w:b/>
          <w:sz w:val="28"/>
        </w:rPr>
      </w:pPr>
      <w:r>
        <w:rPr>
          <w:b/>
          <w:sz w:val="28"/>
        </w:rPr>
        <w:t>公告送出日期</w:t>
      </w:r>
      <w:r>
        <w:rPr>
          <w:b/>
          <w:sz w:val="28"/>
        </w:rPr>
        <w:t>:2025</w:t>
      </w:r>
      <w:r>
        <w:rPr>
          <w:b/>
          <w:sz w:val="28"/>
        </w:rPr>
        <w:t>年</w:t>
      </w:r>
      <w:r>
        <w:rPr>
          <w:b/>
          <w:sz w:val="28"/>
        </w:rPr>
        <w:t>1</w:t>
      </w:r>
      <w:r>
        <w:rPr>
          <w:b/>
          <w:sz w:val="28"/>
        </w:rPr>
        <w:t>月</w:t>
      </w:r>
      <w:r>
        <w:rPr>
          <w:b/>
          <w:sz w:val="28"/>
        </w:rPr>
        <w:t>3</w:t>
      </w:r>
      <w:r>
        <w:rPr>
          <w:b/>
          <w:sz w:val="28"/>
        </w:rPr>
        <w:t>日</w:t>
      </w:r>
    </w:p>
    <w:p w:rsidR="008E5D99" w:rsidRDefault="008E5D99">
      <w:pPr>
        <w:pStyle w:val="ae"/>
        <w:spacing w:before="3"/>
        <w:rPr>
          <w:b/>
          <w:sz w:val="37"/>
        </w:rPr>
      </w:pPr>
    </w:p>
    <w:p w:rsidR="008E5D99" w:rsidRDefault="006A38C5">
      <w:pPr>
        <w:pStyle w:val="ae"/>
        <w:spacing w:before="161" w:line="360" w:lineRule="auto"/>
        <w:ind w:left="278" w:right="181" w:firstLineChars="200" w:firstLine="460"/>
      </w:pPr>
      <w:r>
        <w:rPr>
          <w:rFonts w:hint="eastAsia"/>
          <w:spacing w:val="-10"/>
        </w:rPr>
        <w:t>根据上海证券交易所《关于</w:t>
      </w:r>
      <w:r>
        <w:rPr>
          <w:spacing w:val="-10"/>
        </w:rPr>
        <w:t>2024</w:t>
      </w:r>
      <w:r>
        <w:rPr>
          <w:spacing w:val="-10"/>
        </w:rPr>
        <w:t>年岁末及</w:t>
      </w:r>
      <w:r>
        <w:rPr>
          <w:spacing w:val="-10"/>
        </w:rPr>
        <w:t>2025</w:t>
      </w:r>
      <w:r>
        <w:rPr>
          <w:spacing w:val="-10"/>
        </w:rPr>
        <w:t>年沪港通下港股通交易日安排的通知》和深圳证券交易所《</w:t>
      </w:r>
      <w:r>
        <w:rPr>
          <w:rFonts w:hint="eastAsia"/>
          <w:spacing w:val="-10"/>
        </w:rPr>
        <w:t>关于</w:t>
      </w:r>
      <w:r>
        <w:rPr>
          <w:spacing w:val="-10"/>
        </w:rPr>
        <w:t>2024</w:t>
      </w:r>
      <w:r>
        <w:rPr>
          <w:spacing w:val="-10"/>
        </w:rPr>
        <w:t>年底及</w:t>
      </w:r>
      <w:r>
        <w:rPr>
          <w:spacing w:val="-10"/>
        </w:rPr>
        <w:t>2025</w:t>
      </w:r>
      <w:r>
        <w:rPr>
          <w:spacing w:val="-10"/>
        </w:rPr>
        <w:t>年深港通下的港股通交易日安排的通知》，为了保障基金平稳运作，保护持有人利益</w:t>
      </w:r>
      <w:r>
        <w:rPr>
          <w:spacing w:val="-10"/>
        </w:rPr>
        <w:t>,</w:t>
      </w:r>
      <w:r>
        <w:rPr>
          <w:spacing w:val="-10"/>
        </w:rPr>
        <w:t>华泰证券（上海）资产管理有限公司（以下简称</w:t>
      </w:r>
      <w:r>
        <w:rPr>
          <w:spacing w:val="-10"/>
        </w:rPr>
        <w:t>“</w:t>
      </w:r>
      <w:r>
        <w:rPr>
          <w:spacing w:val="-10"/>
        </w:rPr>
        <w:t>本公司</w:t>
      </w:r>
      <w:r>
        <w:rPr>
          <w:spacing w:val="-10"/>
        </w:rPr>
        <w:t>”</w:t>
      </w:r>
      <w:r>
        <w:rPr>
          <w:spacing w:val="-10"/>
        </w:rPr>
        <w:t>）决定对处于上海证券交易所和深圳证券交易所交易日的下列</w:t>
      </w:r>
      <w:r>
        <w:rPr>
          <w:spacing w:val="-10"/>
        </w:rPr>
        <w:t>2025</w:t>
      </w:r>
      <w:r>
        <w:rPr>
          <w:spacing w:val="-10"/>
        </w:rPr>
        <w:t>年非港股通交易</w:t>
      </w:r>
      <w:r>
        <w:rPr>
          <w:spacing w:val="-10"/>
        </w:rPr>
        <w:t>日，暂停以下基金的申购、赎回、定期定额申购、基金转换等交易类业务，并自下列非港股通交易日结束后的首个开放日恢复基金在非港股通交易日暂停的日常申购、赎回、定期定额申购、基金转换等业务</w:t>
      </w:r>
      <w:r>
        <w:rPr>
          <w:rFonts w:hint="eastAsia"/>
          <w:spacing w:val="-10"/>
        </w:rPr>
        <w:t>，届时不再另行公告。</w:t>
      </w:r>
    </w:p>
    <w:p w:rsidR="008E5D99" w:rsidRDefault="006A38C5">
      <w:pPr>
        <w:pStyle w:val="ae"/>
        <w:spacing w:before="6"/>
        <w:ind w:left="760"/>
      </w:pPr>
      <w:r>
        <w:t>适用基金如下：</w:t>
      </w:r>
      <w:bookmarkStart w:id="0" w:name="_GoBack"/>
      <w:bookmarkEnd w:id="0"/>
    </w:p>
    <w:tbl>
      <w:tblPr>
        <w:tblOverlap w:val="never"/>
        <w:tblW w:w="9140" w:type="dxa"/>
        <w:tblLook w:val="04A0"/>
      </w:tblPr>
      <w:tblGrid>
        <w:gridCol w:w="988"/>
        <w:gridCol w:w="1172"/>
        <w:gridCol w:w="6980"/>
      </w:tblGrid>
      <w:tr w:rsidR="008E5D99">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序号</w:t>
            </w:r>
          </w:p>
        </w:tc>
        <w:tc>
          <w:tcPr>
            <w:tcW w:w="1172" w:type="dxa"/>
            <w:tcBorders>
              <w:top w:val="single" w:sz="4" w:space="0" w:color="auto"/>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基金代码</w:t>
            </w:r>
          </w:p>
        </w:tc>
        <w:tc>
          <w:tcPr>
            <w:tcW w:w="6980" w:type="dxa"/>
            <w:tcBorders>
              <w:top w:val="single" w:sz="4" w:space="0" w:color="auto"/>
              <w:left w:val="none" w:sz="4" w:space="0" w:color="000000"/>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基金简称</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008404</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华泰紫金泰盈混合型证券投资基金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008405</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华泰紫金泰盈混合型证券投资基金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3</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015497</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华泰紫金中证医药</w:t>
            </w:r>
            <w:r>
              <w:rPr>
                <w:rFonts w:hint="eastAsia"/>
                <w:color w:val="000000"/>
                <w:lang w:val="en-US" w:bidi="ar-SA"/>
              </w:rPr>
              <w:t>50</w:t>
            </w:r>
            <w:r>
              <w:rPr>
                <w:rFonts w:hint="eastAsia"/>
                <w:color w:val="000000"/>
                <w:lang w:val="en-US" w:bidi="ar-SA"/>
              </w:rPr>
              <w:t>指数型发起式证券投资基金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4</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015498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华泰紫金中证医药</w:t>
            </w:r>
            <w:r>
              <w:rPr>
                <w:rFonts w:hint="eastAsia"/>
                <w:color w:val="000000"/>
                <w:lang w:val="en-US" w:bidi="ar-SA"/>
              </w:rPr>
              <w:t>50</w:t>
            </w:r>
            <w:r>
              <w:rPr>
                <w:rFonts w:hint="eastAsia"/>
                <w:color w:val="000000"/>
                <w:lang w:val="en-US" w:bidi="ar-SA"/>
              </w:rPr>
              <w:t>指数型发起式证券投资基金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5</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015328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华泰紫金中证细分化工产业主题指数型发起式证券投资基金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6</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015329</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华泰紫金中证细分化工产业主题指数型发起式证券投资基金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7</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016517</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华泰紫金创新成长混合型发起式证券投资基金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8</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016518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华泰紫金创新成长混合型发起式证券投资基金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9</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017077</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华泰紫金景泓</w:t>
            </w:r>
            <w:r>
              <w:rPr>
                <w:rFonts w:hint="eastAsia"/>
                <w:color w:val="000000"/>
                <w:lang w:val="en-US" w:bidi="ar-SA"/>
              </w:rPr>
              <w:t>12</w:t>
            </w:r>
            <w:r>
              <w:rPr>
                <w:rFonts w:hint="eastAsia"/>
                <w:color w:val="000000"/>
                <w:lang w:val="en-US" w:bidi="ar-SA"/>
              </w:rPr>
              <w:t>个月持有期混合发起</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10</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017078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华泰紫金景泓</w:t>
            </w:r>
            <w:r>
              <w:rPr>
                <w:rFonts w:hint="eastAsia"/>
                <w:color w:val="000000"/>
                <w:lang w:val="en-US" w:bidi="ar-SA"/>
              </w:rPr>
              <w:t>12</w:t>
            </w:r>
            <w:r>
              <w:rPr>
                <w:rFonts w:hint="eastAsia"/>
                <w:color w:val="000000"/>
                <w:lang w:val="en-US" w:bidi="ar-SA"/>
              </w:rPr>
              <w:t>个月持有期混合发起</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11</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016995</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华泰紫金安恒平衡配置混合发起</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12</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016996</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华泰紫金安恒平衡配置混合发起</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13</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011494</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华泰紫金丰和偏债混合型发起式证券投资基金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14</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011495</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华泰紫金丰和偏债混合型发起式证券投资基金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15</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021599</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华泰紫金丰和偏债混合型发起式证券投资基金</w:t>
            </w:r>
            <w:r>
              <w:rPr>
                <w:rFonts w:hint="eastAsia"/>
                <w:color w:val="000000"/>
                <w:lang w:val="en-US" w:bidi="ar-SA"/>
              </w:rPr>
              <w:t>D</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16</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022507</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华泰紫金丰和偏债混合型发起式证券投资基金</w:t>
            </w:r>
            <w:r>
              <w:rPr>
                <w:rFonts w:hint="eastAsia"/>
                <w:color w:val="000000"/>
                <w:lang w:val="en-US" w:bidi="ar-SA"/>
              </w:rPr>
              <w:t>E</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17</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017424</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华泰紫金先进制造混合型发起式证券投资基金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18</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017425</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华泰紫金先进制造混合型发起式证券投资基金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19</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018523</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华泰紫金恒生互联网科技业指数型发起基金</w:t>
            </w:r>
            <w:r>
              <w:rPr>
                <w:rFonts w:hint="eastAsia"/>
                <w:color w:val="000000"/>
                <w:lang w:val="en-US" w:bidi="ar-SA"/>
              </w:rPr>
              <w:t>(QDII)A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lastRenderedPageBreak/>
              <w:t>20</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018524</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华泰紫金恒生互联网科技业指数型发起基金</w:t>
            </w:r>
            <w:r>
              <w:rPr>
                <w:rFonts w:hint="eastAsia"/>
                <w:color w:val="000000"/>
                <w:lang w:val="en-US" w:bidi="ar-SA"/>
              </w:rPr>
              <w:t>(QDII)C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21</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017689</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华泰紫金恒荣</w:t>
            </w:r>
            <w:r>
              <w:rPr>
                <w:rFonts w:hint="eastAsia"/>
                <w:color w:val="000000"/>
                <w:lang w:val="en-US" w:bidi="ar-SA"/>
              </w:rPr>
              <w:t>12</w:t>
            </w:r>
            <w:r>
              <w:rPr>
                <w:rFonts w:hint="eastAsia"/>
                <w:color w:val="000000"/>
                <w:lang w:val="en-US" w:bidi="ar-SA"/>
              </w:rPr>
              <w:t>个月持有期混合型发起式证券投资基金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22</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017692</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华泰紫金恒荣</w:t>
            </w:r>
            <w:r>
              <w:rPr>
                <w:rFonts w:hint="eastAsia"/>
                <w:color w:val="000000"/>
                <w:lang w:val="en-US" w:bidi="ar-SA"/>
              </w:rPr>
              <w:t>12</w:t>
            </w:r>
            <w:r>
              <w:rPr>
                <w:rFonts w:hint="eastAsia"/>
                <w:color w:val="000000"/>
                <w:lang w:val="en-US" w:bidi="ar-SA"/>
              </w:rPr>
              <w:t>个月持有期混合型发起式证券投资基金</w:t>
            </w:r>
            <w:r>
              <w:rPr>
                <w:rFonts w:hint="eastAsia"/>
                <w:color w:val="000000"/>
                <w:lang w:val="en-US" w:bidi="ar-SA"/>
              </w:rPr>
              <w:t>C</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23</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018582</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华泰紫金碳中和混合型发起式证券投资基金</w:t>
            </w:r>
            <w:r>
              <w:rPr>
                <w:rFonts w:hint="eastAsia"/>
                <w:color w:val="000000"/>
                <w:lang w:val="en-US" w:bidi="ar-SA"/>
              </w:rPr>
              <w:t>A</w:t>
            </w:r>
          </w:p>
        </w:tc>
      </w:tr>
      <w:tr w:rsidR="008E5D99">
        <w:trPr>
          <w:trHeight w:val="270"/>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24</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018583</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华泰紫金碳中和混合型发起式证券投资基金</w:t>
            </w:r>
            <w:r>
              <w:rPr>
                <w:rFonts w:hint="eastAsia"/>
                <w:color w:val="000000"/>
                <w:lang w:val="en-US" w:bidi="ar-SA"/>
              </w:rPr>
              <w:t>C</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25</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019608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华泰紫金稳健养老目标一年持有期混合型发起式基金中基金（</w:t>
            </w:r>
            <w:r>
              <w:rPr>
                <w:rFonts w:hint="eastAsia"/>
                <w:color w:val="000000"/>
                <w:lang w:val="en-US" w:bidi="ar-SA"/>
              </w:rPr>
              <w:t>FOF</w:t>
            </w:r>
            <w:r>
              <w:rPr>
                <w:rFonts w:hint="eastAsia"/>
                <w:color w:val="000000"/>
                <w:lang w:val="en-US" w:bidi="ar-SA"/>
              </w:rPr>
              <w:t>）</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26</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019800</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华泰紫金价值甄选混合型证券投资基金</w:t>
            </w:r>
            <w:r>
              <w:rPr>
                <w:rFonts w:hint="eastAsia"/>
                <w:color w:val="000000"/>
                <w:lang w:val="en-US" w:bidi="ar-SA"/>
              </w:rPr>
              <w:t>A</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27</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019801</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华泰紫金价</w:t>
            </w:r>
            <w:r>
              <w:rPr>
                <w:rFonts w:hint="eastAsia"/>
                <w:color w:val="000000"/>
                <w:lang w:val="en-US" w:bidi="ar-SA"/>
              </w:rPr>
              <w:t>值甄选混合型证券投资基金</w:t>
            </w:r>
            <w:r>
              <w:rPr>
                <w:rFonts w:hint="eastAsia"/>
                <w:color w:val="000000"/>
                <w:lang w:val="en-US" w:bidi="ar-SA"/>
              </w:rPr>
              <w:t>C</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28</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020637</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华泰紫金价值远见</w:t>
            </w:r>
            <w:r>
              <w:rPr>
                <w:rFonts w:hint="eastAsia"/>
                <w:color w:val="000000"/>
                <w:lang w:val="en-US" w:bidi="ar-SA"/>
              </w:rPr>
              <w:t>18</w:t>
            </w:r>
            <w:r>
              <w:rPr>
                <w:rFonts w:hint="eastAsia"/>
                <w:color w:val="000000"/>
                <w:lang w:val="en-US" w:bidi="ar-SA"/>
              </w:rPr>
              <w:t>个月持有期混合型发起式证券投资基金</w:t>
            </w:r>
            <w:r>
              <w:rPr>
                <w:rFonts w:hint="eastAsia"/>
                <w:color w:val="000000"/>
                <w:lang w:val="en-US" w:bidi="ar-SA"/>
              </w:rPr>
              <w:t>A</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29</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020638</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华泰紫金价值远见</w:t>
            </w:r>
            <w:r>
              <w:rPr>
                <w:rFonts w:hint="eastAsia"/>
                <w:color w:val="000000"/>
                <w:lang w:val="en-US" w:bidi="ar-SA"/>
              </w:rPr>
              <w:t>18</w:t>
            </w:r>
            <w:r>
              <w:rPr>
                <w:rFonts w:hint="eastAsia"/>
                <w:color w:val="000000"/>
                <w:lang w:val="en-US" w:bidi="ar-SA"/>
              </w:rPr>
              <w:t>个月持有期混合型发起式证券投资基金</w:t>
            </w:r>
            <w:r>
              <w:rPr>
                <w:rFonts w:hint="eastAsia"/>
                <w:color w:val="000000"/>
                <w:lang w:val="en-US" w:bidi="ar-SA"/>
              </w:rPr>
              <w:t>C</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30</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021271</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华泰紫金远见回报</w:t>
            </w:r>
            <w:r>
              <w:rPr>
                <w:rFonts w:hint="eastAsia"/>
                <w:color w:val="000000"/>
                <w:lang w:val="en-US" w:bidi="ar-SA"/>
              </w:rPr>
              <w:t>12</w:t>
            </w:r>
            <w:r>
              <w:rPr>
                <w:rFonts w:hint="eastAsia"/>
                <w:color w:val="000000"/>
                <w:lang w:val="en-US" w:bidi="ar-SA"/>
              </w:rPr>
              <w:t>个月持有期混合型证券投资基金</w:t>
            </w:r>
            <w:r>
              <w:rPr>
                <w:rFonts w:hint="eastAsia"/>
                <w:color w:val="000000"/>
                <w:lang w:val="en-US" w:bidi="ar-SA"/>
              </w:rPr>
              <w:t>A</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31</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021272</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华泰紫金远见回报</w:t>
            </w:r>
            <w:r>
              <w:rPr>
                <w:rFonts w:hint="eastAsia"/>
                <w:color w:val="000000"/>
                <w:lang w:val="en-US" w:bidi="ar-SA"/>
              </w:rPr>
              <w:t>12</w:t>
            </w:r>
            <w:r>
              <w:rPr>
                <w:rFonts w:hint="eastAsia"/>
                <w:color w:val="000000"/>
                <w:lang w:val="en-US" w:bidi="ar-SA"/>
              </w:rPr>
              <w:t>个月持有期混合型证券投资基金</w:t>
            </w:r>
            <w:r>
              <w:rPr>
                <w:rFonts w:hint="eastAsia"/>
                <w:color w:val="000000"/>
                <w:lang w:val="en-US" w:bidi="ar-SA"/>
              </w:rPr>
              <w:t>C</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32</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011694</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华泰紫金信息科技主题</w:t>
            </w:r>
            <w:r>
              <w:rPr>
                <w:rFonts w:hint="eastAsia"/>
                <w:color w:val="000000"/>
                <w:lang w:val="en-US" w:bidi="ar-SA"/>
              </w:rPr>
              <w:t>6</w:t>
            </w:r>
            <w:r>
              <w:rPr>
                <w:rFonts w:hint="eastAsia"/>
                <w:color w:val="000000"/>
                <w:lang w:val="en-US" w:bidi="ar-SA"/>
              </w:rPr>
              <w:t>个月持有期混合型发起式证券投资基金</w:t>
            </w:r>
            <w:r>
              <w:rPr>
                <w:rFonts w:hint="eastAsia"/>
                <w:color w:val="000000"/>
                <w:lang w:val="en-US" w:bidi="ar-SA"/>
              </w:rPr>
              <w:t>A</w:t>
            </w:r>
          </w:p>
        </w:tc>
      </w:tr>
      <w:tr w:rsidR="008E5D99">
        <w:trPr>
          <w:trHeight w:val="285"/>
        </w:trPr>
        <w:tc>
          <w:tcPr>
            <w:tcW w:w="988" w:type="dxa"/>
            <w:tcBorders>
              <w:top w:val="none" w:sz="4" w:space="0" w:color="000000"/>
              <w:left w:val="single" w:sz="4" w:space="0" w:color="auto"/>
              <w:bottom w:val="single" w:sz="4" w:space="0" w:color="auto"/>
              <w:right w:val="single" w:sz="4" w:space="0" w:color="auto"/>
            </w:tcBorders>
            <w:shd w:val="clear" w:color="auto" w:fill="auto"/>
            <w:noWrap/>
            <w:vAlign w:val="center"/>
          </w:tcPr>
          <w:p w:rsidR="008E5D99" w:rsidRDefault="006A38C5">
            <w:pPr>
              <w:widowControl/>
              <w:jc w:val="center"/>
              <w:rPr>
                <w:color w:val="000000"/>
                <w:lang w:val="en-US" w:bidi="ar-SA"/>
              </w:rPr>
            </w:pPr>
            <w:r>
              <w:rPr>
                <w:rFonts w:hint="eastAsia"/>
                <w:color w:val="000000"/>
                <w:lang w:val="en-US" w:bidi="ar-SA"/>
              </w:rPr>
              <w:t>33</w:t>
            </w:r>
          </w:p>
        </w:tc>
        <w:tc>
          <w:tcPr>
            <w:tcW w:w="1172"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011695</w:t>
            </w:r>
          </w:p>
        </w:tc>
        <w:tc>
          <w:tcPr>
            <w:tcW w:w="6980" w:type="dxa"/>
            <w:tcBorders>
              <w:top w:val="none" w:sz="4" w:space="0" w:color="000000"/>
              <w:left w:val="none" w:sz="4" w:space="0" w:color="000000"/>
              <w:bottom w:val="single" w:sz="4" w:space="0" w:color="auto"/>
              <w:right w:val="single" w:sz="4" w:space="0" w:color="auto"/>
            </w:tcBorders>
            <w:shd w:val="clear" w:color="auto" w:fill="auto"/>
            <w:noWrap/>
            <w:vAlign w:val="center"/>
          </w:tcPr>
          <w:p w:rsidR="008E5D99" w:rsidRDefault="006A38C5">
            <w:pPr>
              <w:widowControl/>
              <w:rPr>
                <w:color w:val="000000"/>
                <w:lang w:val="en-US" w:bidi="ar-SA"/>
              </w:rPr>
            </w:pPr>
            <w:r>
              <w:rPr>
                <w:rFonts w:hint="eastAsia"/>
                <w:color w:val="000000"/>
                <w:lang w:val="en-US" w:bidi="ar-SA"/>
              </w:rPr>
              <w:t>华泰紫金信息科技主题</w:t>
            </w:r>
            <w:r>
              <w:rPr>
                <w:rFonts w:hint="eastAsia"/>
                <w:color w:val="000000"/>
                <w:lang w:val="en-US" w:bidi="ar-SA"/>
              </w:rPr>
              <w:t>6</w:t>
            </w:r>
            <w:r>
              <w:rPr>
                <w:rFonts w:hint="eastAsia"/>
                <w:color w:val="000000"/>
                <w:lang w:val="en-US" w:bidi="ar-SA"/>
              </w:rPr>
              <w:t>个月持有期混合型发起式证券投资基金</w:t>
            </w:r>
            <w:r>
              <w:rPr>
                <w:rFonts w:hint="eastAsia"/>
                <w:color w:val="000000"/>
                <w:lang w:val="en-US" w:bidi="ar-SA"/>
              </w:rPr>
              <w:t>C</w:t>
            </w:r>
          </w:p>
        </w:tc>
      </w:tr>
    </w:tbl>
    <w:p w:rsidR="008E5D99" w:rsidRDefault="008E5D99">
      <w:pPr>
        <w:rPr>
          <w:sz w:val="24"/>
        </w:rPr>
      </w:pPr>
    </w:p>
    <w:p w:rsidR="008E5D99" w:rsidRDefault="006A38C5">
      <w:pPr>
        <w:pStyle w:val="Default"/>
        <w:spacing w:line="360" w:lineRule="auto"/>
        <w:ind w:firstLineChars="200" w:firstLine="480"/>
        <w:rPr>
          <w:rFonts w:hAnsi="宋体"/>
        </w:rPr>
      </w:pPr>
      <w:r>
        <w:rPr>
          <w:rFonts w:hAnsi="宋体"/>
        </w:rPr>
        <w:t>非港股</w:t>
      </w:r>
      <w:r>
        <w:rPr>
          <w:rFonts w:hAnsi="宋体"/>
        </w:rPr>
        <w:t>通交易日</w:t>
      </w:r>
      <w:r>
        <w:rPr>
          <w:rStyle w:val="af1"/>
          <w:rFonts w:hAnsi="宋体" w:hint="eastAsia"/>
          <w:b w:val="0"/>
        </w:rPr>
        <w:t>如下：</w:t>
      </w:r>
    </w:p>
    <w:tbl>
      <w:tblPr>
        <w:tblOverlap w:val="neve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52"/>
        <w:gridCol w:w="6095"/>
      </w:tblGrid>
      <w:tr w:rsidR="008E5D99">
        <w:trPr>
          <w:jc w:val="center"/>
        </w:trPr>
        <w:tc>
          <w:tcPr>
            <w:tcW w:w="2552" w:type="dxa"/>
            <w:vMerge w:val="restart"/>
            <w:shd w:val="clear" w:color="auto" w:fill="auto"/>
            <w:vAlign w:val="center"/>
          </w:tcPr>
          <w:p w:rsidR="008E5D99" w:rsidRDefault="006A38C5">
            <w:pPr>
              <w:pStyle w:val="Default"/>
              <w:spacing w:line="360" w:lineRule="auto"/>
              <w:rPr>
                <w:rFonts w:hAnsi="宋体"/>
              </w:rPr>
            </w:pPr>
            <w:r>
              <w:rPr>
                <w:rFonts w:hAnsi="宋体" w:hint="eastAsia"/>
              </w:rPr>
              <w:t>2</w:t>
            </w:r>
            <w:r>
              <w:rPr>
                <w:rFonts w:hAnsi="宋体"/>
              </w:rPr>
              <w:t>025</w:t>
            </w:r>
            <w:r>
              <w:rPr>
                <w:rFonts w:hAnsi="宋体" w:hint="eastAsia"/>
              </w:rPr>
              <w:t>年非港股通交易日</w:t>
            </w:r>
          </w:p>
        </w:tc>
        <w:tc>
          <w:tcPr>
            <w:tcW w:w="6095" w:type="dxa"/>
            <w:shd w:val="clear" w:color="auto" w:fill="auto"/>
            <w:vAlign w:val="center"/>
          </w:tcPr>
          <w:p w:rsidR="008E5D99" w:rsidRDefault="006A38C5">
            <w:pPr>
              <w:pStyle w:val="Default"/>
              <w:spacing w:line="360" w:lineRule="auto"/>
              <w:jc w:val="center"/>
              <w:rPr>
                <w:rFonts w:hAnsi="宋体"/>
                <w:sz w:val="21"/>
                <w:szCs w:val="21"/>
              </w:rPr>
            </w:pPr>
            <w:r>
              <w:rPr>
                <w:rStyle w:val="af1"/>
                <w:rFonts w:hint="eastAsia"/>
              </w:rPr>
              <w:t>日期</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4</w:t>
            </w:r>
            <w:r>
              <w:rPr>
                <w:sz w:val="24"/>
              </w:rPr>
              <w:t>月</w:t>
            </w:r>
            <w:r>
              <w:rPr>
                <w:sz w:val="24"/>
              </w:rPr>
              <w:t>18</w:t>
            </w:r>
            <w:r>
              <w:rPr>
                <w:sz w:val="24"/>
              </w:rPr>
              <w:t>日</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4</w:t>
            </w:r>
            <w:r>
              <w:rPr>
                <w:sz w:val="24"/>
              </w:rPr>
              <w:t>月</w:t>
            </w:r>
            <w:r>
              <w:rPr>
                <w:sz w:val="24"/>
              </w:rPr>
              <w:t>21</w:t>
            </w:r>
            <w:r>
              <w:rPr>
                <w:sz w:val="24"/>
              </w:rPr>
              <w:t>日</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7</w:t>
            </w:r>
            <w:r>
              <w:rPr>
                <w:sz w:val="24"/>
              </w:rPr>
              <w:t>月</w:t>
            </w:r>
            <w:r>
              <w:rPr>
                <w:sz w:val="24"/>
              </w:rPr>
              <w:t>1</w:t>
            </w:r>
            <w:r>
              <w:rPr>
                <w:sz w:val="24"/>
              </w:rPr>
              <w:t>日</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10</w:t>
            </w:r>
            <w:r>
              <w:rPr>
                <w:sz w:val="24"/>
              </w:rPr>
              <w:t>月</w:t>
            </w:r>
            <w:r>
              <w:rPr>
                <w:sz w:val="24"/>
              </w:rPr>
              <w:t>29</w:t>
            </w:r>
            <w:r>
              <w:rPr>
                <w:sz w:val="24"/>
              </w:rPr>
              <w:t>日</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12</w:t>
            </w:r>
            <w:r>
              <w:rPr>
                <w:sz w:val="24"/>
              </w:rPr>
              <w:t>月</w:t>
            </w:r>
            <w:r>
              <w:rPr>
                <w:sz w:val="24"/>
              </w:rPr>
              <w:t>25</w:t>
            </w:r>
            <w:r>
              <w:rPr>
                <w:sz w:val="24"/>
              </w:rPr>
              <w:t>日</w:t>
            </w:r>
          </w:p>
        </w:tc>
      </w:tr>
      <w:tr w:rsidR="008E5D99">
        <w:trPr>
          <w:jc w:val="center"/>
        </w:trPr>
        <w:tc>
          <w:tcPr>
            <w:tcW w:w="2552" w:type="dxa"/>
            <w:vMerge/>
            <w:shd w:val="clear" w:color="auto" w:fill="auto"/>
            <w:vAlign w:val="center"/>
          </w:tcPr>
          <w:p w:rsidR="008E5D99" w:rsidRDefault="008E5D99">
            <w:pPr>
              <w:pStyle w:val="Default"/>
              <w:spacing w:line="360" w:lineRule="auto"/>
              <w:rPr>
                <w:rFonts w:hAnsi="宋体"/>
                <w:sz w:val="21"/>
                <w:szCs w:val="21"/>
              </w:rPr>
            </w:pPr>
          </w:p>
        </w:tc>
        <w:tc>
          <w:tcPr>
            <w:tcW w:w="6095" w:type="dxa"/>
            <w:shd w:val="clear" w:color="auto" w:fill="auto"/>
          </w:tcPr>
          <w:p w:rsidR="008E5D99" w:rsidRDefault="006A38C5">
            <w:pPr>
              <w:jc w:val="center"/>
              <w:rPr>
                <w:sz w:val="24"/>
              </w:rPr>
            </w:pPr>
            <w:r>
              <w:rPr>
                <w:sz w:val="24"/>
              </w:rPr>
              <w:t>2025</w:t>
            </w:r>
            <w:r>
              <w:rPr>
                <w:sz w:val="24"/>
              </w:rPr>
              <w:t>年</w:t>
            </w:r>
            <w:r>
              <w:rPr>
                <w:sz w:val="24"/>
              </w:rPr>
              <w:t>12</w:t>
            </w:r>
            <w:r>
              <w:rPr>
                <w:sz w:val="24"/>
              </w:rPr>
              <w:t>月</w:t>
            </w:r>
            <w:r>
              <w:rPr>
                <w:sz w:val="24"/>
              </w:rPr>
              <w:t>26</w:t>
            </w:r>
            <w:r>
              <w:rPr>
                <w:sz w:val="24"/>
              </w:rPr>
              <w:t>日</w:t>
            </w:r>
          </w:p>
        </w:tc>
      </w:tr>
    </w:tbl>
    <w:p w:rsidR="008E5D99" w:rsidRDefault="008E5D99">
      <w:pPr>
        <w:rPr>
          <w:sz w:val="24"/>
        </w:rPr>
      </w:pPr>
    </w:p>
    <w:p w:rsidR="008E5D99" w:rsidRDefault="006A38C5">
      <w:pPr>
        <w:spacing w:line="360" w:lineRule="auto"/>
        <w:ind w:firstLineChars="200" w:firstLine="460"/>
        <w:jc w:val="both"/>
        <w:rPr>
          <w:spacing w:val="-10"/>
          <w:sz w:val="24"/>
          <w:szCs w:val="24"/>
        </w:rPr>
      </w:pPr>
      <w:r>
        <w:rPr>
          <w:spacing w:val="-10"/>
          <w:sz w:val="24"/>
          <w:szCs w:val="24"/>
        </w:rPr>
        <w:t>2025</w:t>
      </w:r>
      <w:r>
        <w:rPr>
          <w:spacing w:val="-10"/>
          <w:sz w:val="24"/>
          <w:szCs w:val="24"/>
        </w:rPr>
        <w:t>年</w:t>
      </w:r>
      <w:r>
        <w:rPr>
          <w:spacing w:val="-10"/>
          <w:sz w:val="24"/>
          <w:szCs w:val="24"/>
        </w:rPr>
        <w:t>12</w:t>
      </w:r>
      <w:r>
        <w:rPr>
          <w:spacing w:val="-10"/>
          <w:sz w:val="24"/>
          <w:szCs w:val="24"/>
        </w:rPr>
        <w:t>月</w:t>
      </w:r>
      <w:r>
        <w:rPr>
          <w:spacing w:val="-10"/>
          <w:sz w:val="24"/>
          <w:szCs w:val="24"/>
        </w:rPr>
        <w:t>30</w:t>
      </w:r>
      <w:r>
        <w:rPr>
          <w:spacing w:val="-10"/>
          <w:sz w:val="24"/>
          <w:szCs w:val="24"/>
        </w:rPr>
        <w:t>日（星期一）至</w:t>
      </w:r>
      <w:r>
        <w:rPr>
          <w:spacing w:val="-10"/>
          <w:sz w:val="24"/>
          <w:szCs w:val="24"/>
        </w:rPr>
        <w:t>12</w:t>
      </w:r>
      <w:r>
        <w:rPr>
          <w:spacing w:val="-10"/>
          <w:sz w:val="24"/>
          <w:szCs w:val="24"/>
        </w:rPr>
        <w:t>月</w:t>
      </w:r>
      <w:r>
        <w:rPr>
          <w:spacing w:val="-10"/>
          <w:sz w:val="24"/>
          <w:szCs w:val="24"/>
        </w:rPr>
        <w:t>31</w:t>
      </w:r>
      <w:r>
        <w:rPr>
          <w:spacing w:val="-10"/>
          <w:sz w:val="24"/>
          <w:szCs w:val="24"/>
        </w:rPr>
        <w:t>日（星期二）是否提供港股通服务，待中国证监会关于</w:t>
      </w:r>
      <w:r>
        <w:rPr>
          <w:spacing w:val="-10"/>
          <w:sz w:val="24"/>
          <w:szCs w:val="24"/>
        </w:rPr>
        <w:t>2026</w:t>
      </w:r>
      <w:r>
        <w:rPr>
          <w:spacing w:val="-10"/>
          <w:sz w:val="24"/>
          <w:szCs w:val="24"/>
        </w:rPr>
        <w:t>年节假日放假和休市安排确定后</w:t>
      </w:r>
      <w:r>
        <w:rPr>
          <w:rFonts w:hint="eastAsia"/>
          <w:spacing w:val="-10"/>
          <w:sz w:val="24"/>
          <w:szCs w:val="24"/>
        </w:rPr>
        <w:t>，本公司将另行公告。</w:t>
      </w:r>
    </w:p>
    <w:p w:rsidR="008E5D99" w:rsidRDefault="006A38C5">
      <w:pPr>
        <w:spacing w:line="360" w:lineRule="auto"/>
        <w:ind w:firstLineChars="200" w:firstLine="460"/>
        <w:jc w:val="both"/>
        <w:rPr>
          <w:spacing w:val="-10"/>
          <w:sz w:val="24"/>
          <w:szCs w:val="24"/>
        </w:rPr>
      </w:pPr>
      <w:r>
        <w:rPr>
          <w:rFonts w:hint="eastAsia"/>
          <w:spacing w:val="-10"/>
          <w:sz w:val="24"/>
          <w:szCs w:val="24"/>
        </w:rPr>
        <w:t>若非港股通交易日安排发生变化，影响上述基金申购及赎回业务办理的，本公司将进行相应调整并公告。</w:t>
      </w:r>
    </w:p>
    <w:p w:rsidR="008E5D99" w:rsidRDefault="006A38C5">
      <w:pPr>
        <w:spacing w:line="360" w:lineRule="auto"/>
        <w:ind w:firstLineChars="200" w:firstLine="460"/>
        <w:jc w:val="both"/>
        <w:rPr>
          <w:spacing w:val="-10"/>
          <w:sz w:val="24"/>
          <w:szCs w:val="24"/>
        </w:rPr>
      </w:pPr>
      <w:r>
        <w:rPr>
          <w:rFonts w:hint="eastAsia"/>
          <w:spacing w:val="-10"/>
          <w:sz w:val="24"/>
          <w:szCs w:val="24"/>
        </w:rPr>
        <w:t>本公告仅对基金的非港股通交易</w:t>
      </w:r>
      <w:r>
        <w:rPr>
          <w:rFonts w:hint="eastAsia"/>
          <w:spacing w:val="-10"/>
          <w:sz w:val="24"/>
          <w:szCs w:val="24"/>
        </w:rPr>
        <w:t>日暂停及后续恢复相关业务予以说明，如遇上述基金因其他原因暂停相关业务的，具体业务办理以相关公告为准。</w:t>
      </w:r>
    </w:p>
    <w:p w:rsidR="008E5D99" w:rsidRDefault="006A38C5">
      <w:pPr>
        <w:spacing w:line="360" w:lineRule="auto"/>
        <w:ind w:firstLineChars="200" w:firstLine="460"/>
        <w:jc w:val="both"/>
        <w:rPr>
          <w:spacing w:val="-10"/>
          <w:sz w:val="24"/>
          <w:szCs w:val="24"/>
        </w:rPr>
      </w:pPr>
      <w:r>
        <w:rPr>
          <w:rFonts w:hint="eastAsia"/>
          <w:spacing w:val="-10"/>
          <w:sz w:val="24"/>
          <w:szCs w:val="24"/>
        </w:rPr>
        <w:t>风险提示：本公司承诺以诚实信用、勤勉尽责的原则管理和运用基金资产，但不保证基金一定盈利，也不保证最低收益。投资者投资基金之前应认真阅读各基金的《基金合同》、《招募说明书》、《基金产品资料概要》等文件。敬请投资者留意投资风险。</w:t>
      </w:r>
    </w:p>
    <w:p w:rsidR="008E5D99" w:rsidRDefault="008E5D99">
      <w:pPr>
        <w:spacing w:line="360" w:lineRule="auto"/>
        <w:ind w:firstLineChars="200" w:firstLine="460"/>
        <w:jc w:val="both"/>
        <w:rPr>
          <w:spacing w:val="-10"/>
          <w:sz w:val="24"/>
          <w:szCs w:val="24"/>
        </w:rPr>
      </w:pPr>
    </w:p>
    <w:p w:rsidR="008E5D99" w:rsidRDefault="006A38C5">
      <w:pPr>
        <w:pStyle w:val="ae"/>
        <w:spacing w:before="161"/>
        <w:ind w:right="296"/>
        <w:jc w:val="right"/>
      </w:pPr>
      <w:r>
        <w:t>华泰证券</w:t>
      </w:r>
      <w:r>
        <w:t>(</w:t>
      </w:r>
      <w:r>
        <w:t>上海</w:t>
      </w:r>
      <w:r>
        <w:t>)</w:t>
      </w:r>
      <w:r>
        <w:t>资产管理有限公司</w:t>
      </w:r>
    </w:p>
    <w:p w:rsidR="008E5D99" w:rsidRDefault="006A38C5">
      <w:pPr>
        <w:pStyle w:val="ae"/>
        <w:spacing w:before="161"/>
        <w:ind w:right="296"/>
        <w:jc w:val="right"/>
      </w:pPr>
      <w:r>
        <w:t>2025</w:t>
      </w:r>
      <w:r>
        <w:rPr>
          <w:spacing w:val="-40"/>
        </w:rPr>
        <w:t>年</w:t>
      </w:r>
      <w:r>
        <w:t>1</w:t>
      </w:r>
      <w:r>
        <w:rPr>
          <w:spacing w:val="-40"/>
        </w:rPr>
        <w:t>月</w:t>
      </w:r>
      <w:r>
        <w:rPr>
          <w:spacing w:val="-40"/>
        </w:rPr>
        <w:t>3</w:t>
      </w:r>
      <w:r>
        <w:rPr>
          <w:rFonts w:hint="eastAsia"/>
          <w:spacing w:val="-30"/>
        </w:rPr>
        <w:t>日</w:t>
      </w:r>
    </w:p>
    <w:sectPr w:rsidR="008E5D99" w:rsidSect="008E5D99">
      <w:headerReference w:type="default" r:id="rId7"/>
      <w:footerReference w:type="default" r:id="rId8"/>
      <w:pgSz w:w="11910" w:h="16840"/>
      <w:pgMar w:top="1420" w:right="1500" w:bottom="1400" w:left="1520" w:header="877" w:footer="121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99" w:rsidRDefault="006A38C5">
      <w:r>
        <w:separator/>
      </w:r>
    </w:p>
  </w:endnote>
  <w:endnote w:type="continuationSeparator" w:id="0">
    <w:p w:rsidR="008E5D99" w:rsidRDefault="006A3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99" w:rsidRDefault="008E5D99">
    <w:pPr>
      <w:pStyle w:val="ae"/>
      <w:spacing w:line="14" w:lineRule="auto"/>
      <w:rPr>
        <w:sz w:val="20"/>
      </w:rPr>
    </w:pPr>
    <w:r w:rsidRPr="008E5D99">
      <w:rPr>
        <w:lang w:val="en-US" w:bidi="ar-SA"/>
      </w:rPr>
      <w:pict>
        <v:shape id="shape 2" o:spid="_x0000_s2049" style="position:absolute;margin-left:265.1pt;margin-top:770pt;width:65.3pt;height:12pt;z-index:-251526144;mso-wrap-distance-left:9pt;mso-wrap-distance-top:0;mso-wrap-distance-right:9pt;mso-wrap-distance-bottom:0;mso-position-horizontal:absolute;mso-position-horizontal-relative:page;mso-position-vertical:absolute;mso-position-vertical-relative:page;v-text-anchor:top;o:allowoverlap:true; o:allowincell:true" coordsize="100000,100000" o:spt="100" adj="0,,0" path="" filled="f" stroked="f">
          <v:stroke joinstyle="round"/>
          <v:formulas/>
          <v:path o:connecttype="segments" textboxrect="0,0,0,0"/>
          <v:textbox>
            <w:txbxContent>
              <w:p w:rsidR="008E5D99" w:rsidRDefault="006A38C5">
                <w:pPr>
                  <w:spacing w:line="225" w:lineRule="exact"/>
                  <w:ind w:left="20"/>
                  <w:rPr>
                    <w:sz w:val="18"/>
                  </w:rPr>
                </w:pPr>
                <w:r>
                  <w:rPr>
                    <w:sz w:val="18"/>
                  </w:rPr>
                  <w:t>第</w:t>
                </w:r>
                <w:r w:rsidR="008E5D99">
                  <w:fldChar w:fldCharType="begin"/>
                </w:r>
                <w:r>
                  <w:rPr>
                    <w:rFonts w:ascii="Calibri"/>
                    <w:sz w:val="18"/>
                  </w:rPr>
                  <w:instrText xml:space="preserve"> PAGE </w:instrText>
                </w:r>
                <w:r w:rsidR="008E5D99">
                  <w:fldChar w:fldCharType="separate"/>
                </w:r>
                <w:r>
                  <w:rPr>
                    <w:rFonts w:ascii="Calibri"/>
                    <w:noProof/>
                    <w:sz w:val="18"/>
                  </w:rPr>
                  <w:t>1</w:t>
                </w:r>
                <w:r w:rsidR="008E5D99">
                  <w:fldChar w:fldCharType="end"/>
                </w:r>
                <w:r>
                  <w:rPr>
                    <w:sz w:val="18"/>
                  </w:rPr>
                  <w:t>页共</w:t>
                </w:r>
                <w:r>
                  <w:rPr>
                    <w:rFonts w:ascii="Calibri"/>
                    <w:sz w:val="18"/>
                  </w:rPr>
                  <w:t>2</w:t>
                </w:r>
                <w:r>
                  <w:rPr>
                    <w:sz w:val="18"/>
                  </w:rPr>
                  <w:t>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99" w:rsidRDefault="006A38C5">
      <w:r>
        <w:separator/>
      </w:r>
    </w:p>
  </w:footnote>
  <w:footnote w:type="continuationSeparator" w:id="0">
    <w:p w:rsidR="008E5D99" w:rsidRDefault="006A3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99" w:rsidRDefault="008E5D99">
    <w:pPr>
      <w:pStyle w:val="ae"/>
      <w:spacing w:line="14" w:lineRule="auto"/>
      <w:rPr>
        <w:sz w:val="20"/>
      </w:rPr>
    </w:pPr>
    <w:r w:rsidRPr="008E5D99">
      <w:rPr>
        <w:lang w:val="en-US" w:bidi="ar-SA"/>
      </w:rPr>
      <w:pict>
        <v:shape id="shape 0" o:spid="_x0000_s2051" style="position:absolute;margin-left:88.6pt;margin-top:55.5pt;width:418.3pt;height:0;z-index:-251524096;mso-wrap-distance-left:9pt;mso-wrap-distance-top:0;mso-wrap-distance-right:9pt;mso-wrap-distance-bottom:0;mso-position-horizontal:absolute;mso-position-horizontal-relative:page;mso-position-vertical:absolute;mso-position-vertical-relative:page;o:allowoverlap:true; o:allowincell:true" coordsize="100000,100000" o:spt="100" adj="0,,0" path="" filled="f" strokeweight=".72pt">
          <v:stroke joinstyle="round"/>
          <v:formulas/>
          <v:path o:connecttype="segments" textboxrect="0,0,0,0"/>
          <w10:wrap anchorx="page" anchory="page"/>
        </v:shape>
      </w:pict>
    </w:r>
    <w:r w:rsidRPr="008E5D99">
      <w:rPr>
        <w:lang w:val="en-US" w:bidi="ar-SA"/>
      </w:rPr>
      <w:pict>
        <v:shape id="shape 1" o:spid="_x0000_s2050" style="position:absolute;margin-left:98.6pt;margin-top:42.9pt;width:398pt;height:11pt;z-index:-251525120;mso-wrap-distance-left:9pt;mso-wrap-distance-top:0;mso-wrap-distance-right:9pt;mso-wrap-distance-bottom:0;mso-position-horizontal:absolute;mso-position-horizontal-relative:page;mso-position-vertical:absolute;mso-position-vertical-relative:page;v-text-anchor:top;o:allowoverlap:true; o:allowincell:true" coordsize="100000,100000" o:spt="100" adj="0,,0" path="" filled="f" stroked="f">
          <v:stroke joinstyle="round"/>
          <v:formulas/>
          <v:path o:connecttype="segments" textboxrect="0,0,0,0"/>
          <v:textbox>
            <w:txbxContent>
              <w:p w:rsidR="008E5D99" w:rsidRDefault="006A38C5">
                <w:pPr>
                  <w:spacing w:line="220" w:lineRule="exact"/>
                  <w:ind w:left="20"/>
                  <w:rPr>
                    <w:sz w:val="18"/>
                  </w:rPr>
                </w:pPr>
                <w:r>
                  <w:rPr>
                    <w:sz w:val="18"/>
                  </w:rPr>
                  <w:t>华泰证券（上海）资产管理有限公司关于旗下部分基金非港股通交易日暂停申购、赎回等业务的公告</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
  <w:rsids>
    <w:rsidRoot w:val="008E5D99"/>
    <w:rsid w:val="006A38C5"/>
    <w:rsid w:val="008E5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5D99"/>
    <w:rPr>
      <w:rFonts w:ascii="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E5D99"/>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8E5D99"/>
    <w:rPr>
      <w:rFonts w:ascii="Arial" w:eastAsia="Arial" w:hAnsi="Arial" w:cs="Arial"/>
      <w:sz w:val="40"/>
      <w:szCs w:val="40"/>
    </w:rPr>
  </w:style>
  <w:style w:type="paragraph" w:customStyle="1" w:styleId="Heading2">
    <w:name w:val="Heading 2"/>
    <w:basedOn w:val="a"/>
    <w:next w:val="a"/>
    <w:link w:val="Heading2Char"/>
    <w:uiPriority w:val="9"/>
    <w:unhideWhenUsed/>
    <w:qFormat/>
    <w:rsid w:val="008E5D99"/>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8E5D99"/>
    <w:rPr>
      <w:rFonts w:ascii="Arial" w:eastAsia="Arial" w:hAnsi="Arial" w:cs="Arial"/>
      <w:sz w:val="34"/>
    </w:rPr>
  </w:style>
  <w:style w:type="paragraph" w:customStyle="1" w:styleId="Heading3">
    <w:name w:val="Heading 3"/>
    <w:basedOn w:val="a"/>
    <w:next w:val="a"/>
    <w:link w:val="Heading3Char"/>
    <w:uiPriority w:val="9"/>
    <w:unhideWhenUsed/>
    <w:qFormat/>
    <w:rsid w:val="008E5D9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8E5D99"/>
    <w:rPr>
      <w:rFonts w:ascii="Arial" w:eastAsia="Arial" w:hAnsi="Arial" w:cs="Arial"/>
      <w:sz w:val="30"/>
      <w:szCs w:val="30"/>
    </w:rPr>
  </w:style>
  <w:style w:type="paragraph" w:customStyle="1" w:styleId="Heading4">
    <w:name w:val="Heading 4"/>
    <w:basedOn w:val="a"/>
    <w:next w:val="a"/>
    <w:link w:val="Heading4Char"/>
    <w:uiPriority w:val="9"/>
    <w:unhideWhenUsed/>
    <w:qFormat/>
    <w:rsid w:val="008E5D9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8E5D9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E5D99"/>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8E5D9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E5D99"/>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8E5D9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E5D99"/>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8E5D9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E5D99"/>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8E5D9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E5D9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8E5D99"/>
    <w:rPr>
      <w:rFonts w:ascii="Arial" w:eastAsia="Arial" w:hAnsi="Arial" w:cs="Arial"/>
      <w:i/>
      <w:iCs/>
      <w:sz w:val="21"/>
      <w:szCs w:val="21"/>
    </w:rPr>
  </w:style>
  <w:style w:type="paragraph" w:styleId="a3">
    <w:name w:val="No Spacing"/>
    <w:uiPriority w:val="1"/>
    <w:qFormat/>
    <w:rsid w:val="008E5D99"/>
  </w:style>
  <w:style w:type="paragraph" w:styleId="a4">
    <w:name w:val="Title"/>
    <w:basedOn w:val="a"/>
    <w:next w:val="a"/>
    <w:link w:val="Char"/>
    <w:uiPriority w:val="10"/>
    <w:qFormat/>
    <w:rsid w:val="008E5D99"/>
    <w:pPr>
      <w:spacing w:before="300" w:after="200"/>
      <w:contextualSpacing/>
    </w:pPr>
    <w:rPr>
      <w:sz w:val="48"/>
      <w:szCs w:val="48"/>
    </w:rPr>
  </w:style>
  <w:style w:type="character" w:customStyle="1" w:styleId="Char">
    <w:name w:val="标题 Char"/>
    <w:basedOn w:val="a0"/>
    <w:link w:val="a4"/>
    <w:uiPriority w:val="10"/>
    <w:rsid w:val="008E5D99"/>
    <w:rPr>
      <w:sz w:val="48"/>
      <w:szCs w:val="48"/>
    </w:rPr>
  </w:style>
  <w:style w:type="paragraph" w:styleId="a5">
    <w:name w:val="Subtitle"/>
    <w:basedOn w:val="a"/>
    <w:next w:val="a"/>
    <w:link w:val="Char0"/>
    <w:uiPriority w:val="11"/>
    <w:qFormat/>
    <w:rsid w:val="008E5D99"/>
    <w:pPr>
      <w:spacing w:before="200" w:after="200"/>
    </w:pPr>
    <w:rPr>
      <w:sz w:val="24"/>
      <w:szCs w:val="24"/>
    </w:rPr>
  </w:style>
  <w:style w:type="character" w:customStyle="1" w:styleId="Char0">
    <w:name w:val="副标题 Char"/>
    <w:basedOn w:val="a0"/>
    <w:link w:val="a5"/>
    <w:uiPriority w:val="11"/>
    <w:rsid w:val="008E5D99"/>
    <w:rPr>
      <w:sz w:val="24"/>
      <w:szCs w:val="24"/>
    </w:rPr>
  </w:style>
  <w:style w:type="paragraph" w:styleId="a6">
    <w:name w:val="Quote"/>
    <w:basedOn w:val="a"/>
    <w:next w:val="a"/>
    <w:link w:val="Char1"/>
    <w:uiPriority w:val="29"/>
    <w:qFormat/>
    <w:rsid w:val="008E5D99"/>
    <w:pPr>
      <w:ind w:left="720" w:right="720"/>
    </w:pPr>
    <w:rPr>
      <w:i/>
    </w:rPr>
  </w:style>
  <w:style w:type="character" w:customStyle="1" w:styleId="Char1">
    <w:name w:val="引用 Char"/>
    <w:link w:val="a6"/>
    <w:uiPriority w:val="29"/>
    <w:rsid w:val="008E5D99"/>
    <w:rPr>
      <w:i/>
    </w:rPr>
  </w:style>
  <w:style w:type="paragraph" w:styleId="a7">
    <w:name w:val="Intense Quote"/>
    <w:basedOn w:val="a"/>
    <w:next w:val="a"/>
    <w:link w:val="Char2"/>
    <w:uiPriority w:val="30"/>
    <w:qFormat/>
    <w:rsid w:val="008E5D9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7"/>
    <w:uiPriority w:val="30"/>
    <w:rsid w:val="008E5D99"/>
    <w:rPr>
      <w:i/>
    </w:rPr>
  </w:style>
  <w:style w:type="character" w:customStyle="1" w:styleId="HeaderChar">
    <w:name w:val="Header Char"/>
    <w:basedOn w:val="a0"/>
    <w:link w:val="Header"/>
    <w:uiPriority w:val="99"/>
    <w:rsid w:val="008E5D99"/>
  </w:style>
  <w:style w:type="character" w:customStyle="1" w:styleId="FooterChar">
    <w:name w:val="Footer Char"/>
    <w:basedOn w:val="a0"/>
    <w:link w:val="Footer"/>
    <w:uiPriority w:val="99"/>
    <w:rsid w:val="008E5D99"/>
  </w:style>
  <w:style w:type="paragraph" w:customStyle="1" w:styleId="Caption">
    <w:name w:val="Caption"/>
    <w:basedOn w:val="a"/>
    <w:next w:val="a"/>
    <w:uiPriority w:val="35"/>
    <w:semiHidden/>
    <w:unhideWhenUsed/>
    <w:qFormat/>
    <w:rsid w:val="008E5D99"/>
    <w:pPr>
      <w:spacing w:line="276" w:lineRule="auto"/>
    </w:pPr>
    <w:rPr>
      <w:b/>
      <w:bCs/>
      <w:color w:val="4F81BD" w:themeColor="accent1"/>
      <w:sz w:val="18"/>
      <w:szCs w:val="18"/>
    </w:rPr>
  </w:style>
  <w:style w:type="character" w:customStyle="1" w:styleId="CaptionChar">
    <w:name w:val="Caption Char"/>
    <w:link w:val="Footer"/>
    <w:uiPriority w:val="99"/>
    <w:rsid w:val="008E5D99"/>
  </w:style>
  <w:style w:type="table" w:customStyle="1" w:styleId="TableGridLight">
    <w:name w:val="Table Grid Light"/>
    <w:basedOn w:val="a1"/>
    <w:uiPriority w:val="59"/>
    <w:rsid w:val="008E5D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1"/>
    <w:uiPriority w:val="59"/>
    <w:rsid w:val="008E5D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8E5D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8E5D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8E5D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8E5D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8E5D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8E5D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8E5D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8E5D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8E5D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8E5D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8E5D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8E5D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8E5D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8E5D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8E5D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8E5D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8E5D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8E5D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8E5D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8E5D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8E5D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8E5D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8E5D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8E5D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8E5D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8E5D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8E5D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8E5D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8E5D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8E5D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8E5D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8E5D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8E5D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8E5D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8E5D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8E5D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8E5D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8E5D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8E5D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8E5D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8E5D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8E5D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8E5D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8E5D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8E5D99"/>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8E5D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8E5D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8E5D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8E5D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8E5D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8E5D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8E5D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8E5D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8E5D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8E5D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8E5D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8E5D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8E5D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8E5D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8E5D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8E5D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8E5D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8E5D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8E5D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8E5D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8E5D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8E5D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8E5D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8E5D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8E5D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8E5D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8E5D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8E5D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8E5D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8E5D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8E5D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8E5D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8E5D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8E5D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8E5D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8E5D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8E5D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8E5D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8E5D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8E5D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8E5D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8E5D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8E5D99"/>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8E5D99"/>
    <w:rPr>
      <w:color w:val="404040"/>
      <w:sz w:val="20"/>
      <w:szCs w:val="20"/>
      <w:lang w:eastAsia="zh-CN"/>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8E5D99"/>
    <w:rPr>
      <w:color w:val="404040"/>
      <w:sz w:val="20"/>
      <w:szCs w:val="20"/>
      <w:lang w:eastAsia="zh-CN"/>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8E5D99"/>
    <w:rPr>
      <w:color w:val="404040"/>
      <w:sz w:val="20"/>
      <w:szCs w:val="20"/>
      <w:lang w:eastAsia="zh-CN"/>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8E5D99"/>
    <w:rPr>
      <w:color w:val="404040"/>
      <w:sz w:val="20"/>
      <w:szCs w:val="20"/>
      <w:lang w:eastAsia="zh-CN"/>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8E5D99"/>
    <w:rPr>
      <w:color w:val="404040"/>
      <w:sz w:val="20"/>
      <w:szCs w:val="20"/>
      <w:lang w:eastAsia="zh-CN"/>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8E5D99"/>
    <w:rPr>
      <w:color w:val="404040"/>
      <w:sz w:val="20"/>
      <w:szCs w:val="20"/>
      <w:lang w:eastAsia="zh-CN"/>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8E5D99"/>
    <w:rPr>
      <w:color w:val="404040"/>
      <w:sz w:val="20"/>
      <w:szCs w:val="20"/>
      <w:lang w:eastAsia="zh-CN"/>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8E5D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8E5D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8E5D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8E5D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8E5D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8E5D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8E5D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8">
    <w:name w:val="Hyperlink"/>
    <w:uiPriority w:val="99"/>
    <w:unhideWhenUsed/>
    <w:rsid w:val="008E5D99"/>
    <w:rPr>
      <w:color w:val="0000FF" w:themeColor="hyperlink"/>
      <w:u w:val="single"/>
    </w:rPr>
  </w:style>
  <w:style w:type="paragraph" w:styleId="a9">
    <w:name w:val="footnote text"/>
    <w:basedOn w:val="a"/>
    <w:link w:val="Char3"/>
    <w:uiPriority w:val="99"/>
    <w:semiHidden/>
    <w:unhideWhenUsed/>
    <w:rsid w:val="008E5D99"/>
    <w:pPr>
      <w:spacing w:after="40"/>
    </w:pPr>
    <w:rPr>
      <w:sz w:val="18"/>
    </w:rPr>
  </w:style>
  <w:style w:type="character" w:customStyle="1" w:styleId="Char3">
    <w:name w:val="脚注文本 Char"/>
    <w:link w:val="a9"/>
    <w:uiPriority w:val="99"/>
    <w:rsid w:val="008E5D99"/>
    <w:rPr>
      <w:sz w:val="18"/>
    </w:rPr>
  </w:style>
  <w:style w:type="character" w:styleId="aa">
    <w:name w:val="footnote reference"/>
    <w:basedOn w:val="a0"/>
    <w:uiPriority w:val="99"/>
    <w:unhideWhenUsed/>
    <w:rsid w:val="008E5D99"/>
    <w:rPr>
      <w:vertAlign w:val="superscript"/>
    </w:rPr>
  </w:style>
  <w:style w:type="paragraph" w:styleId="ab">
    <w:name w:val="endnote text"/>
    <w:basedOn w:val="a"/>
    <w:link w:val="Char4"/>
    <w:uiPriority w:val="99"/>
    <w:semiHidden/>
    <w:unhideWhenUsed/>
    <w:rsid w:val="008E5D99"/>
    <w:rPr>
      <w:sz w:val="20"/>
    </w:rPr>
  </w:style>
  <w:style w:type="character" w:customStyle="1" w:styleId="Char4">
    <w:name w:val="尾注文本 Char"/>
    <w:link w:val="ab"/>
    <w:uiPriority w:val="99"/>
    <w:rsid w:val="008E5D99"/>
    <w:rPr>
      <w:sz w:val="20"/>
    </w:rPr>
  </w:style>
  <w:style w:type="character" w:styleId="ac">
    <w:name w:val="endnote reference"/>
    <w:basedOn w:val="a0"/>
    <w:uiPriority w:val="99"/>
    <w:semiHidden/>
    <w:unhideWhenUsed/>
    <w:rsid w:val="008E5D99"/>
    <w:rPr>
      <w:vertAlign w:val="superscript"/>
    </w:rPr>
  </w:style>
  <w:style w:type="paragraph" w:styleId="1">
    <w:name w:val="toc 1"/>
    <w:basedOn w:val="a"/>
    <w:next w:val="a"/>
    <w:uiPriority w:val="39"/>
    <w:unhideWhenUsed/>
    <w:rsid w:val="008E5D99"/>
    <w:pPr>
      <w:spacing w:after="57"/>
    </w:pPr>
  </w:style>
  <w:style w:type="paragraph" w:styleId="2">
    <w:name w:val="toc 2"/>
    <w:basedOn w:val="a"/>
    <w:next w:val="a"/>
    <w:uiPriority w:val="39"/>
    <w:unhideWhenUsed/>
    <w:rsid w:val="008E5D99"/>
    <w:pPr>
      <w:spacing w:after="57"/>
      <w:ind w:left="283"/>
    </w:pPr>
  </w:style>
  <w:style w:type="paragraph" w:styleId="3">
    <w:name w:val="toc 3"/>
    <w:basedOn w:val="a"/>
    <w:next w:val="a"/>
    <w:uiPriority w:val="39"/>
    <w:unhideWhenUsed/>
    <w:rsid w:val="008E5D99"/>
    <w:pPr>
      <w:spacing w:after="57"/>
      <w:ind w:left="567"/>
    </w:pPr>
  </w:style>
  <w:style w:type="paragraph" w:styleId="4">
    <w:name w:val="toc 4"/>
    <w:basedOn w:val="a"/>
    <w:next w:val="a"/>
    <w:uiPriority w:val="39"/>
    <w:unhideWhenUsed/>
    <w:rsid w:val="008E5D99"/>
    <w:pPr>
      <w:spacing w:after="57"/>
      <w:ind w:left="850"/>
    </w:pPr>
  </w:style>
  <w:style w:type="paragraph" w:styleId="5">
    <w:name w:val="toc 5"/>
    <w:basedOn w:val="a"/>
    <w:next w:val="a"/>
    <w:uiPriority w:val="39"/>
    <w:unhideWhenUsed/>
    <w:rsid w:val="008E5D99"/>
    <w:pPr>
      <w:spacing w:after="57"/>
      <w:ind w:left="1134"/>
    </w:pPr>
  </w:style>
  <w:style w:type="paragraph" w:styleId="6">
    <w:name w:val="toc 6"/>
    <w:basedOn w:val="a"/>
    <w:next w:val="a"/>
    <w:uiPriority w:val="39"/>
    <w:unhideWhenUsed/>
    <w:rsid w:val="008E5D99"/>
    <w:pPr>
      <w:spacing w:after="57"/>
      <w:ind w:left="1417"/>
    </w:pPr>
  </w:style>
  <w:style w:type="paragraph" w:styleId="7">
    <w:name w:val="toc 7"/>
    <w:basedOn w:val="a"/>
    <w:next w:val="a"/>
    <w:uiPriority w:val="39"/>
    <w:unhideWhenUsed/>
    <w:rsid w:val="008E5D99"/>
    <w:pPr>
      <w:spacing w:after="57"/>
      <w:ind w:left="1701"/>
    </w:pPr>
  </w:style>
  <w:style w:type="paragraph" w:styleId="8">
    <w:name w:val="toc 8"/>
    <w:basedOn w:val="a"/>
    <w:next w:val="a"/>
    <w:uiPriority w:val="39"/>
    <w:unhideWhenUsed/>
    <w:rsid w:val="008E5D99"/>
    <w:pPr>
      <w:spacing w:after="57"/>
      <w:ind w:left="1984"/>
    </w:pPr>
  </w:style>
  <w:style w:type="paragraph" w:styleId="9">
    <w:name w:val="toc 9"/>
    <w:basedOn w:val="a"/>
    <w:next w:val="a"/>
    <w:uiPriority w:val="39"/>
    <w:unhideWhenUsed/>
    <w:rsid w:val="008E5D99"/>
    <w:pPr>
      <w:spacing w:after="57"/>
      <w:ind w:left="2268"/>
    </w:pPr>
  </w:style>
  <w:style w:type="paragraph" w:styleId="TOC">
    <w:name w:val="TOC Heading"/>
    <w:uiPriority w:val="39"/>
    <w:unhideWhenUsed/>
    <w:rsid w:val="008E5D99"/>
  </w:style>
  <w:style w:type="paragraph" w:styleId="ad">
    <w:name w:val="table of figures"/>
    <w:basedOn w:val="a"/>
    <w:next w:val="a"/>
    <w:uiPriority w:val="99"/>
    <w:unhideWhenUsed/>
    <w:rsid w:val="008E5D99"/>
  </w:style>
  <w:style w:type="table" w:customStyle="1" w:styleId="TableNormal">
    <w:name w:val="Table Normal"/>
    <w:uiPriority w:val="2"/>
    <w:semiHidden/>
    <w:unhideWhenUsed/>
    <w:qFormat/>
    <w:rsid w:val="008E5D99"/>
    <w:tblPr>
      <w:tblInd w:w="0" w:type="dxa"/>
      <w:tblCellMar>
        <w:top w:w="0" w:type="dxa"/>
        <w:left w:w="0" w:type="dxa"/>
        <w:bottom w:w="0" w:type="dxa"/>
        <w:right w:w="0"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Body Text"/>
    <w:basedOn w:val="a"/>
    <w:uiPriority w:val="1"/>
    <w:qFormat/>
    <w:rsid w:val="008E5D99"/>
    <w:rPr>
      <w:sz w:val="24"/>
      <w:szCs w:val="24"/>
    </w:rPr>
  </w:style>
  <w:style w:type="paragraph" w:styleId="af">
    <w:name w:val="List Paragraph"/>
    <w:basedOn w:val="a"/>
    <w:uiPriority w:val="1"/>
    <w:qFormat/>
    <w:rsid w:val="008E5D99"/>
  </w:style>
  <w:style w:type="paragraph" w:customStyle="1" w:styleId="TableParagraph">
    <w:name w:val="Table Paragraph"/>
    <w:basedOn w:val="a"/>
    <w:uiPriority w:val="1"/>
    <w:qFormat/>
    <w:rsid w:val="008E5D99"/>
    <w:pPr>
      <w:spacing w:before="79"/>
      <w:ind w:left="9"/>
      <w:jc w:val="center"/>
    </w:pPr>
  </w:style>
  <w:style w:type="paragraph" w:styleId="af0">
    <w:name w:val="Balloon Text"/>
    <w:basedOn w:val="a"/>
    <w:link w:val="Char5"/>
    <w:uiPriority w:val="99"/>
    <w:semiHidden/>
    <w:unhideWhenUsed/>
    <w:rsid w:val="008E5D99"/>
    <w:rPr>
      <w:sz w:val="18"/>
      <w:szCs w:val="18"/>
    </w:rPr>
  </w:style>
  <w:style w:type="character" w:customStyle="1" w:styleId="Char5">
    <w:name w:val="批注框文本 Char"/>
    <w:basedOn w:val="a0"/>
    <w:link w:val="af0"/>
    <w:uiPriority w:val="99"/>
    <w:semiHidden/>
    <w:rsid w:val="008E5D99"/>
    <w:rPr>
      <w:rFonts w:ascii="宋体" w:eastAsia="宋体" w:hAnsi="宋体" w:cs="宋体"/>
      <w:sz w:val="18"/>
      <w:szCs w:val="18"/>
      <w:lang w:val="zh-CN" w:eastAsia="zh-CN" w:bidi="zh-CN"/>
    </w:rPr>
  </w:style>
  <w:style w:type="character" w:styleId="af1">
    <w:name w:val="Strong"/>
    <w:uiPriority w:val="22"/>
    <w:qFormat/>
    <w:rsid w:val="008E5D99"/>
    <w:rPr>
      <w:b/>
      <w:bCs/>
    </w:rPr>
  </w:style>
  <w:style w:type="paragraph" w:customStyle="1" w:styleId="Default">
    <w:name w:val="Default"/>
    <w:qFormat/>
    <w:rsid w:val="008E5D99"/>
    <w:rPr>
      <w:rFonts w:ascii="宋体" w:hAnsi="Times New Roman" w:cs="宋体"/>
      <w:color w:val="000000"/>
      <w:sz w:val="24"/>
      <w:szCs w:val="24"/>
      <w:lang w:eastAsia="zh-CN"/>
    </w:rPr>
  </w:style>
  <w:style w:type="paragraph" w:customStyle="1" w:styleId="Header">
    <w:name w:val="Header"/>
    <w:basedOn w:val="a"/>
    <w:link w:val="af2"/>
    <w:uiPriority w:val="99"/>
    <w:unhideWhenUsed/>
    <w:rsid w:val="008E5D99"/>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Header"/>
    <w:uiPriority w:val="99"/>
    <w:rsid w:val="008E5D99"/>
    <w:rPr>
      <w:rFonts w:ascii="宋体" w:eastAsia="宋体" w:hAnsi="宋体" w:cs="宋体"/>
      <w:sz w:val="18"/>
      <w:szCs w:val="18"/>
      <w:lang w:val="zh-CN" w:eastAsia="zh-CN" w:bidi="zh-CN"/>
    </w:rPr>
  </w:style>
  <w:style w:type="paragraph" w:customStyle="1" w:styleId="Footer">
    <w:name w:val="Footer"/>
    <w:basedOn w:val="a"/>
    <w:link w:val="af3"/>
    <w:uiPriority w:val="99"/>
    <w:unhideWhenUsed/>
    <w:rsid w:val="008E5D99"/>
    <w:pPr>
      <w:tabs>
        <w:tab w:val="center" w:pos="4153"/>
        <w:tab w:val="right" w:pos="8306"/>
      </w:tabs>
      <w:snapToGrid w:val="0"/>
    </w:pPr>
    <w:rPr>
      <w:sz w:val="18"/>
      <w:szCs w:val="18"/>
    </w:rPr>
  </w:style>
  <w:style w:type="character" w:customStyle="1" w:styleId="af3">
    <w:name w:val="页脚 字符"/>
    <w:basedOn w:val="a0"/>
    <w:link w:val="Footer"/>
    <w:uiPriority w:val="99"/>
    <w:rsid w:val="008E5D99"/>
    <w:rPr>
      <w:rFonts w:ascii="宋体" w:eastAsia="宋体" w:hAnsi="宋体" w:cs="宋体"/>
      <w:sz w:val="18"/>
      <w:szCs w:val="18"/>
      <w:lang w:val="zh-CN" w:eastAsia="zh-CN" w:bidi="zh-CN"/>
    </w:rPr>
  </w:style>
  <w:style w:type="table" w:styleId="af4">
    <w:name w:val="Table Grid"/>
    <w:basedOn w:val="a1"/>
    <w:uiPriority w:val="39"/>
    <w:rsid w:val="008E5D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4</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ZHONGM</cp:lastModifiedBy>
  <cp:revision>2</cp:revision>
  <dcterms:created xsi:type="dcterms:W3CDTF">2025-01-02T16:00:00Z</dcterms:created>
  <dcterms:modified xsi:type="dcterms:W3CDTF">2025-01-02T16:00:00Z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2010</vt:lpwstr>
  </property>
  <property fmtid="{D5CDD505-2E9C-101B-9397-08002B2CF9AE}" pid="4" name="LastSaved">
    <vt:filetime>2022-11-02T00:00:00Z</vt:filetime>
  </property>
</Properties>
</file>