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2C" w:rsidRDefault="00CF0762">
      <w:pPr>
        <w:spacing w:line="360" w:lineRule="auto"/>
        <w:jc w:val="center"/>
        <w:rPr>
          <w:rFonts w:ascii="仿宋_GB2312" w:eastAsia="仿宋_GB2312" w:hAnsi="仿宋"/>
          <w:b/>
          <w:sz w:val="28"/>
          <w:szCs w:val="24"/>
        </w:rPr>
      </w:pPr>
      <w:r>
        <w:rPr>
          <w:rFonts w:ascii="仿宋_GB2312" w:eastAsia="仿宋_GB2312" w:hAnsi="仿宋" w:hint="eastAsia"/>
          <w:b/>
          <w:sz w:val="28"/>
          <w:szCs w:val="24"/>
        </w:rPr>
        <w:t>平安宁波交投杭州湾跨海大桥封闭式基础设施证券投资基金</w:t>
      </w:r>
    </w:p>
    <w:p w:rsidR="00A7792C" w:rsidRDefault="00CF0762">
      <w:pPr>
        <w:spacing w:line="360" w:lineRule="auto"/>
        <w:jc w:val="center"/>
        <w:rPr>
          <w:rFonts w:ascii="仿宋_GB2312" w:eastAsia="仿宋_GB2312" w:hAnsi="仿宋"/>
          <w:b/>
          <w:sz w:val="28"/>
          <w:szCs w:val="24"/>
        </w:rPr>
      </w:pPr>
      <w:r>
        <w:rPr>
          <w:rFonts w:ascii="仿宋_GB2312" w:eastAsia="仿宋_GB2312" w:hAnsi="仿宋" w:hint="eastAsia"/>
          <w:b/>
          <w:sz w:val="28"/>
          <w:szCs w:val="24"/>
        </w:rPr>
        <w:t>开通上海证券交易所基金通平台份额转让业务的公告</w:t>
      </w:r>
    </w:p>
    <w:p w:rsidR="00A7792C" w:rsidRDefault="00A7792C">
      <w:pPr>
        <w:spacing w:line="360" w:lineRule="auto"/>
        <w:ind w:firstLineChars="200" w:firstLine="480"/>
        <w:jc w:val="left"/>
        <w:rPr>
          <w:rFonts w:ascii="仿宋_GB2312" w:eastAsia="仿宋_GB2312" w:hAnsi="仿宋" w:cs="Times New Roman"/>
          <w:sz w:val="24"/>
          <w:szCs w:val="24"/>
        </w:rPr>
      </w:pPr>
    </w:p>
    <w:p w:rsidR="00A7792C" w:rsidRDefault="00CF0762">
      <w:pPr>
        <w:spacing w:line="360" w:lineRule="auto"/>
        <w:ind w:firstLineChars="200" w:firstLine="480"/>
        <w:jc w:val="left"/>
        <w:rPr>
          <w:rFonts w:ascii="仿宋_GB2312" w:eastAsia="仿宋_GB2312" w:hAnsi="仿宋" w:cs="Times New Roman"/>
          <w:sz w:val="24"/>
          <w:szCs w:val="24"/>
        </w:rPr>
      </w:pPr>
      <w:r>
        <w:rPr>
          <w:rFonts w:ascii="仿宋_GB2312" w:eastAsia="仿宋_GB2312" w:hAnsi="仿宋" w:cs="Times New Roman" w:hint="eastAsia"/>
          <w:sz w:val="24"/>
          <w:szCs w:val="24"/>
        </w:rPr>
        <w:t>为满足平安宁波交投杭州湾跨海大桥封闭式基础设施证券投资基金</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基金简称：平安宁波交投</w:t>
      </w:r>
      <w:r>
        <w:rPr>
          <w:rFonts w:ascii="仿宋_GB2312" w:eastAsia="仿宋_GB2312" w:hAnsi="仿宋" w:cs="Times New Roman" w:hint="eastAsia"/>
          <w:sz w:val="24"/>
          <w:szCs w:val="24"/>
        </w:rPr>
        <w:t>REIT</w:t>
      </w:r>
      <w:r>
        <w:rPr>
          <w:rFonts w:ascii="仿宋_GB2312" w:eastAsia="仿宋_GB2312" w:hAnsi="仿宋" w:cs="Times New Roman" w:hint="eastAsia"/>
          <w:sz w:val="24"/>
          <w:szCs w:val="24"/>
        </w:rPr>
        <w:t>；基金代码：</w:t>
      </w:r>
      <w:r>
        <w:rPr>
          <w:rFonts w:ascii="仿宋_GB2312" w:eastAsia="仿宋_GB2312" w:hAnsi="仿宋" w:cs="Times New Roman" w:hint="eastAsia"/>
          <w:sz w:val="24"/>
          <w:szCs w:val="24"/>
        </w:rPr>
        <w:t>508036</w:t>
      </w:r>
      <w:r>
        <w:rPr>
          <w:rFonts w:ascii="仿宋_GB2312" w:eastAsia="仿宋_GB2312" w:hAnsi="仿宋" w:cs="Times New Roman" w:hint="eastAsia"/>
          <w:sz w:val="24"/>
          <w:szCs w:val="24"/>
        </w:rPr>
        <w:t>；基金场内简称：甬交</w:t>
      </w:r>
      <w:r>
        <w:rPr>
          <w:rFonts w:ascii="仿宋_GB2312" w:eastAsia="仿宋_GB2312" w:hAnsi="仿宋" w:cs="Times New Roman" w:hint="eastAsia"/>
          <w:sz w:val="24"/>
          <w:szCs w:val="24"/>
        </w:rPr>
        <w:t>REIT</w:t>
      </w:r>
      <w:r>
        <w:rPr>
          <w:rFonts w:ascii="仿宋_GB2312" w:eastAsia="仿宋_GB2312" w:hAnsi="仿宋" w:cs="Times New Roman" w:hint="eastAsia"/>
          <w:sz w:val="24"/>
          <w:szCs w:val="24"/>
        </w:rPr>
        <w:t>；扩位简称：平安宁波交投</w:t>
      </w:r>
      <w:r>
        <w:rPr>
          <w:rFonts w:ascii="仿宋_GB2312" w:eastAsia="仿宋_GB2312" w:hAnsi="仿宋" w:cs="Times New Roman" w:hint="eastAsia"/>
          <w:sz w:val="24"/>
          <w:szCs w:val="24"/>
        </w:rPr>
        <w:t>REIT</w:t>
      </w:r>
      <w:r>
        <w:rPr>
          <w:rFonts w:ascii="仿宋_GB2312" w:eastAsia="仿宋_GB2312" w:hAnsi="仿宋" w:cs="Times New Roman" w:hint="eastAsia"/>
          <w:sz w:val="24"/>
          <w:szCs w:val="24"/>
        </w:rPr>
        <w:t>，以下简称本基金）的流动性需求，根据《上海证券交易所基金自律监管规则适用指引第</w:t>
      </w:r>
      <w:r>
        <w:rPr>
          <w:rFonts w:ascii="仿宋_GB2312" w:eastAsia="仿宋_GB2312" w:hAnsi="仿宋" w:cs="Times New Roman" w:hint="eastAsia"/>
          <w:sz w:val="24"/>
          <w:szCs w:val="24"/>
        </w:rPr>
        <w:t>3</w:t>
      </w:r>
      <w:r>
        <w:rPr>
          <w:rFonts w:ascii="仿宋_GB2312" w:eastAsia="仿宋_GB2312" w:hAnsi="仿宋" w:cs="Times New Roman" w:hint="eastAsia"/>
          <w:sz w:val="24"/>
          <w:szCs w:val="24"/>
        </w:rPr>
        <w:t>号——基金通平台份额转让》的规定，本基金自</w:t>
      </w:r>
      <w:r>
        <w:rPr>
          <w:rFonts w:ascii="仿宋_GB2312" w:eastAsia="仿宋_GB2312" w:hAnsi="仿宋" w:cs="Times New Roman" w:hint="eastAsia"/>
          <w:sz w:val="24"/>
          <w:szCs w:val="24"/>
        </w:rPr>
        <w:t>2025</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1</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2</w:t>
      </w:r>
      <w:r>
        <w:rPr>
          <w:rFonts w:ascii="仿宋_GB2312" w:eastAsia="仿宋_GB2312" w:hAnsi="仿宋" w:cs="Times New Roman" w:hint="eastAsia"/>
          <w:sz w:val="24"/>
          <w:szCs w:val="24"/>
        </w:rPr>
        <w:t>日起开通上海证券交易所基金通平台份额转让业务，具体业务按照各销售机构及上海证券交易所的相关规定办理。</w:t>
      </w:r>
    </w:p>
    <w:p w:rsidR="00A7792C" w:rsidRDefault="00CF0762">
      <w:pPr>
        <w:spacing w:line="360" w:lineRule="auto"/>
        <w:ind w:firstLineChars="200" w:firstLine="480"/>
        <w:jc w:val="left"/>
        <w:rPr>
          <w:rFonts w:ascii="仿宋_GB2312" w:eastAsia="仿宋_GB2312" w:hAnsi="仿宋" w:cs="Times New Roman"/>
          <w:sz w:val="24"/>
          <w:szCs w:val="24"/>
        </w:rPr>
      </w:pPr>
      <w:r>
        <w:rPr>
          <w:rFonts w:ascii="仿宋_GB2312" w:eastAsia="仿宋_GB2312" w:hAnsi="仿宋" w:hint="eastAsia"/>
          <w:sz w:val="24"/>
          <w:szCs w:val="24"/>
        </w:rPr>
        <w:t>风险提示：本基金管理人承诺以诚实信用、勤勉尽责的原则管理和运用基金资产，但不保证基金一定盈利，也不保证最低收益。投资者投资于本基金前应认真阅读本基金的基金合同和招募说明书等法律文件。敬请投资者注意投资风险。</w:t>
      </w:r>
      <w:r>
        <w:rPr>
          <w:rFonts w:ascii="仿宋_GB2312" w:eastAsia="仿宋_GB2312" w:hAnsi="仿宋" w:cs="Times New Roman" w:hint="eastAsia"/>
          <w:sz w:val="24"/>
          <w:szCs w:val="24"/>
        </w:rPr>
        <w:t>投资者参与基金通平台的基金份额转让，应当充分知悉基金通平台做市转让相关业务规则、转让流程及拟转让品种的投资风险，审慎、合规开展转让。</w:t>
      </w:r>
    </w:p>
    <w:p w:rsidR="00A7792C" w:rsidRDefault="00A7792C">
      <w:pPr>
        <w:spacing w:line="360" w:lineRule="auto"/>
        <w:ind w:firstLineChars="200" w:firstLine="480"/>
        <w:rPr>
          <w:rFonts w:ascii="仿宋_GB2312" w:eastAsia="仿宋_GB2312" w:hAnsi="仿宋"/>
          <w:sz w:val="24"/>
          <w:szCs w:val="24"/>
        </w:rPr>
      </w:pPr>
    </w:p>
    <w:p w:rsidR="00A7792C" w:rsidRDefault="00A7792C">
      <w:pPr>
        <w:spacing w:line="360" w:lineRule="auto"/>
        <w:ind w:firstLineChars="200" w:firstLine="480"/>
        <w:jc w:val="left"/>
        <w:rPr>
          <w:rFonts w:ascii="仿宋_GB2312" w:eastAsia="仿宋_GB2312" w:hAnsi="仿宋" w:cs="Times New Roman"/>
          <w:sz w:val="24"/>
          <w:szCs w:val="24"/>
        </w:rPr>
      </w:pPr>
    </w:p>
    <w:p w:rsidR="00A7792C" w:rsidRDefault="00CF0762">
      <w:pPr>
        <w:spacing w:line="360" w:lineRule="auto"/>
        <w:ind w:firstLineChars="200" w:firstLine="480"/>
        <w:jc w:val="left"/>
        <w:rPr>
          <w:rFonts w:ascii="仿宋_GB2312" w:eastAsia="仿宋_GB2312" w:hAnsi="仿宋" w:cs="Times New Roman"/>
          <w:sz w:val="24"/>
          <w:szCs w:val="24"/>
        </w:rPr>
      </w:pPr>
      <w:r>
        <w:rPr>
          <w:rFonts w:ascii="仿宋_GB2312" w:eastAsia="仿宋_GB2312" w:hAnsi="仿宋" w:cs="Times New Roman" w:hint="eastAsia"/>
          <w:sz w:val="24"/>
          <w:szCs w:val="24"/>
        </w:rPr>
        <w:t>特此公告。</w:t>
      </w:r>
    </w:p>
    <w:p w:rsidR="00A7792C" w:rsidRDefault="00A7792C">
      <w:pPr>
        <w:spacing w:line="360" w:lineRule="auto"/>
        <w:ind w:firstLineChars="200" w:firstLine="480"/>
        <w:jc w:val="left"/>
        <w:rPr>
          <w:rFonts w:ascii="仿宋_GB2312" w:eastAsia="仿宋_GB2312" w:hAnsi="仿宋" w:cs="Times New Roman"/>
          <w:sz w:val="24"/>
          <w:szCs w:val="24"/>
        </w:rPr>
      </w:pPr>
    </w:p>
    <w:p w:rsidR="00A7792C" w:rsidRDefault="00A7792C">
      <w:pPr>
        <w:spacing w:line="360" w:lineRule="auto"/>
        <w:jc w:val="right"/>
        <w:rPr>
          <w:rFonts w:ascii="仿宋_GB2312" w:eastAsia="仿宋_GB2312" w:hAnsi="仿宋" w:cs="Times New Roman"/>
          <w:sz w:val="24"/>
          <w:szCs w:val="24"/>
        </w:rPr>
      </w:pPr>
    </w:p>
    <w:p w:rsidR="00A7792C" w:rsidRDefault="00CF0762">
      <w:pPr>
        <w:spacing w:line="360" w:lineRule="auto"/>
        <w:jc w:val="right"/>
        <w:rPr>
          <w:rFonts w:ascii="仿宋_GB2312" w:eastAsia="仿宋_GB2312" w:hAnsi="仿宋" w:cs="Times New Roman"/>
          <w:sz w:val="24"/>
          <w:szCs w:val="24"/>
        </w:rPr>
      </w:pPr>
      <w:r>
        <w:rPr>
          <w:rFonts w:ascii="仿宋_GB2312" w:eastAsia="仿宋_GB2312" w:hAnsi="仿宋" w:cs="Times New Roman" w:hint="eastAsia"/>
          <w:sz w:val="24"/>
          <w:szCs w:val="24"/>
        </w:rPr>
        <w:t>平安基金管理有限公司</w:t>
      </w:r>
    </w:p>
    <w:p w:rsidR="00A7792C" w:rsidRDefault="00CF0762">
      <w:pPr>
        <w:spacing w:line="360" w:lineRule="auto"/>
        <w:jc w:val="right"/>
        <w:rPr>
          <w:rFonts w:ascii="仿宋_GB2312" w:eastAsia="仿宋_GB2312" w:hAnsi="仿宋" w:cs="Times New Roman"/>
          <w:sz w:val="24"/>
          <w:szCs w:val="24"/>
        </w:rPr>
      </w:pPr>
      <w:r>
        <w:rPr>
          <w:rFonts w:ascii="仿宋_GB2312" w:eastAsia="仿宋_GB2312" w:hAnsi="仿宋" w:cs="Times New Roman" w:hint="eastAsia"/>
          <w:sz w:val="24"/>
          <w:szCs w:val="24"/>
        </w:rPr>
        <w:t>2025</w:t>
      </w:r>
      <w:r>
        <w:rPr>
          <w:rFonts w:ascii="仿宋_GB2312" w:eastAsia="仿宋_GB2312" w:hAnsi="仿宋_GB2312" w:cs="仿宋_GB2312" w:hint="eastAsia"/>
          <w:sz w:val="24"/>
          <w:szCs w:val="24"/>
        </w:rPr>
        <w:t>年</w:t>
      </w:r>
      <w:bookmarkStart w:id="0" w:name="_GoBack"/>
      <w:bookmarkEnd w:id="0"/>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日</w:t>
      </w:r>
    </w:p>
    <w:sectPr w:rsidR="00A7792C" w:rsidSect="00A779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8C061B"/>
    <w:rsid w:val="0006739C"/>
    <w:rsid w:val="000F4CEF"/>
    <w:rsid w:val="0028038F"/>
    <w:rsid w:val="003D5F67"/>
    <w:rsid w:val="006618CB"/>
    <w:rsid w:val="007E2A2A"/>
    <w:rsid w:val="007E2C94"/>
    <w:rsid w:val="00883328"/>
    <w:rsid w:val="008C061B"/>
    <w:rsid w:val="00911EFC"/>
    <w:rsid w:val="00A7792C"/>
    <w:rsid w:val="00AB1DDA"/>
    <w:rsid w:val="00B90138"/>
    <w:rsid w:val="00C7727F"/>
    <w:rsid w:val="00CF0762"/>
    <w:rsid w:val="00D76DD2"/>
    <w:rsid w:val="00D951DE"/>
    <w:rsid w:val="00DE5F0C"/>
    <w:rsid w:val="1857401D"/>
    <w:rsid w:val="3B6F2170"/>
    <w:rsid w:val="41B23EFA"/>
    <w:rsid w:val="680114EC"/>
    <w:rsid w:val="6A910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9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7792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7792C"/>
    <w:pPr>
      <w:tabs>
        <w:tab w:val="center" w:pos="4153"/>
        <w:tab w:val="right" w:pos="8306"/>
      </w:tabs>
      <w:snapToGrid w:val="0"/>
      <w:jc w:val="center"/>
    </w:pPr>
    <w:rPr>
      <w:sz w:val="18"/>
      <w:szCs w:val="18"/>
    </w:rPr>
  </w:style>
  <w:style w:type="table" w:styleId="a5">
    <w:name w:val="Table Grid"/>
    <w:basedOn w:val="a1"/>
    <w:uiPriority w:val="39"/>
    <w:qFormat/>
    <w:rsid w:val="00A77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A7792C"/>
    <w:rPr>
      <w:sz w:val="18"/>
      <w:szCs w:val="18"/>
    </w:rPr>
  </w:style>
  <w:style w:type="character" w:customStyle="1" w:styleId="Char">
    <w:name w:val="页脚 Char"/>
    <w:basedOn w:val="a0"/>
    <w:link w:val="a3"/>
    <w:uiPriority w:val="99"/>
    <w:qFormat/>
    <w:rsid w:val="00A7792C"/>
    <w:rPr>
      <w:sz w:val="18"/>
      <w:szCs w:val="18"/>
    </w:rPr>
  </w:style>
  <w:style w:type="paragraph" w:styleId="a6">
    <w:name w:val="List Paragraph"/>
    <w:basedOn w:val="a"/>
    <w:uiPriority w:val="34"/>
    <w:qFormat/>
    <w:rsid w:val="00A7792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4</DocSecurity>
  <Lines>3</Lines>
  <Paragraphs>1</Paragraphs>
  <ScaleCrop>false</ScaleCrop>
  <Company>CNSTOCK</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ZHONGM</cp:lastModifiedBy>
  <cp:revision>2</cp:revision>
  <dcterms:created xsi:type="dcterms:W3CDTF">2025-01-01T16:02:00Z</dcterms:created>
  <dcterms:modified xsi:type="dcterms:W3CDTF">2025-01-01T16:02:00Z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A7EAE826D2F84CBEB6E58AEAD97078B8_12</vt:lpwstr>
  </property>
</Properties>
</file>