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35" w:rsidRPr="00521354" w:rsidRDefault="00A101FF" w:rsidP="00521354">
      <w:pPr>
        <w:jc w:val="center"/>
        <w:rPr>
          <w:rFonts w:hAnsi="宋体"/>
          <w:b/>
          <w:sz w:val="48"/>
          <w:szCs w:val="48"/>
        </w:rPr>
      </w:pPr>
      <w:bookmarkStart w:id="0" w:name="_GoBack"/>
      <w:bookmarkEnd w:id="0"/>
      <w:r w:rsidRPr="00D035D2">
        <w:rPr>
          <w:rFonts w:hAnsi="宋体"/>
          <w:b/>
          <w:sz w:val="48"/>
          <w:szCs w:val="48"/>
        </w:rPr>
        <w:t>鹏扬基金管理有限公司关于旗下部分基金改聘会计师事务所的公告</w:t>
      </w:r>
    </w:p>
    <w:p w:rsidR="00DA2749" w:rsidRDefault="00A101FF" w:rsidP="00A101FF">
      <w:pPr>
        <w:pStyle w:val="1"/>
        <w:spacing w:before="156" w:after="156"/>
      </w:pPr>
      <w:r>
        <w:t>公告基本信息</w:t>
      </w:r>
    </w:p>
    <w:tbl>
      <w:tblPr>
        <w:tblStyle w:val="a9"/>
        <w:tblW w:w="0" w:type="auto"/>
        <w:jc w:val="center"/>
        <w:tblLayout w:type="fixed"/>
        <w:tblLook w:val="04A0"/>
      </w:tblPr>
      <w:tblGrid>
        <w:gridCol w:w="3823"/>
        <w:gridCol w:w="3118"/>
        <w:gridCol w:w="1355"/>
      </w:tblGrid>
      <w:tr w:rsidR="00736471" w:rsidTr="00582319">
        <w:trPr>
          <w:jc w:val="center"/>
        </w:trPr>
        <w:tc>
          <w:tcPr>
            <w:tcW w:w="3823" w:type="dxa"/>
            <w:vAlign w:val="center"/>
          </w:tcPr>
          <w:p w:rsidR="00736471" w:rsidRPr="00503DDE" w:rsidRDefault="00736471" w:rsidP="00736471">
            <w:pPr>
              <w:rPr>
                <w:szCs w:val="22"/>
              </w:rPr>
            </w:pPr>
            <w:r w:rsidRPr="00503DDE">
              <w:rPr>
                <w:szCs w:val="22"/>
              </w:rPr>
              <w:t>基金管理人名称</w:t>
            </w:r>
          </w:p>
        </w:tc>
        <w:tc>
          <w:tcPr>
            <w:tcW w:w="4473" w:type="dxa"/>
            <w:gridSpan w:val="2"/>
            <w:vAlign w:val="center"/>
          </w:tcPr>
          <w:p w:rsidR="00736471" w:rsidRPr="00503DDE" w:rsidRDefault="00736471" w:rsidP="00736471">
            <w:pPr>
              <w:jc w:val="left"/>
              <w:rPr>
                <w:szCs w:val="22"/>
              </w:rPr>
            </w:pPr>
            <w:r w:rsidRPr="00503DDE">
              <w:rPr>
                <w:szCs w:val="22"/>
              </w:rPr>
              <w:t>鹏扬基金管理有限公司</w:t>
            </w:r>
          </w:p>
        </w:tc>
      </w:tr>
      <w:tr w:rsidR="00736471" w:rsidTr="00582319">
        <w:trPr>
          <w:jc w:val="center"/>
        </w:trPr>
        <w:tc>
          <w:tcPr>
            <w:tcW w:w="3823" w:type="dxa"/>
            <w:vAlign w:val="center"/>
          </w:tcPr>
          <w:p w:rsidR="00736471" w:rsidRPr="00503DDE" w:rsidRDefault="00736471" w:rsidP="00736471">
            <w:pPr>
              <w:rPr>
                <w:szCs w:val="22"/>
              </w:rPr>
            </w:pPr>
            <w:r w:rsidRPr="00503DDE">
              <w:rPr>
                <w:szCs w:val="22"/>
              </w:rPr>
              <w:t>公告依据</w:t>
            </w:r>
          </w:p>
        </w:tc>
        <w:tc>
          <w:tcPr>
            <w:tcW w:w="4473" w:type="dxa"/>
            <w:gridSpan w:val="2"/>
            <w:vAlign w:val="center"/>
          </w:tcPr>
          <w:p w:rsidR="00736471" w:rsidRPr="00503DDE" w:rsidRDefault="00736471" w:rsidP="00736471">
            <w:pPr>
              <w:jc w:val="left"/>
              <w:rPr>
                <w:szCs w:val="22"/>
              </w:rPr>
            </w:pPr>
            <w:r w:rsidRPr="00503DDE">
              <w:rPr>
                <w:szCs w:val="22"/>
              </w:rPr>
              <w:t>《公开募集证券投资基金信息披露管理办法》、各基金的《基金合同》及《招募说明书》等法律文件</w:t>
            </w:r>
          </w:p>
        </w:tc>
      </w:tr>
      <w:tr w:rsidR="00736471" w:rsidTr="00582319">
        <w:trPr>
          <w:jc w:val="center"/>
        </w:trPr>
        <w:tc>
          <w:tcPr>
            <w:tcW w:w="3823" w:type="dxa"/>
            <w:vAlign w:val="center"/>
          </w:tcPr>
          <w:p w:rsidR="00736471" w:rsidRPr="00503DDE" w:rsidRDefault="00736471" w:rsidP="00736471">
            <w:pPr>
              <w:rPr>
                <w:szCs w:val="22"/>
              </w:rPr>
            </w:pPr>
            <w:r w:rsidRPr="00503DDE">
              <w:rPr>
                <w:szCs w:val="22"/>
              </w:rPr>
              <w:t>改聘日期</w:t>
            </w:r>
          </w:p>
        </w:tc>
        <w:tc>
          <w:tcPr>
            <w:tcW w:w="4473" w:type="dxa"/>
            <w:gridSpan w:val="2"/>
            <w:vAlign w:val="center"/>
          </w:tcPr>
          <w:p w:rsidR="00736471" w:rsidRPr="00503DDE" w:rsidRDefault="00736471" w:rsidP="00736471">
            <w:pPr>
              <w:jc w:val="left"/>
              <w:rPr>
                <w:szCs w:val="22"/>
              </w:rPr>
            </w:pPr>
            <w:r>
              <w:rPr>
                <w:szCs w:val="22"/>
              </w:rPr>
              <w:t>2024年9月30日</w:t>
            </w:r>
          </w:p>
        </w:tc>
      </w:tr>
      <w:tr w:rsidR="00736471" w:rsidTr="00582319">
        <w:trPr>
          <w:jc w:val="center"/>
        </w:trPr>
        <w:tc>
          <w:tcPr>
            <w:tcW w:w="3823" w:type="dxa"/>
            <w:vAlign w:val="center"/>
          </w:tcPr>
          <w:p w:rsidR="00736471" w:rsidRPr="00503DDE" w:rsidRDefault="00736471" w:rsidP="00736471">
            <w:pPr>
              <w:rPr>
                <w:szCs w:val="22"/>
              </w:rPr>
            </w:pPr>
            <w:r w:rsidRPr="00503DDE">
              <w:rPr>
                <w:szCs w:val="22"/>
              </w:rPr>
              <w:t>改聘前会计师事务所名称</w:t>
            </w:r>
          </w:p>
        </w:tc>
        <w:tc>
          <w:tcPr>
            <w:tcW w:w="4473" w:type="dxa"/>
            <w:gridSpan w:val="2"/>
            <w:vAlign w:val="center"/>
          </w:tcPr>
          <w:p w:rsidR="00736471" w:rsidRPr="00503DDE" w:rsidRDefault="00736471" w:rsidP="00736471">
            <w:pPr>
              <w:jc w:val="left"/>
              <w:rPr>
                <w:szCs w:val="22"/>
              </w:rPr>
            </w:pPr>
            <w:r w:rsidRPr="00503DDE">
              <w:rPr>
                <w:szCs w:val="22"/>
              </w:rPr>
              <w:t>普华永道中天会计师事务所（特殊普通合伙）</w:t>
            </w:r>
          </w:p>
        </w:tc>
      </w:tr>
      <w:tr w:rsidR="00736471" w:rsidTr="00582319">
        <w:trPr>
          <w:jc w:val="center"/>
        </w:trPr>
        <w:tc>
          <w:tcPr>
            <w:tcW w:w="3823" w:type="dxa"/>
            <w:vAlign w:val="center"/>
          </w:tcPr>
          <w:p w:rsidR="00736471" w:rsidRPr="00503DDE" w:rsidRDefault="00736471" w:rsidP="00736471">
            <w:pPr>
              <w:rPr>
                <w:szCs w:val="22"/>
              </w:rPr>
            </w:pPr>
            <w:r w:rsidRPr="00503DDE">
              <w:rPr>
                <w:szCs w:val="22"/>
              </w:rPr>
              <w:t>改聘后会计师事务所名称</w:t>
            </w:r>
          </w:p>
        </w:tc>
        <w:tc>
          <w:tcPr>
            <w:tcW w:w="4473" w:type="dxa"/>
            <w:gridSpan w:val="2"/>
            <w:vAlign w:val="center"/>
          </w:tcPr>
          <w:p w:rsidR="00736471" w:rsidRPr="00503DDE" w:rsidRDefault="00736471" w:rsidP="00736471">
            <w:pPr>
              <w:jc w:val="left"/>
              <w:rPr>
                <w:szCs w:val="22"/>
              </w:rPr>
            </w:pPr>
            <w:r w:rsidRPr="00503DDE">
              <w:rPr>
                <w:szCs w:val="22"/>
              </w:rPr>
              <w:t>安永华明会计师事务所（特殊普通合伙）</w:t>
            </w:r>
          </w:p>
        </w:tc>
      </w:tr>
      <w:tr w:rsidR="00736471" w:rsidTr="00582319">
        <w:trPr>
          <w:jc w:val="center"/>
        </w:trPr>
        <w:tc>
          <w:tcPr>
            <w:tcW w:w="3823" w:type="dxa"/>
            <w:vAlign w:val="center"/>
          </w:tcPr>
          <w:p w:rsidR="00736471" w:rsidRPr="00503DDE" w:rsidRDefault="00736471" w:rsidP="00736471">
            <w:pPr>
              <w:jc w:val="center"/>
              <w:rPr>
                <w:szCs w:val="22"/>
              </w:rPr>
            </w:pPr>
            <w:r w:rsidRPr="00503DDE">
              <w:rPr>
                <w:szCs w:val="22"/>
              </w:rPr>
              <w:t>基金名称</w:t>
            </w:r>
          </w:p>
        </w:tc>
        <w:tc>
          <w:tcPr>
            <w:tcW w:w="3118" w:type="dxa"/>
            <w:vAlign w:val="center"/>
          </w:tcPr>
          <w:p w:rsidR="00736471" w:rsidRPr="00503DDE" w:rsidRDefault="00736471" w:rsidP="00736471">
            <w:pPr>
              <w:jc w:val="center"/>
              <w:rPr>
                <w:szCs w:val="22"/>
              </w:rPr>
            </w:pPr>
            <w:r w:rsidRPr="00503DDE">
              <w:rPr>
                <w:szCs w:val="22"/>
              </w:rPr>
              <w:t>基金简称</w:t>
            </w:r>
          </w:p>
        </w:tc>
        <w:tc>
          <w:tcPr>
            <w:tcW w:w="1355" w:type="dxa"/>
            <w:vAlign w:val="center"/>
          </w:tcPr>
          <w:p w:rsidR="00736471" w:rsidRPr="00503DDE" w:rsidRDefault="00736471" w:rsidP="00736471">
            <w:pPr>
              <w:jc w:val="center"/>
              <w:rPr>
                <w:szCs w:val="22"/>
              </w:rPr>
            </w:pPr>
            <w:r w:rsidRPr="00503DDE">
              <w:rPr>
                <w:szCs w:val="22"/>
              </w:rPr>
              <w:t>基金主代码</w:t>
            </w:r>
          </w:p>
        </w:tc>
      </w:tr>
      <w:tr w:rsidR="00736471" w:rsidTr="00582319">
        <w:trPr>
          <w:jc w:val="center"/>
        </w:trPr>
        <w:tc>
          <w:tcPr>
            <w:tcW w:w="3823" w:type="dxa"/>
            <w:vAlign w:val="center"/>
          </w:tcPr>
          <w:p w:rsidR="00736471" w:rsidRDefault="00736471" w:rsidP="00736471">
            <w:r w:rsidRPr="00503DDE">
              <w:rPr>
                <w:szCs w:val="22"/>
              </w:rPr>
              <w:t>鹏扬中证500质量成长交易型开放式指数证券投资基金</w:t>
            </w:r>
          </w:p>
        </w:tc>
        <w:tc>
          <w:tcPr>
            <w:tcW w:w="3118" w:type="dxa"/>
            <w:vAlign w:val="center"/>
          </w:tcPr>
          <w:p w:rsidR="00736471" w:rsidRPr="00503DDE" w:rsidRDefault="00736471" w:rsidP="00736471">
            <w:pPr>
              <w:jc w:val="left"/>
              <w:rPr>
                <w:szCs w:val="22"/>
              </w:rPr>
            </w:pPr>
            <w:r w:rsidRPr="00503DDE">
              <w:rPr>
                <w:szCs w:val="22"/>
              </w:rPr>
              <w:t>鹏扬中证500质量成长ETF</w:t>
            </w:r>
          </w:p>
        </w:tc>
        <w:tc>
          <w:tcPr>
            <w:tcW w:w="1355" w:type="dxa"/>
            <w:vAlign w:val="center"/>
          </w:tcPr>
          <w:p w:rsidR="00736471" w:rsidRPr="00503DDE" w:rsidRDefault="00736471" w:rsidP="0078765E">
            <w:pPr>
              <w:jc w:val="center"/>
              <w:rPr>
                <w:szCs w:val="22"/>
              </w:rPr>
            </w:pPr>
            <w:r w:rsidRPr="00503DDE">
              <w:rPr>
                <w:szCs w:val="22"/>
              </w:rPr>
              <w:t>560500</w:t>
            </w:r>
          </w:p>
        </w:tc>
      </w:tr>
      <w:tr w:rsidR="00736471" w:rsidTr="00582319">
        <w:trPr>
          <w:jc w:val="center"/>
        </w:trPr>
        <w:tc>
          <w:tcPr>
            <w:tcW w:w="3823" w:type="dxa"/>
            <w:vAlign w:val="center"/>
          </w:tcPr>
          <w:p w:rsidR="00736471" w:rsidRDefault="00736471" w:rsidP="00736471">
            <w:r w:rsidRPr="00503DDE">
              <w:rPr>
                <w:szCs w:val="22"/>
              </w:rPr>
              <w:t>鹏扬景润一年持有期混合型证券投资基金</w:t>
            </w:r>
          </w:p>
        </w:tc>
        <w:tc>
          <w:tcPr>
            <w:tcW w:w="3118" w:type="dxa"/>
            <w:vAlign w:val="center"/>
          </w:tcPr>
          <w:p w:rsidR="00736471" w:rsidRPr="00503DDE" w:rsidRDefault="00736471" w:rsidP="00736471">
            <w:pPr>
              <w:jc w:val="left"/>
              <w:rPr>
                <w:szCs w:val="22"/>
              </w:rPr>
            </w:pPr>
            <w:r w:rsidRPr="00503DDE">
              <w:rPr>
                <w:szCs w:val="22"/>
              </w:rPr>
              <w:t>鹏扬景润一年混合</w:t>
            </w:r>
          </w:p>
        </w:tc>
        <w:tc>
          <w:tcPr>
            <w:tcW w:w="1355" w:type="dxa"/>
            <w:vAlign w:val="center"/>
          </w:tcPr>
          <w:p w:rsidR="00736471" w:rsidRPr="00503DDE" w:rsidRDefault="00736471" w:rsidP="0078765E">
            <w:pPr>
              <w:jc w:val="center"/>
              <w:rPr>
                <w:szCs w:val="22"/>
              </w:rPr>
            </w:pPr>
            <w:r w:rsidRPr="00503DDE">
              <w:rPr>
                <w:szCs w:val="22"/>
              </w:rPr>
              <w:t>012253</w:t>
            </w:r>
          </w:p>
        </w:tc>
      </w:tr>
      <w:tr w:rsidR="00736471" w:rsidTr="00582319">
        <w:trPr>
          <w:jc w:val="center"/>
        </w:trPr>
        <w:tc>
          <w:tcPr>
            <w:tcW w:w="3823" w:type="dxa"/>
            <w:vAlign w:val="center"/>
          </w:tcPr>
          <w:p w:rsidR="00736471" w:rsidRDefault="00736471" w:rsidP="00736471">
            <w:r w:rsidRPr="00503DDE">
              <w:rPr>
                <w:szCs w:val="22"/>
              </w:rPr>
              <w:t>鹏扬淳熙一年定期开放债券型发起式证券投资基金</w:t>
            </w:r>
          </w:p>
        </w:tc>
        <w:tc>
          <w:tcPr>
            <w:tcW w:w="3118" w:type="dxa"/>
            <w:vAlign w:val="center"/>
          </w:tcPr>
          <w:p w:rsidR="00736471" w:rsidRPr="00503DDE" w:rsidRDefault="00736471" w:rsidP="00736471">
            <w:pPr>
              <w:jc w:val="left"/>
              <w:rPr>
                <w:szCs w:val="22"/>
              </w:rPr>
            </w:pPr>
            <w:r w:rsidRPr="00503DDE">
              <w:rPr>
                <w:szCs w:val="22"/>
              </w:rPr>
              <w:t>鹏扬淳熙一年定开债券发起式</w:t>
            </w:r>
          </w:p>
        </w:tc>
        <w:tc>
          <w:tcPr>
            <w:tcW w:w="1355" w:type="dxa"/>
            <w:vAlign w:val="center"/>
          </w:tcPr>
          <w:p w:rsidR="00736471" w:rsidRPr="00503DDE" w:rsidRDefault="00736471" w:rsidP="0078765E">
            <w:pPr>
              <w:jc w:val="center"/>
              <w:rPr>
                <w:szCs w:val="22"/>
              </w:rPr>
            </w:pPr>
            <w:r w:rsidRPr="00503DDE">
              <w:rPr>
                <w:szCs w:val="22"/>
              </w:rPr>
              <w:t>013265</w:t>
            </w:r>
          </w:p>
        </w:tc>
      </w:tr>
      <w:tr w:rsidR="00736471" w:rsidTr="00582319">
        <w:trPr>
          <w:jc w:val="center"/>
        </w:trPr>
        <w:tc>
          <w:tcPr>
            <w:tcW w:w="3823" w:type="dxa"/>
            <w:vAlign w:val="center"/>
          </w:tcPr>
          <w:p w:rsidR="00736471" w:rsidRDefault="00736471" w:rsidP="00736471">
            <w:r w:rsidRPr="00503DDE">
              <w:rPr>
                <w:szCs w:val="22"/>
              </w:rPr>
              <w:t>鹏扬数字经济先锋混合型证券投资基金</w:t>
            </w:r>
          </w:p>
        </w:tc>
        <w:tc>
          <w:tcPr>
            <w:tcW w:w="3118" w:type="dxa"/>
            <w:vAlign w:val="center"/>
          </w:tcPr>
          <w:p w:rsidR="00736471" w:rsidRPr="00503DDE" w:rsidRDefault="00736471" w:rsidP="00736471">
            <w:pPr>
              <w:jc w:val="left"/>
              <w:rPr>
                <w:szCs w:val="22"/>
              </w:rPr>
            </w:pPr>
            <w:r w:rsidRPr="00503DDE">
              <w:rPr>
                <w:szCs w:val="22"/>
              </w:rPr>
              <w:t>鹏扬数字经济先锋混合</w:t>
            </w:r>
          </w:p>
        </w:tc>
        <w:tc>
          <w:tcPr>
            <w:tcW w:w="1355" w:type="dxa"/>
            <w:vAlign w:val="center"/>
          </w:tcPr>
          <w:p w:rsidR="00736471" w:rsidRPr="00503DDE" w:rsidRDefault="00736471" w:rsidP="0078765E">
            <w:pPr>
              <w:jc w:val="center"/>
              <w:rPr>
                <w:szCs w:val="22"/>
              </w:rPr>
            </w:pPr>
            <w:r w:rsidRPr="00503DDE">
              <w:rPr>
                <w:szCs w:val="22"/>
              </w:rPr>
              <w:t>012456</w:t>
            </w:r>
          </w:p>
        </w:tc>
      </w:tr>
      <w:tr w:rsidR="00736471" w:rsidTr="00582319">
        <w:trPr>
          <w:jc w:val="center"/>
        </w:trPr>
        <w:tc>
          <w:tcPr>
            <w:tcW w:w="3823" w:type="dxa"/>
            <w:vAlign w:val="center"/>
          </w:tcPr>
          <w:p w:rsidR="00736471" w:rsidRDefault="00736471" w:rsidP="00736471">
            <w:r w:rsidRPr="00503DDE">
              <w:rPr>
                <w:szCs w:val="22"/>
              </w:rPr>
              <w:t>鹏扬淳兴三个月定期开放债券型证券投资基金</w:t>
            </w:r>
          </w:p>
        </w:tc>
        <w:tc>
          <w:tcPr>
            <w:tcW w:w="3118" w:type="dxa"/>
            <w:vAlign w:val="center"/>
          </w:tcPr>
          <w:p w:rsidR="00736471" w:rsidRPr="00503DDE" w:rsidRDefault="00736471" w:rsidP="00736471">
            <w:pPr>
              <w:jc w:val="left"/>
              <w:rPr>
                <w:szCs w:val="22"/>
              </w:rPr>
            </w:pPr>
            <w:r w:rsidRPr="00503DDE">
              <w:rPr>
                <w:szCs w:val="22"/>
              </w:rPr>
              <w:t>鹏扬淳兴三个月债券</w:t>
            </w:r>
          </w:p>
        </w:tc>
        <w:tc>
          <w:tcPr>
            <w:tcW w:w="1355" w:type="dxa"/>
            <w:vAlign w:val="center"/>
          </w:tcPr>
          <w:p w:rsidR="00736471" w:rsidRPr="00503DDE" w:rsidRDefault="00736471" w:rsidP="0078765E">
            <w:pPr>
              <w:jc w:val="center"/>
              <w:rPr>
                <w:szCs w:val="22"/>
              </w:rPr>
            </w:pPr>
            <w:r w:rsidRPr="00503DDE">
              <w:rPr>
                <w:szCs w:val="22"/>
              </w:rPr>
              <w:t>011619</w:t>
            </w:r>
          </w:p>
        </w:tc>
      </w:tr>
      <w:tr w:rsidR="00736471" w:rsidTr="00582319">
        <w:trPr>
          <w:jc w:val="center"/>
        </w:trPr>
        <w:tc>
          <w:tcPr>
            <w:tcW w:w="3823" w:type="dxa"/>
            <w:vAlign w:val="center"/>
          </w:tcPr>
          <w:p w:rsidR="00736471" w:rsidRDefault="00736471" w:rsidP="00736471">
            <w:r w:rsidRPr="00503DDE">
              <w:rPr>
                <w:szCs w:val="22"/>
              </w:rPr>
              <w:t>鹏扬景浦一年持有期混合型证券投资基金</w:t>
            </w:r>
          </w:p>
        </w:tc>
        <w:tc>
          <w:tcPr>
            <w:tcW w:w="3118" w:type="dxa"/>
            <w:vAlign w:val="center"/>
          </w:tcPr>
          <w:p w:rsidR="00736471" w:rsidRPr="00503DDE" w:rsidRDefault="00736471" w:rsidP="00736471">
            <w:pPr>
              <w:jc w:val="left"/>
              <w:rPr>
                <w:szCs w:val="22"/>
              </w:rPr>
            </w:pPr>
            <w:r w:rsidRPr="00503DDE">
              <w:rPr>
                <w:szCs w:val="22"/>
              </w:rPr>
              <w:t>鹏扬景浦一年持有混合</w:t>
            </w:r>
          </w:p>
        </w:tc>
        <w:tc>
          <w:tcPr>
            <w:tcW w:w="1355" w:type="dxa"/>
            <w:vAlign w:val="center"/>
          </w:tcPr>
          <w:p w:rsidR="00736471" w:rsidRPr="00503DDE" w:rsidRDefault="00736471" w:rsidP="0078765E">
            <w:pPr>
              <w:jc w:val="center"/>
              <w:rPr>
                <w:szCs w:val="22"/>
              </w:rPr>
            </w:pPr>
            <w:r w:rsidRPr="00503DDE">
              <w:rPr>
                <w:szCs w:val="22"/>
              </w:rPr>
              <w:t>013041</w:t>
            </w:r>
          </w:p>
        </w:tc>
      </w:tr>
      <w:tr w:rsidR="00736471" w:rsidTr="00582319">
        <w:trPr>
          <w:jc w:val="center"/>
        </w:trPr>
        <w:tc>
          <w:tcPr>
            <w:tcW w:w="3823" w:type="dxa"/>
            <w:vAlign w:val="center"/>
          </w:tcPr>
          <w:p w:rsidR="00736471" w:rsidRDefault="00736471" w:rsidP="00736471">
            <w:r w:rsidRPr="00503DDE">
              <w:rPr>
                <w:szCs w:val="22"/>
              </w:rPr>
              <w:t>鹏扬景阳一年持有期混合型证券投资基金</w:t>
            </w:r>
          </w:p>
        </w:tc>
        <w:tc>
          <w:tcPr>
            <w:tcW w:w="3118" w:type="dxa"/>
            <w:vAlign w:val="center"/>
          </w:tcPr>
          <w:p w:rsidR="00736471" w:rsidRPr="00503DDE" w:rsidRDefault="00736471" w:rsidP="00736471">
            <w:pPr>
              <w:jc w:val="left"/>
              <w:rPr>
                <w:szCs w:val="22"/>
              </w:rPr>
            </w:pPr>
            <w:r w:rsidRPr="00503DDE">
              <w:rPr>
                <w:szCs w:val="22"/>
              </w:rPr>
              <w:t>鹏扬景阳一年混合</w:t>
            </w:r>
          </w:p>
        </w:tc>
        <w:tc>
          <w:tcPr>
            <w:tcW w:w="1355" w:type="dxa"/>
            <w:vAlign w:val="center"/>
          </w:tcPr>
          <w:p w:rsidR="00736471" w:rsidRPr="00503DDE" w:rsidRDefault="00736471" w:rsidP="0078765E">
            <w:pPr>
              <w:jc w:val="center"/>
              <w:rPr>
                <w:szCs w:val="22"/>
              </w:rPr>
            </w:pPr>
            <w:r w:rsidRPr="00503DDE">
              <w:rPr>
                <w:szCs w:val="22"/>
              </w:rPr>
              <w:t>011818</w:t>
            </w:r>
          </w:p>
        </w:tc>
      </w:tr>
      <w:tr w:rsidR="00736471" w:rsidTr="00582319">
        <w:trPr>
          <w:jc w:val="center"/>
        </w:trPr>
        <w:tc>
          <w:tcPr>
            <w:tcW w:w="3823" w:type="dxa"/>
            <w:vAlign w:val="center"/>
          </w:tcPr>
          <w:p w:rsidR="00736471" w:rsidRDefault="00736471" w:rsidP="00736471">
            <w:r w:rsidRPr="00503DDE">
              <w:rPr>
                <w:szCs w:val="22"/>
              </w:rPr>
              <w:t>鹏扬成长先锋混合型证券投资基金</w:t>
            </w:r>
          </w:p>
        </w:tc>
        <w:tc>
          <w:tcPr>
            <w:tcW w:w="3118" w:type="dxa"/>
            <w:vAlign w:val="center"/>
          </w:tcPr>
          <w:p w:rsidR="00736471" w:rsidRPr="00503DDE" w:rsidRDefault="00736471" w:rsidP="00736471">
            <w:pPr>
              <w:jc w:val="left"/>
              <w:rPr>
                <w:szCs w:val="22"/>
              </w:rPr>
            </w:pPr>
            <w:r w:rsidRPr="00503DDE">
              <w:rPr>
                <w:szCs w:val="22"/>
              </w:rPr>
              <w:t>鹏扬成长先锋混合</w:t>
            </w:r>
          </w:p>
        </w:tc>
        <w:tc>
          <w:tcPr>
            <w:tcW w:w="1355" w:type="dxa"/>
            <w:vAlign w:val="center"/>
          </w:tcPr>
          <w:p w:rsidR="00736471" w:rsidRPr="00503DDE" w:rsidRDefault="00736471" w:rsidP="0078765E">
            <w:pPr>
              <w:jc w:val="center"/>
              <w:rPr>
                <w:szCs w:val="22"/>
              </w:rPr>
            </w:pPr>
            <w:r w:rsidRPr="00503DDE">
              <w:rPr>
                <w:szCs w:val="22"/>
              </w:rPr>
              <w:t>013461</w:t>
            </w:r>
          </w:p>
        </w:tc>
      </w:tr>
      <w:tr w:rsidR="00736471" w:rsidTr="00582319">
        <w:trPr>
          <w:jc w:val="center"/>
        </w:trPr>
        <w:tc>
          <w:tcPr>
            <w:tcW w:w="3823" w:type="dxa"/>
            <w:vAlign w:val="center"/>
          </w:tcPr>
          <w:p w:rsidR="00736471" w:rsidRDefault="00736471" w:rsidP="00736471">
            <w:r w:rsidRPr="00503DDE">
              <w:rPr>
                <w:szCs w:val="22"/>
              </w:rPr>
              <w:t>鹏扬竞争力先锋一年持有期混合型证券投资基金</w:t>
            </w:r>
          </w:p>
        </w:tc>
        <w:tc>
          <w:tcPr>
            <w:tcW w:w="3118" w:type="dxa"/>
            <w:vAlign w:val="center"/>
          </w:tcPr>
          <w:p w:rsidR="00736471" w:rsidRPr="00503DDE" w:rsidRDefault="00736471" w:rsidP="00736471">
            <w:pPr>
              <w:jc w:val="left"/>
              <w:rPr>
                <w:szCs w:val="22"/>
              </w:rPr>
            </w:pPr>
            <w:r w:rsidRPr="00503DDE">
              <w:rPr>
                <w:szCs w:val="22"/>
              </w:rPr>
              <w:t>鹏扬竞争力先锋一年持有混合</w:t>
            </w:r>
          </w:p>
        </w:tc>
        <w:tc>
          <w:tcPr>
            <w:tcW w:w="1355" w:type="dxa"/>
            <w:vAlign w:val="center"/>
          </w:tcPr>
          <w:p w:rsidR="00736471" w:rsidRPr="00503DDE" w:rsidRDefault="00736471" w:rsidP="0078765E">
            <w:pPr>
              <w:jc w:val="center"/>
              <w:rPr>
                <w:szCs w:val="22"/>
              </w:rPr>
            </w:pPr>
            <w:r w:rsidRPr="00503DDE">
              <w:rPr>
                <w:szCs w:val="22"/>
              </w:rPr>
              <w:t>014244</w:t>
            </w:r>
          </w:p>
        </w:tc>
      </w:tr>
      <w:tr w:rsidR="00736471" w:rsidTr="00582319">
        <w:trPr>
          <w:jc w:val="center"/>
        </w:trPr>
        <w:tc>
          <w:tcPr>
            <w:tcW w:w="3823" w:type="dxa"/>
            <w:vAlign w:val="center"/>
          </w:tcPr>
          <w:p w:rsidR="00736471" w:rsidRDefault="00736471" w:rsidP="00736471">
            <w:r w:rsidRPr="00503DDE">
              <w:rPr>
                <w:szCs w:val="22"/>
              </w:rPr>
              <w:t>鹏扬中证数字经济主题交易型开放式指数证券投资基金</w:t>
            </w:r>
          </w:p>
        </w:tc>
        <w:tc>
          <w:tcPr>
            <w:tcW w:w="3118" w:type="dxa"/>
            <w:vAlign w:val="center"/>
          </w:tcPr>
          <w:p w:rsidR="00736471" w:rsidRPr="00503DDE" w:rsidRDefault="00736471" w:rsidP="00736471">
            <w:pPr>
              <w:jc w:val="left"/>
              <w:rPr>
                <w:szCs w:val="22"/>
              </w:rPr>
            </w:pPr>
            <w:r w:rsidRPr="00503DDE">
              <w:rPr>
                <w:szCs w:val="22"/>
              </w:rPr>
              <w:t>鹏扬中证数字经济主题ETF</w:t>
            </w:r>
          </w:p>
        </w:tc>
        <w:tc>
          <w:tcPr>
            <w:tcW w:w="1355" w:type="dxa"/>
            <w:vAlign w:val="center"/>
          </w:tcPr>
          <w:p w:rsidR="00736471" w:rsidRPr="00503DDE" w:rsidRDefault="00736471" w:rsidP="0078765E">
            <w:pPr>
              <w:jc w:val="center"/>
              <w:rPr>
                <w:szCs w:val="22"/>
              </w:rPr>
            </w:pPr>
            <w:r w:rsidRPr="00503DDE">
              <w:rPr>
                <w:szCs w:val="22"/>
              </w:rPr>
              <w:t>560800</w:t>
            </w:r>
          </w:p>
        </w:tc>
      </w:tr>
      <w:tr w:rsidR="00736471" w:rsidTr="00582319">
        <w:trPr>
          <w:jc w:val="center"/>
        </w:trPr>
        <w:tc>
          <w:tcPr>
            <w:tcW w:w="3823" w:type="dxa"/>
            <w:vAlign w:val="center"/>
          </w:tcPr>
          <w:p w:rsidR="00736471" w:rsidRDefault="00736471" w:rsidP="00736471">
            <w:r w:rsidRPr="00503DDE">
              <w:rPr>
                <w:szCs w:val="22"/>
              </w:rPr>
              <w:t>鹏扬利鑫60天滚动持有期债券型证券投资基金</w:t>
            </w:r>
          </w:p>
        </w:tc>
        <w:tc>
          <w:tcPr>
            <w:tcW w:w="3118" w:type="dxa"/>
            <w:vAlign w:val="center"/>
          </w:tcPr>
          <w:p w:rsidR="00736471" w:rsidRPr="00503DDE" w:rsidRDefault="00736471" w:rsidP="00736471">
            <w:pPr>
              <w:jc w:val="left"/>
              <w:rPr>
                <w:szCs w:val="22"/>
              </w:rPr>
            </w:pPr>
            <w:r w:rsidRPr="00503DDE">
              <w:rPr>
                <w:szCs w:val="22"/>
              </w:rPr>
              <w:t>鹏扬利鑫60天滚动持有债券</w:t>
            </w:r>
          </w:p>
        </w:tc>
        <w:tc>
          <w:tcPr>
            <w:tcW w:w="1355" w:type="dxa"/>
            <w:vAlign w:val="center"/>
          </w:tcPr>
          <w:p w:rsidR="00736471" w:rsidRPr="00503DDE" w:rsidRDefault="00736471" w:rsidP="0078765E">
            <w:pPr>
              <w:jc w:val="center"/>
              <w:rPr>
                <w:szCs w:val="22"/>
              </w:rPr>
            </w:pPr>
            <w:r w:rsidRPr="00503DDE">
              <w:rPr>
                <w:szCs w:val="22"/>
              </w:rPr>
              <w:t>014097</w:t>
            </w:r>
          </w:p>
        </w:tc>
      </w:tr>
      <w:tr w:rsidR="00736471" w:rsidTr="00582319">
        <w:trPr>
          <w:jc w:val="center"/>
        </w:trPr>
        <w:tc>
          <w:tcPr>
            <w:tcW w:w="3823" w:type="dxa"/>
            <w:vAlign w:val="center"/>
          </w:tcPr>
          <w:p w:rsidR="00736471" w:rsidRDefault="00736471" w:rsidP="00736471">
            <w:r w:rsidRPr="00503DDE">
              <w:rPr>
                <w:szCs w:val="22"/>
              </w:rPr>
              <w:t>鹏扬稳健优选一年持有期混合型基金中基金（FOF）</w:t>
            </w:r>
          </w:p>
        </w:tc>
        <w:tc>
          <w:tcPr>
            <w:tcW w:w="3118" w:type="dxa"/>
            <w:vAlign w:val="center"/>
          </w:tcPr>
          <w:p w:rsidR="00736471" w:rsidRPr="00503DDE" w:rsidRDefault="00736471" w:rsidP="00736471">
            <w:pPr>
              <w:jc w:val="left"/>
              <w:rPr>
                <w:szCs w:val="22"/>
              </w:rPr>
            </w:pPr>
            <w:r w:rsidRPr="00503DDE">
              <w:rPr>
                <w:szCs w:val="22"/>
              </w:rPr>
              <w:t>鹏扬稳健优选一年持有混合（FOF）</w:t>
            </w:r>
          </w:p>
        </w:tc>
        <w:tc>
          <w:tcPr>
            <w:tcW w:w="1355" w:type="dxa"/>
            <w:vAlign w:val="center"/>
          </w:tcPr>
          <w:p w:rsidR="00736471" w:rsidRPr="00503DDE" w:rsidRDefault="00736471" w:rsidP="0078765E">
            <w:pPr>
              <w:jc w:val="center"/>
              <w:rPr>
                <w:szCs w:val="22"/>
              </w:rPr>
            </w:pPr>
            <w:r w:rsidRPr="00503DDE">
              <w:rPr>
                <w:szCs w:val="22"/>
              </w:rPr>
              <w:t>015131</w:t>
            </w:r>
          </w:p>
        </w:tc>
      </w:tr>
      <w:tr w:rsidR="00736471" w:rsidTr="00582319">
        <w:trPr>
          <w:jc w:val="center"/>
        </w:trPr>
        <w:tc>
          <w:tcPr>
            <w:tcW w:w="3823" w:type="dxa"/>
            <w:vAlign w:val="center"/>
          </w:tcPr>
          <w:p w:rsidR="00736471" w:rsidRDefault="00736471" w:rsidP="00736471">
            <w:r w:rsidRPr="00503DDE">
              <w:rPr>
                <w:szCs w:val="22"/>
              </w:rPr>
              <w:t>鹏扬消费行业混合型发起式证券投资基金</w:t>
            </w:r>
          </w:p>
        </w:tc>
        <w:tc>
          <w:tcPr>
            <w:tcW w:w="3118" w:type="dxa"/>
            <w:vAlign w:val="center"/>
          </w:tcPr>
          <w:p w:rsidR="00736471" w:rsidRPr="00503DDE" w:rsidRDefault="00736471" w:rsidP="00736471">
            <w:pPr>
              <w:jc w:val="left"/>
              <w:rPr>
                <w:szCs w:val="22"/>
              </w:rPr>
            </w:pPr>
            <w:r w:rsidRPr="00503DDE">
              <w:rPr>
                <w:szCs w:val="22"/>
              </w:rPr>
              <w:t>鹏扬消费行业混合发起式</w:t>
            </w:r>
          </w:p>
        </w:tc>
        <w:tc>
          <w:tcPr>
            <w:tcW w:w="1355" w:type="dxa"/>
            <w:vAlign w:val="center"/>
          </w:tcPr>
          <w:p w:rsidR="00736471" w:rsidRPr="00503DDE" w:rsidRDefault="00736471" w:rsidP="0078765E">
            <w:pPr>
              <w:jc w:val="center"/>
              <w:rPr>
                <w:szCs w:val="22"/>
              </w:rPr>
            </w:pPr>
            <w:r w:rsidRPr="00503DDE">
              <w:rPr>
                <w:szCs w:val="22"/>
              </w:rPr>
              <w:t>016155</w:t>
            </w:r>
          </w:p>
        </w:tc>
      </w:tr>
      <w:tr w:rsidR="00736471" w:rsidTr="00582319">
        <w:trPr>
          <w:jc w:val="center"/>
        </w:trPr>
        <w:tc>
          <w:tcPr>
            <w:tcW w:w="3823" w:type="dxa"/>
            <w:vAlign w:val="center"/>
          </w:tcPr>
          <w:p w:rsidR="00736471" w:rsidRDefault="00736471" w:rsidP="00736471">
            <w:r w:rsidRPr="00503DDE">
              <w:rPr>
                <w:szCs w:val="22"/>
              </w:rPr>
              <w:t>鹏扬中证数字经济主题交易型开放式指数证券投资基金发起式联接基金</w:t>
            </w:r>
          </w:p>
        </w:tc>
        <w:tc>
          <w:tcPr>
            <w:tcW w:w="3118" w:type="dxa"/>
            <w:vAlign w:val="center"/>
          </w:tcPr>
          <w:p w:rsidR="00736471" w:rsidRPr="00503DDE" w:rsidRDefault="00736471" w:rsidP="00736471">
            <w:pPr>
              <w:jc w:val="left"/>
              <w:rPr>
                <w:szCs w:val="22"/>
              </w:rPr>
            </w:pPr>
            <w:r w:rsidRPr="00503DDE">
              <w:rPr>
                <w:szCs w:val="22"/>
              </w:rPr>
              <w:t>鹏扬中证数字经济主题ETF发起式联接</w:t>
            </w:r>
          </w:p>
        </w:tc>
        <w:tc>
          <w:tcPr>
            <w:tcW w:w="1355" w:type="dxa"/>
            <w:vAlign w:val="center"/>
          </w:tcPr>
          <w:p w:rsidR="00736471" w:rsidRPr="00503DDE" w:rsidRDefault="00736471" w:rsidP="0078765E">
            <w:pPr>
              <w:jc w:val="center"/>
              <w:rPr>
                <w:szCs w:val="22"/>
              </w:rPr>
            </w:pPr>
            <w:r w:rsidRPr="00503DDE">
              <w:rPr>
                <w:szCs w:val="22"/>
              </w:rPr>
              <w:t>015787</w:t>
            </w:r>
          </w:p>
        </w:tc>
      </w:tr>
      <w:tr w:rsidR="00736471" w:rsidTr="00582319">
        <w:trPr>
          <w:jc w:val="center"/>
        </w:trPr>
        <w:tc>
          <w:tcPr>
            <w:tcW w:w="3823" w:type="dxa"/>
            <w:vAlign w:val="center"/>
          </w:tcPr>
          <w:p w:rsidR="00736471" w:rsidRDefault="00736471" w:rsidP="00736471">
            <w:r w:rsidRPr="00503DDE">
              <w:rPr>
                <w:szCs w:val="22"/>
              </w:rPr>
              <w:t>鹏扬中证科创创业50交易型开放式指数证券投资基金</w:t>
            </w:r>
          </w:p>
        </w:tc>
        <w:tc>
          <w:tcPr>
            <w:tcW w:w="3118" w:type="dxa"/>
            <w:vAlign w:val="center"/>
          </w:tcPr>
          <w:p w:rsidR="00736471" w:rsidRPr="00503DDE" w:rsidRDefault="00736471" w:rsidP="00736471">
            <w:pPr>
              <w:jc w:val="left"/>
              <w:rPr>
                <w:szCs w:val="22"/>
              </w:rPr>
            </w:pPr>
            <w:r w:rsidRPr="00503DDE">
              <w:rPr>
                <w:szCs w:val="22"/>
              </w:rPr>
              <w:t>鹏扬中证科创创业50ETF</w:t>
            </w:r>
          </w:p>
        </w:tc>
        <w:tc>
          <w:tcPr>
            <w:tcW w:w="1355" w:type="dxa"/>
            <w:vAlign w:val="center"/>
          </w:tcPr>
          <w:p w:rsidR="00736471" w:rsidRPr="00503DDE" w:rsidRDefault="00736471" w:rsidP="0078765E">
            <w:pPr>
              <w:jc w:val="center"/>
              <w:rPr>
                <w:szCs w:val="22"/>
              </w:rPr>
            </w:pPr>
            <w:r w:rsidRPr="00503DDE">
              <w:rPr>
                <w:szCs w:val="22"/>
              </w:rPr>
              <w:t>588350</w:t>
            </w:r>
          </w:p>
        </w:tc>
      </w:tr>
      <w:tr w:rsidR="00736471" w:rsidTr="00582319">
        <w:trPr>
          <w:jc w:val="center"/>
        </w:trPr>
        <w:tc>
          <w:tcPr>
            <w:tcW w:w="3823" w:type="dxa"/>
            <w:vAlign w:val="center"/>
          </w:tcPr>
          <w:p w:rsidR="00736471" w:rsidRDefault="00736471" w:rsidP="00736471">
            <w:r w:rsidRPr="00503DDE">
              <w:rPr>
                <w:szCs w:val="22"/>
              </w:rPr>
              <w:t>鹏扬中证同业存单AAA指数7天持有期</w:t>
            </w:r>
            <w:r w:rsidRPr="00503DDE">
              <w:rPr>
                <w:szCs w:val="22"/>
              </w:rPr>
              <w:lastRenderedPageBreak/>
              <w:t>证券投资基金</w:t>
            </w:r>
          </w:p>
        </w:tc>
        <w:tc>
          <w:tcPr>
            <w:tcW w:w="3118" w:type="dxa"/>
            <w:vAlign w:val="center"/>
          </w:tcPr>
          <w:p w:rsidR="00736471" w:rsidRPr="00503DDE" w:rsidRDefault="00736471" w:rsidP="00736471">
            <w:pPr>
              <w:jc w:val="left"/>
              <w:rPr>
                <w:szCs w:val="22"/>
              </w:rPr>
            </w:pPr>
            <w:r w:rsidRPr="00503DDE">
              <w:rPr>
                <w:szCs w:val="22"/>
              </w:rPr>
              <w:lastRenderedPageBreak/>
              <w:t>鹏扬中证同业存单AAA指数7天</w:t>
            </w:r>
            <w:r w:rsidRPr="00503DDE">
              <w:rPr>
                <w:szCs w:val="22"/>
              </w:rPr>
              <w:lastRenderedPageBreak/>
              <w:t>持有</w:t>
            </w:r>
          </w:p>
        </w:tc>
        <w:tc>
          <w:tcPr>
            <w:tcW w:w="1355" w:type="dxa"/>
            <w:vAlign w:val="center"/>
          </w:tcPr>
          <w:p w:rsidR="00736471" w:rsidRPr="00503DDE" w:rsidRDefault="00736471" w:rsidP="0078765E">
            <w:pPr>
              <w:jc w:val="center"/>
              <w:rPr>
                <w:szCs w:val="22"/>
              </w:rPr>
            </w:pPr>
            <w:r w:rsidRPr="00503DDE">
              <w:rPr>
                <w:szCs w:val="22"/>
              </w:rPr>
              <w:lastRenderedPageBreak/>
              <w:t>016410</w:t>
            </w:r>
          </w:p>
        </w:tc>
      </w:tr>
      <w:tr w:rsidR="00736471" w:rsidTr="00582319">
        <w:trPr>
          <w:jc w:val="center"/>
        </w:trPr>
        <w:tc>
          <w:tcPr>
            <w:tcW w:w="3823" w:type="dxa"/>
            <w:vAlign w:val="center"/>
          </w:tcPr>
          <w:p w:rsidR="00736471" w:rsidRDefault="00736471" w:rsidP="00736471">
            <w:r w:rsidRPr="00503DDE">
              <w:rPr>
                <w:szCs w:val="22"/>
              </w:rPr>
              <w:lastRenderedPageBreak/>
              <w:t>鹏扬北证50成份指数证券投资基金</w:t>
            </w:r>
          </w:p>
        </w:tc>
        <w:tc>
          <w:tcPr>
            <w:tcW w:w="3118" w:type="dxa"/>
            <w:vAlign w:val="center"/>
          </w:tcPr>
          <w:p w:rsidR="00736471" w:rsidRPr="00503DDE" w:rsidRDefault="00736471" w:rsidP="00736471">
            <w:pPr>
              <w:jc w:val="left"/>
              <w:rPr>
                <w:szCs w:val="22"/>
              </w:rPr>
            </w:pPr>
            <w:r w:rsidRPr="00503DDE">
              <w:rPr>
                <w:szCs w:val="22"/>
              </w:rPr>
              <w:t>鹏扬北证50成份指数</w:t>
            </w:r>
          </w:p>
        </w:tc>
        <w:tc>
          <w:tcPr>
            <w:tcW w:w="1355" w:type="dxa"/>
            <w:vAlign w:val="center"/>
          </w:tcPr>
          <w:p w:rsidR="00736471" w:rsidRPr="00503DDE" w:rsidRDefault="00736471" w:rsidP="0078765E">
            <w:pPr>
              <w:jc w:val="center"/>
              <w:rPr>
                <w:szCs w:val="22"/>
              </w:rPr>
            </w:pPr>
            <w:r w:rsidRPr="00503DDE">
              <w:rPr>
                <w:szCs w:val="22"/>
              </w:rPr>
              <w:t>018114</w:t>
            </w:r>
          </w:p>
        </w:tc>
      </w:tr>
      <w:tr w:rsidR="00736471" w:rsidTr="00582319">
        <w:trPr>
          <w:jc w:val="center"/>
        </w:trPr>
        <w:tc>
          <w:tcPr>
            <w:tcW w:w="3823" w:type="dxa"/>
            <w:vAlign w:val="center"/>
          </w:tcPr>
          <w:p w:rsidR="00736471" w:rsidRDefault="00736471" w:rsidP="00736471">
            <w:r w:rsidRPr="00503DDE">
              <w:rPr>
                <w:szCs w:val="22"/>
              </w:rPr>
              <w:t>鹏扬中债-30年期国债交易型开放式指数证券投资基金</w:t>
            </w:r>
          </w:p>
        </w:tc>
        <w:tc>
          <w:tcPr>
            <w:tcW w:w="3118" w:type="dxa"/>
            <w:vAlign w:val="center"/>
          </w:tcPr>
          <w:p w:rsidR="00736471" w:rsidRPr="00503DDE" w:rsidRDefault="00736471" w:rsidP="00736471">
            <w:pPr>
              <w:jc w:val="left"/>
              <w:rPr>
                <w:szCs w:val="22"/>
              </w:rPr>
            </w:pPr>
            <w:r w:rsidRPr="00503DDE">
              <w:rPr>
                <w:szCs w:val="22"/>
              </w:rPr>
              <w:t>鹏扬中债-30年期国债ETF</w:t>
            </w:r>
          </w:p>
        </w:tc>
        <w:tc>
          <w:tcPr>
            <w:tcW w:w="1355" w:type="dxa"/>
            <w:vAlign w:val="center"/>
          </w:tcPr>
          <w:p w:rsidR="00736471" w:rsidRPr="00503DDE" w:rsidRDefault="00736471" w:rsidP="0078765E">
            <w:pPr>
              <w:jc w:val="center"/>
              <w:rPr>
                <w:szCs w:val="22"/>
              </w:rPr>
            </w:pPr>
            <w:r w:rsidRPr="00503DDE">
              <w:rPr>
                <w:szCs w:val="22"/>
              </w:rPr>
              <w:t>511090</w:t>
            </w:r>
          </w:p>
        </w:tc>
      </w:tr>
      <w:tr w:rsidR="00736471" w:rsidTr="00582319">
        <w:trPr>
          <w:jc w:val="center"/>
        </w:trPr>
        <w:tc>
          <w:tcPr>
            <w:tcW w:w="3823" w:type="dxa"/>
            <w:vAlign w:val="center"/>
          </w:tcPr>
          <w:p w:rsidR="00736471" w:rsidRDefault="00736471" w:rsidP="00736471">
            <w:r w:rsidRPr="00503DDE">
              <w:rPr>
                <w:szCs w:val="22"/>
              </w:rPr>
              <w:t>鹏扬中证国有企业红利交易型开放式指数证券投资基金</w:t>
            </w:r>
          </w:p>
        </w:tc>
        <w:tc>
          <w:tcPr>
            <w:tcW w:w="3118" w:type="dxa"/>
            <w:vAlign w:val="center"/>
          </w:tcPr>
          <w:p w:rsidR="00736471" w:rsidRPr="00503DDE" w:rsidRDefault="00736471" w:rsidP="00736471">
            <w:pPr>
              <w:jc w:val="left"/>
              <w:rPr>
                <w:szCs w:val="22"/>
              </w:rPr>
            </w:pPr>
            <w:r w:rsidRPr="00503DDE">
              <w:rPr>
                <w:szCs w:val="22"/>
              </w:rPr>
              <w:t>鹏扬中证国有企业红利ETF</w:t>
            </w:r>
          </w:p>
        </w:tc>
        <w:tc>
          <w:tcPr>
            <w:tcW w:w="1355" w:type="dxa"/>
            <w:vAlign w:val="center"/>
          </w:tcPr>
          <w:p w:rsidR="00736471" w:rsidRPr="00503DDE" w:rsidRDefault="00736471" w:rsidP="0078765E">
            <w:pPr>
              <w:jc w:val="center"/>
              <w:rPr>
                <w:szCs w:val="22"/>
              </w:rPr>
            </w:pPr>
            <w:r w:rsidRPr="00503DDE">
              <w:rPr>
                <w:szCs w:val="22"/>
              </w:rPr>
              <w:t>159515</w:t>
            </w:r>
          </w:p>
        </w:tc>
      </w:tr>
      <w:tr w:rsidR="00736471" w:rsidTr="00582319">
        <w:trPr>
          <w:jc w:val="center"/>
        </w:trPr>
        <w:tc>
          <w:tcPr>
            <w:tcW w:w="3823" w:type="dxa"/>
            <w:vAlign w:val="center"/>
          </w:tcPr>
          <w:p w:rsidR="00736471" w:rsidRDefault="00736471" w:rsidP="00736471">
            <w:r w:rsidRPr="00503DDE">
              <w:rPr>
                <w:szCs w:val="22"/>
              </w:rPr>
              <w:t>鹏扬医疗健康混合型证券投资基金</w:t>
            </w:r>
          </w:p>
        </w:tc>
        <w:tc>
          <w:tcPr>
            <w:tcW w:w="3118" w:type="dxa"/>
            <w:vAlign w:val="center"/>
          </w:tcPr>
          <w:p w:rsidR="00736471" w:rsidRPr="00503DDE" w:rsidRDefault="00736471" w:rsidP="00736471">
            <w:pPr>
              <w:jc w:val="left"/>
              <w:rPr>
                <w:szCs w:val="22"/>
              </w:rPr>
            </w:pPr>
            <w:r w:rsidRPr="00503DDE">
              <w:rPr>
                <w:szCs w:val="22"/>
              </w:rPr>
              <w:t>鹏扬医疗健康混合</w:t>
            </w:r>
          </w:p>
        </w:tc>
        <w:tc>
          <w:tcPr>
            <w:tcW w:w="1355" w:type="dxa"/>
            <w:vAlign w:val="center"/>
          </w:tcPr>
          <w:p w:rsidR="00736471" w:rsidRPr="00503DDE" w:rsidRDefault="00736471" w:rsidP="0078765E">
            <w:pPr>
              <w:jc w:val="center"/>
              <w:rPr>
                <w:szCs w:val="22"/>
              </w:rPr>
            </w:pPr>
            <w:r w:rsidRPr="00503DDE">
              <w:rPr>
                <w:szCs w:val="22"/>
              </w:rPr>
              <w:t>018052</w:t>
            </w:r>
          </w:p>
        </w:tc>
      </w:tr>
    </w:tbl>
    <w:p w:rsidR="00A101FF" w:rsidRDefault="00A101FF" w:rsidP="00A101FF">
      <w:pPr>
        <w:pStyle w:val="1"/>
        <w:spacing w:before="156" w:after="156"/>
      </w:pPr>
      <w:r w:rsidRPr="00A101FF">
        <w:rPr>
          <w:rFonts w:hint="eastAsia"/>
        </w:rPr>
        <w:t>其他需要</w:t>
      </w:r>
      <w:r w:rsidR="00062202" w:rsidRPr="00426411">
        <w:rPr>
          <w:rFonts w:hint="eastAsia"/>
        </w:rPr>
        <w:t>提示</w:t>
      </w:r>
      <w:r w:rsidRPr="00A101FF">
        <w:rPr>
          <w:rFonts w:hint="eastAsia"/>
        </w:rPr>
        <w:t>的事项</w:t>
      </w:r>
    </w:p>
    <w:p w:rsidR="00A101FF" w:rsidRDefault="00A101FF" w:rsidP="00D035D2">
      <w:pPr>
        <w:pStyle w:val="a8"/>
        <w:ind w:firstLine="420"/>
      </w:pPr>
      <w:r w:rsidRPr="00503DDE">
        <w:t>上述变更事项，已经鹏扬基金管理有限公司内部决议程序审议通过，并按照相关规定及基金合同约定通知基金托管人。</w:t>
      </w:r>
    </w:p>
    <w:p w:rsidR="001A1821" w:rsidRPr="00F50CDD" w:rsidRDefault="001A1821" w:rsidP="00D035D2">
      <w:pPr>
        <w:pStyle w:val="a8"/>
        <w:ind w:firstLine="420"/>
      </w:pPr>
    </w:p>
    <w:p w:rsidR="00D469E0" w:rsidRPr="00F50CDD" w:rsidRDefault="00D469E0" w:rsidP="00D035D2">
      <w:pPr>
        <w:pStyle w:val="a8"/>
        <w:ind w:firstLine="420"/>
      </w:pPr>
    </w:p>
    <w:p w:rsidR="00D469E0" w:rsidRPr="00F50CDD" w:rsidRDefault="00D469E0" w:rsidP="00D469E0">
      <w:pPr>
        <w:pStyle w:val="a8"/>
        <w:ind w:firstLine="420"/>
        <w:jc w:val="right"/>
      </w:pPr>
      <w:r w:rsidRPr="00F50CDD">
        <w:rPr>
          <w:rFonts w:hint="eastAsia"/>
        </w:rPr>
        <w:t>鹏扬基金管理有限公司</w:t>
      </w:r>
    </w:p>
    <w:p w:rsidR="00D469E0" w:rsidRPr="00F50CDD" w:rsidRDefault="00D469E0" w:rsidP="00D469E0">
      <w:pPr>
        <w:pStyle w:val="a8"/>
        <w:ind w:firstLine="420"/>
        <w:jc w:val="right"/>
      </w:pPr>
      <w:r w:rsidRPr="00F50CDD">
        <w:rPr>
          <w:rFonts w:hint="eastAsia"/>
        </w:rPr>
        <w:t>2024年9月30日</w:t>
      </w:r>
    </w:p>
    <w:sectPr w:rsidR="00D469E0" w:rsidRPr="00F50CDD" w:rsidSect="00C623BD">
      <w:headerReference w:type="default" r:id="rId7"/>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D6F" w:rsidRDefault="00EB1D6F" w:rsidP="00A101FF">
      <w:r>
        <w:separator/>
      </w:r>
    </w:p>
  </w:endnote>
  <w:endnote w:type="continuationSeparator" w:id="0">
    <w:p w:rsidR="00EB1D6F" w:rsidRDefault="00EB1D6F" w:rsidP="00A10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E0" w:rsidRDefault="00D469E0" w:rsidP="00D469E0">
    <w:pPr>
      <w:pStyle w:val="a4"/>
      <w:jc w:val="center"/>
    </w:pPr>
    <w:r w:rsidRPr="00D469E0">
      <w:rPr>
        <w:rFonts w:hint="eastAsia"/>
      </w:rPr>
      <w:t>第</w:t>
    </w:r>
    <w:r w:rsidR="00BE06FB">
      <w:fldChar w:fldCharType="begin"/>
    </w:r>
    <w:r>
      <w:instrText xml:space="preserve"> </w:instrText>
    </w:r>
    <w:r>
      <w:rPr>
        <w:rFonts w:hint="eastAsia"/>
      </w:rPr>
      <w:instrText>PAGE   \* MERGEFORMAT</w:instrText>
    </w:r>
    <w:r>
      <w:instrText xml:space="preserve"> </w:instrText>
    </w:r>
    <w:r w:rsidR="00BE06FB">
      <w:fldChar w:fldCharType="separate"/>
    </w:r>
    <w:r w:rsidR="007530F2">
      <w:rPr>
        <w:noProof/>
      </w:rPr>
      <w:t>1</w:t>
    </w:r>
    <w:r w:rsidR="00BE06FB">
      <w:fldChar w:fldCharType="end"/>
    </w:r>
    <w:r w:rsidRPr="00D469E0">
      <w:rPr>
        <w:rFonts w:hint="eastAsia"/>
      </w:rPr>
      <w:t>页</w:t>
    </w:r>
    <w:r w:rsidRPr="00D469E0">
      <w:rPr>
        <w:rFonts w:hint="eastAsia"/>
      </w:rPr>
      <w:t xml:space="preserve"> </w:t>
    </w:r>
    <w:r w:rsidRPr="00D469E0">
      <w:rPr>
        <w:rFonts w:hint="eastAsia"/>
      </w:rPr>
      <w:t>共</w:t>
    </w:r>
    <w:fldSimple w:instr=" NUMPAGES   \* MERGEFORMAT ">
      <w:r w:rsidR="007530F2">
        <w:rPr>
          <w:noProof/>
        </w:rPr>
        <w:t>2</w:t>
      </w:r>
    </w:fldSimple>
    <w:r w:rsidRPr="00D469E0">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618517"/>
      <w:docPartObj>
        <w:docPartGallery w:val="Page Numbers (Bottom of Page)"/>
        <w:docPartUnique/>
      </w:docPartObj>
    </w:sdtPr>
    <w:sdtContent>
      <w:sdt>
        <w:sdtPr>
          <w:id w:val="1728636285"/>
          <w:docPartObj>
            <w:docPartGallery w:val="Page Numbers (Top of Page)"/>
            <w:docPartUnique/>
          </w:docPartObj>
        </w:sdtPr>
        <w:sdtContent>
          <w:p w:rsidR="00736471" w:rsidRDefault="00736471">
            <w:pPr>
              <w:pStyle w:val="a4"/>
              <w:jc w:val="center"/>
            </w:pPr>
            <w:r w:rsidRPr="00736471">
              <w:rPr>
                <w:rFonts w:ascii="宋体" w:hAnsi="宋体" w:hint="eastAsia"/>
              </w:rPr>
              <w:t>第</w:t>
            </w:r>
            <w:r w:rsidR="00BE06FB" w:rsidRPr="00736471">
              <w:rPr>
                <w:rFonts w:ascii="宋体" w:hAnsi="宋体"/>
                <w:bCs/>
                <w:sz w:val="24"/>
                <w:szCs w:val="24"/>
              </w:rPr>
              <w:fldChar w:fldCharType="begin"/>
            </w:r>
            <w:r w:rsidRPr="00736471">
              <w:rPr>
                <w:rFonts w:ascii="宋体" w:hAnsi="宋体"/>
                <w:bCs/>
              </w:rPr>
              <w:instrText>PAGE</w:instrText>
            </w:r>
            <w:r w:rsidR="00BE06FB" w:rsidRPr="00736471">
              <w:rPr>
                <w:rFonts w:ascii="宋体" w:hAnsi="宋体"/>
                <w:bCs/>
                <w:sz w:val="24"/>
                <w:szCs w:val="24"/>
              </w:rPr>
              <w:fldChar w:fldCharType="separate"/>
            </w:r>
            <w:r w:rsidR="00C623BD">
              <w:rPr>
                <w:rFonts w:ascii="宋体" w:hAnsi="宋体"/>
                <w:bCs/>
                <w:noProof/>
              </w:rPr>
              <w:t>1</w:t>
            </w:r>
            <w:r w:rsidR="00BE06FB" w:rsidRPr="00736471">
              <w:rPr>
                <w:rFonts w:ascii="宋体" w:hAnsi="宋体"/>
                <w:bCs/>
                <w:sz w:val="24"/>
                <w:szCs w:val="24"/>
              </w:rPr>
              <w:fldChar w:fldCharType="end"/>
            </w:r>
            <w:r w:rsidRPr="00736471">
              <w:rPr>
                <w:rFonts w:ascii="宋体" w:hAnsi="宋体" w:hint="eastAsia"/>
                <w:bCs/>
                <w:sz w:val="24"/>
                <w:szCs w:val="24"/>
              </w:rPr>
              <w:t>页</w:t>
            </w:r>
            <w:r>
              <w:rPr>
                <w:rFonts w:ascii="宋体" w:hAnsi="宋体" w:hint="eastAsia"/>
                <w:bCs/>
                <w:sz w:val="24"/>
                <w:szCs w:val="24"/>
              </w:rPr>
              <w:t xml:space="preserve"> </w:t>
            </w:r>
            <w:r w:rsidRPr="00736471">
              <w:rPr>
                <w:rFonts w:ascii="宋体" w:hAnsi="宋体" w:hint="eastAsia"/>
                <w:bCs/>
                <w:sz w:val="24"/>
                <w:szCs w:val="24"/>
              </w:rPr>
              <w:t>共</w:t>
            </w:r>
            <w:r w:rsidR="00BE06FB" w:rsidRPr="00736471">
              <w:rPr>
                <w:rFonts w:ascii="宋体" w:hAnsi="宋体"/>
                <w:bCs/>
                <w:sz w:val="24"/>
                <w:szCs w:val="24"/>
              </w:rPr>
              <w:fldChar w:fldCharType="begin"/>
            </w:r>
            <w:r w:rsidRPr="00736471">
              <w:rPr>
                <w:rFonts w:ascii="宋体" w:hAnsi="宋体"/>
                <w:bCs/>
              </w:rPr>
              <w:instrText>NUMPAGES</w:instrText>
            </w:r>
            <w:r w:rsidR="00BE06FB" w:rsidRPr="00736471">
              <w:rPr>
                <w:rFonts w:ascii="宋体" w:hAnsi="宋体"/>
                <w:bCs/>
                <w:sz w:val="24"/>
                <w:szCs w:val="24"/>
              </w:rPr>
              <w:fldChar w:fldCharType="separate"/>
            </w:r>
            <w:r w:rsidR="00A57FAF">
              <w:rPr>
                <w:rFonts w:ascii="宋体" w:hAnsi="宋体"/>
                <w:bCs/>
                <w:noProof/>
              </w:rPr>
              <w:t>2</w:t>
            </w:r>
            <w:r w:rsidR="00BE06FB" w:rsidRPr="00736471">
              <w:rPr>
                <w:rFonts w:ascii="宋体" w:hAnsi="宋体"/>
                <w:bCs/>
                <w:sz w:val="24"/>
                <w:szCs w:val="24"/>
              </w:rPr>
              <w:fldChar w:fldCharType="end"/>
            </w:r>
            <w:r w:rsidRPr="00736471">
              <w:rPr>
                <w:rFonts w:ascii="宋体" w:hAnsi="宋体" w:hint="eastAsia"/>
                <w:bCs/>
                <w:sz w:val="24"/>
                <w:szCs w:val="24"/>
              </w:rPr>
              <w:t>页</w:t>
            </w:r>
          </w:p>
        </w:sdtContent>
      </w:sdt>
    </w:sdtContent>
  </w:sdt>
  <w:p w:rsidR="00736471" w:rsidRDefault="007364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D6F" w:rsidRDefault="00EB1D6F" w:rsidP="00A101FF">
      <w:r>
        <w:separator/>
      </w:r>
    </w:p>
  </w:footnote>
  <w:footnote w:type="continuationSeparator" w:id="0">
    <w:p w:rsidR="00EB1D6F" w:rsidRDefault="00EB1D6F" w:rsidP="00A10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D8" w:rsidRDefault="006D6E45">
    <w:pPr>
      <w:pBdr>
        <w:between w:val="single" w:sz="3" w:space="0" w:color="000000"/>
      </w:pBdr>
      <w:jc w:val="right"/>
    </w:pPr>
    <w:r>
      <w:rPr>
        <w:rFonts w:hAnsi="宋体" w:hint="eastAsia"/>
        <w:bCs/>
        <w:color w:val="000000"/>
        <w:sz w:val="18"/>
        <w:szCs w:val="18"/>
      </w:rPr>
      <w:t>鹏扬基金管理有限公司关于旗下部分基金改聘会计师事务所的公告</w:t>
    </w:r>
  </w:p>
  <w:p w:rsidR="00F069D8" w:rsidRDefault="00F069D8">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D4ED0"/>
    <w:multiLevelType w:val="hybridMultilevel"/>
    <w:tmpl w:val="B7BC19AC"/>
    <w:lvl w:ilvl="0" w:tplc="E8E4222E">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97E"/>
    <w:rsid w:val="00062202"/>
    <w:rsid w:val="00127333"/>
    <w:rsid w:val="00152BD9"/>
    <w:rsid w:val="001A1821"/>
    <w:rsid w:val="001D5924"/>
    <w:rsid w:val="001E6E8F"/>
    <w:rsid w:val="001F0028"/>
    <w:rsid w:val="001F184A"/>
    <w:rsid w:val="001F2B35"/>
    <w:rsid w:val="0021230E"/>
    <w:rsid w:val="00255AD0"/>
    <w:rsid w:val="00277BD8"/>
    <w:rsid w:val="002A0596"/>
    <w:rsid w:val="002C76AB"/>
    <w:rsid w:val="002F33BA"/>
    <w:rsid w:val="0030392D"/>
    <w:rsid w:val="00327D16"/>
    <w:rsid w:val="00503DDE"/>
    <w:rsid w:val="00521354"/>
    <w:rsid w:val="0053590F"/>
    <w:rsid w:val="0054651B"/>
    <w:rsid w:val="00570C29"/>
    <w:rsid w:val="00582319"/>
    <w:rsid w:val="005F6D0F"/>
    <w:rsid w:val="00654C75"/>
    <w:rsid w:val="006D5B21"/>
    <w:rsid w:val="006D6E45"/>
    <w:rsid w:val="00736471"/>
    <w:rsid w:val="00742812"/>
    <w:rsid w:val="00751D11"/>
    <w:rsid w:val="007530F2"/>
    <w:rsid w:val="007772DF"/>
    <w:rsid w:val="0078765E"/>
    <w:rsid w:val="007D4672"/>
    <w:rsid w:val="007E0D7B"/>
    <w:rsid w:val="00885954"/>
    <w:rsid w:val="008E428A"/>
    <w:rsid w:val="00983F7D"/>
    <w:rsid w:val="00A101FF"/>
    <w:rsid w:val="00A419CC"/>
    <w:rsid w:val="00A57FAF"/>
    <w:rsid w:val="00A6010D"/>
    <w:rsid w:val="00A60F28"/>
    <w:rsid w:val="00A77411"/>
    <w:rsid w:val="00AB11AF"/>
    <w:rsid w:val="00B01C8A"/>
    <w:rsid w:val="00B1318E"/>
    <w:rsid w:val="00B735F5"/>
    <w:rsid w:val="00B9299C"/>
    <w:rsid w:val="00BB49BF"/>
    <w:rsid w:val="00BE06FB"/>
    <w:rsid w:val="00C623BD"/>
    <w:rsid w:val="00CE105D"/>
    <w:rsid w:val="00D035D2"/>
    <w:rsid w:val="00D2366C"/>
    <w:rsid w:val="00D469E0"/>
    <w:rsid w:val="00D667AD"/>
    <w:rsid w:val="00D804CA"/>
    <w:rsid w:val="00DA2749"/>
    <w:rsid w:val="00DB4219"/>
    <w:rsid w:val="00DE2D1B"/>
    <w:rsid w:val="00E16EFD"/>
    <w:rsid w:val="00E60C6B"/>
    <w:rsid w:val="00EA3A3F"/>
    <w:rsid w:val="00EB1D6F"/>
    <w:rsid w:val="00EC297E"/>
    <w:rsid w:val="00F069D8"/>
    <w:rsid w:val="00F36134"/>
    <w:rsid w:val="00F50CDD"/>
    <w:rsid w:val="00FC05BE"/>
    <w:rsid w:val="00FD7254"/>
    <w:rsid w:val="00FE3D68"/>
    <w:rsid w:val="00FE4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D035D2"/>
    <w:pPr>
      <w:widowControl w:val="0"/>
      <w:jc w:val="both"/>
    </w:pPr>
    <w:rPr>
      <w:rFonts w:ascii="宋体" w:eastAsia="宋体"/>
    </w:rPr>
  </w:style>
  <w:style w:type="paragraph" w:styleId="1">
    <w:name w:val="heading 1"/>
    <w:basedOn w:val="a"/>
    <w:next w:val="a"/>
    <w:link w:val="1Char"/>
    <w:uiPriority w:val="9"/>
    <w:qFormat/>
    <w:rsid w:val="00736471"/>
    <w:pPr>
      <w:keepNext/>
      <w:keepLines/>
      <w:numPr>
        <w:numId w:val="1"/>
      </w:numPr>
      <w:spacing w:beforeLines="50" w:afterLines="50"/>
      <w:jc w:val="left"/>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1FF"/>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A101FF"/>
    <w:rPr>
      <w:sz w:val="18"/>
      <w:szCs w:val="18"/>
    </w:rPr>
  </w:style>
  <w:style w:type="paragraph" w:styleId="a4">
    <w:name w:val="footer"/>
    <w:basedOn w:val="a"/>
    <w:link w:val="Char0"/>
    <w:uiPriority w:val="99"/>
    <w:unhideWhenUsed/>
    <w:rsid w:val="00A101FF"/>
    <w:pPr>
      <w:tabs>
        <w:tab w:val="center" w:pos="4153"/>
        <w:tab w:val="right" w:pos="8306"/>
      </w:tabs>
      <w:snapToGrid w:val="0"/>
      <w:jc w:val="left"/>
    </w:pPr>
    <w:rPr>
      <w:rFonts w:asciiTheme="minorHAnsi"/>
      <w:szCs w:val="18"/>
    </w:rPr>
  </w:style>
  <w:style w:type="character" w:customStyle="1" w:styleId="Char0">
    <w:name w:val="页脚 Char"/>
    <w:basedOn w:val="a0"/>
    <w:link w:val="a4"/>
    <w:uiPriority w:val="99"/>
    <w:rsid w:val="00A101FF"/>
    <w:rPr>
      <w:sz w:val="18"/>
      <w:szCs w:val="18"/>
    </w:rPr>
  </w:style>
  <w:style w:type="character" w:customStyle="1" w:styleId="1Char">
    <w:name w:val="标题 1 Char"/>
    <w:basedOn w:val="a0"/>
    <w:link w:val="1"/>
    <w:uiPriority w:val="9"/>
    <w:rsid w:val="00D035D2"/>
    <w:rPr>
      <w:rFonts w:ascii="宋体" w:eastAsia="宋体"/>
      <w:b/>
      <w:bCs/>
      <w:kern w:val="44"/>
      <w:sz w:val="28"/>
      <w:szCs w:val="44"/>
    </w:rPr>
  </w:style>
  <w:style w:type="character" w:styleId="a5">
    <w:name w:val="footnote reference"/>
    <w:rsid w:val="00A101FF"/>
    <w:rPr>
      <w:vertAlign w:val="superscript"/>
    </w:rPr>
  </w:style>
  <w:style w:type="paragraph" w:styleId="a6">
    <w:name w:val="footnote text"/>
    <w:basedOn w:val="a"/>
    <w:link w:val="Char1"/>
    <w:rsid w:val="00A101FF"/>
    <w:pPr>
      <w:snapToGrid w:val="0"/>
      <w:jc w:val="left"/>
    </w:pPr>
  </w:style>
  <w:style w:type="character" w:customStyle="1" w:styleId="Char1">
    <w:name w:val="脚注文本 Char"/>
    <w:basedOn w:val="a0"/>
    <w:link w:val="a6"/>
    <w:rsid w:val="00A101FF"/>
    <w:rPr>
      <w:rFonts w:ascii="Times New Roman" w:eastAsia="宋体" w:hAnsi="Times New Roman" w:cs="Times New Roman"/>
      <w:sz w:val="18"/>
      <w:szCs w:val="20"/>
    </w:rPr>
  </w:style>
  <w:style w:type="paragraph" w:styleId="TOC">
    <w:name w:val="TOC Heading"/>
    <w:basedOn w:val="1"/>
    <w:next w:val="a"/>
    <w:uiPriority w:val="39"/>
    <w:unhideWhenUsed/>
    <w:rsid w:val="00EA3A3F"/>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EA3A3F"/>
  </w:style>
  <w:style w:type="character" w:styleId="a7">
    <w:name w:val="Hyperlink"/>
    <w:basedOn w:val="a0"/>
    <w:uiPriority w:val="99"/>
    <w:unhideWhenUsed/>
    <w:rsid w:val="00EA3A3F"/>
    <w:rPr>
      <w:color w:val="0563C1" w:themeColor="hyperlink"/>
      <w:u w:val="single"/>
    </w:rPr>
  </w:style>
  <w:style w:type="paragraph" w:customStyle="1" w:styleId="11">
    <w:name w:val="主标题1"/>
    <w:basedOn w:val="a"/>
    <w:next w:val="a"/>
    <w:link w:val="1Char0"/>
    <w:rsid w:val="00503DDE"/>
    <w:pPr>
      <w:adjustRightInd w:val="0"/>
      <w:snapToGrid w:val="0"/>
      <w:jc w:val="center"/>
    </w:pPr>
    <w:rPr>
      <w:rFonts w:hAnsi="宋体" w:cs="宋体"/>
      <w:bCs/>
      <w:sz w:val="44"/>
      <w:szCs w:val="24"/>
    </w:rPr>
  </w:style>
  <w:style w:type="character" w:customStyle="1" w:styleId="1Char0">
    <w:name w:val="主标题1 Char"/>
    <w:basedOn w:val="a0"/>
    <w:link w:val="11"/>
    <w:rsid w:val="00503DDE"/>
    <w:rPr>
      <w:rFonts w:ascii="宋体" w:eastAsia="宋体" w:hAnsi="宋体" w:cs="宋体"/>
      <w:bCs/>
      <w:sz w:val="44"/>
      <w:szCs w:val="24"/>
    </w:rPr>
  </w:style>
  <w:style w:type="paragraph" w:customStyle="1" w:styleId="12">
    <w:name w:val="副标题1"/>
    <w:basedOn w:val="a"/>
    <w:next w:val="a"/>
    <w:link w:val="1Char1"/>
    <w:rsid w:val="00503DDE"/>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503DDE"/>
    <w:rPr>
      <w:rFonts w:ascii="宋体" w:eastAsia="宋体" w:hAnsi="宋体" w:cs="宋体"/>
      <w:bCs/>
      <w:sz w:val="32"/>
      <w:szCs w:val="24"/>
    </w:rPr>
  </w:style>
  <w:style w:type="paragraph" w:styleId="a8">
    <w:name w:val="Normal Indent"/>
    <w:qFormat/>
    <w:rsid w:val="00D035D2"/>
    <w:pPr>
      <w:spacing w:line="360" w:lineRule="auto"/>
      <w:ind w:firstLineChars="200" w:firstLine="200"/>
    </w:pPr>
    <w:rPr>
      <w:rFonts w:ascii="宋体" w:eastAsia="宋体"/>
    </w:rPr>
  </w:style>
  <w:style w:type="table" w:styleId="a9">
    <w:name w:val="Table Grid"/>
    <w:basedOn w:val="a1"/>
    <w:uiPriority w:val="39"/>
    <w:rsid w:val="00736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4</DocSecurity>
  <Lines>8</Lines>
  <Paragraphs>2</Paragraphs>
  <ScaleCrop>false</ScaleCrop>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dc:creator>
  <cp:keywords/>
  <dc:description/>
  <cp:lastModifiedBy>ZHONGM</cp:lastModifiedBy>
  <cp:revision>2</cp:revision>
  <cp:lastPrinted>2024-09-27T02:43:00Z</cp:lastPrinted>
  <dcterms:created xsi:type="dcterms:W3CDTF">2024-09-29T16:01:00Z</dcterms:created>
  <dcterms:modified xsi:type="dcterms:W3CDTF">2024-09-29T16:01:00Z</dcterms:modified>
</cp:coreProperties>
</file>