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20" w:rsidRPr="00146F4E" w:rsidRDefault="000C5AC3">
      <w:pPr>
        <w:spacing w:line="360" w:lineRule="auto"/>
        <w:jc w:val="center"/>
        <w:rPr>
          <w:rFonts w:ascii="Times New Roman" w:hAnsi="Times New Roman"/>
          <w:b/>
          <w:sz w:val="28"/>
          <w:szCs w:val="28"/>
        </w:rPr>
      </w:pPr>
      <w:r w:rsidRPr="00146F4E">
        <w:rPr>
          <w:rFonts w:ascii="Times New Roman" w:hAnsi="Times New Roman" w:hint="eastAsia"/>
          <w:b/>
          <w:sz w:val="28"/>
          <w:szCs w:val="28"/>
        </w:rPr>
        <w:t>关于民生加银</w:t>
      </w:r>
      <w:r w:rsidR="00C47E54">
        <w:rPr>
          <w:rFonts w:ascii="Times New Roman" w:hAnsi="Times New Roman" w:hint="eastAsia"/>
          <w:b/>
          <w:sz w:val="28"/>
          <w:szCs w:val="28"/>
        </w:rPr>
        <w:t>新能源智选混合型</w:t>
      </w:r>
      <w:r w:rsidRPr="00146F4E">
        <w:rPr>
          <w:rFonts w:ascii="Times New Roman" w:hAnsi="Times New Roman" w:hint="eastAsia"/>
          <w:b/>
          <w:sz w:val="28"/>
          <w:szCs w:val="28"/>
        </w:rPr>
        <w:t>发起式证券投资基金基金合同终止及基金财产清算的公告</w:t>
      </w:r>
    </w:p>
    <w:p w:rsidR="00CD1E20" w:rsidRPr="00146F4E" w:rsidRDefault="00CD1E20">
      <w:pPr>
        <w:spacing w:line="360" w:lineRule="auto"/>
        <w:ind w:firstLineChars="201" w:firstLine="484"/>
        <w:jc w:val="center"/>
        <w:rPr>
          <w:rFonts w:ascii="Times New Roman" w:hAnsi="Times New Roman"/>
          <w:b/>
          <w:sz w:val="24"/>
          <w:szCs w:val="24"/>
        </w:rPr>
      </w:pP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根据《中华人民共和国证券投资基金法》、《公开募集证券投资基金运作管理办法》、《民生加银</w:t>
      </w:r>
      <w:r w:rsidR="00C47E54">
        <w:rPr>
          <w:rFonts w:ascii="Times New Roman" w:hAnsi="Times New Roman" w:hint="eastAsia"/>
          <w:sz w:val="24"/>
          <w:szCs w:val="24"/>
        </w:rPr>
        <w:t>新能源智选混合型</w:t>
      </w:r>
      <w:r w:rsidRPr="00146F4E">
        <w:rPr>
          <w:rFonts w:ascii="Times New Roman" w:hAnsi="Times New Roman" w:hint="eastAsia"/>
          <w:sz w:val="24"/>
          <w:szCs w:val="24"/>
        </w:rPr>
        <w:t>发起式证券投资基金基金合同》（以下简称“基金合同”或“《基金合同》”）的有关规定，民生加银</w:t>
      </w:r>
      <w:r w:rsidR="00C47E54">
        <w:rPr>
          <w:rFonts w:ascii="Times New Roman" w:hAnsi="Times New Roman" w:hint="eastAsia"/>
          <w:sz w:val="24"/>
          <w:szCs w:val="24"/>
        </w:rPr>
        <w:t>新能源智选混合型</w:t>
      </w:r>
      <w:r w:rsidRPr="00146F4E">
        <w:rPr>
          <w:rFonts w:ascii="Times New Roman" w:hAnsi="Times New Roman" w:hint="eastAsia"/>
          <w:sz w:val="24"/>
          <w:szCs w:val="24"/>
        </w:rPr>
        <w:t>发起式证券投资基金（以下简称“本基金”）已触发《基</w:t>
      </w:r>
      <w:bookmarkStart w:id="0" w:name="_GoBack"/>
      <w:bookmarkEnd w:id="0"/>
      <w:r w:rsidRPr="00146F4E">
        <w:rPr>
          <w:rFonts w:ascii="Times New Roman" w:hAnsi="Times New Roman" w:hint="eastAsia"/>
          <w:sz w:val="24"/>
          <w:szCs w:val="24"/>
        </w:rPr>
        <w:t>金合同》约定的终止情形，民生加银基金管理有限公司（以下简称“基金管理人”）根据《基金合同》等约定履行基金财产清算程序并终止《基金合同》，该事项无需召开基金份额持有人大会。本基金的最后运作日定为</w:t>
      </w:r>
      <w:r w:rsidR="00602D9F">
        <w:rPr>
          <w:rFonts w:ascii="Times New Roman" w:hAnsi="Times New Roman"/>
          <w:sz w:val="24"/>
          <w:szCs w:val="24"/>
        </w:rPr>
        <w:t>2024</w:t>
      </w:r>
      <w:r w:rsidR="00602D9F">
        <w:rPr>
          <w:rFonts w:ascii="Times New Roman" w:hAnsi="Times New Roman"/>
          <w:sz w:val="24"/>
          <w:szCs w:val="24"/>
        </w:rPr>
        <w:t>年</w:t>
      </w:r>
      <w:r w:rsidR="00602D9F">
        <w:rPr>
          <w:rFonts w:ascii="Times New Roman" w:hAnsi="Times New Roman"/>
          <w:sz w:val="24"/>
          <w:szCs w:val="24"/>
        </w:rPr>
        <w:t>9</w:t>
      </w:r>
      <w:r w:rsidR="00602D9F">
        <w:rPr>
          <w:rFonts w:ascii="Times New Roman" w:hAnsi="Times New Roman"/>
          <w:sz w:val="24"/>
          <w:szCs w:val="24"/>
        </w:rPr>
        <w:t>月</w:t>
      </w:r>
      <w:r w:rsidR="00602D9F">
        <w:rPr>
          <w:rFonts w:ascii="Times New Roman" w:hAnsi="Times New Roman"/>
          <w:sz w:val="24"/>
          <w:szCs w:val="24"/>
        </w:rPr>
        <w:t>28</w:t>
      </w:r>
      <w:r w:rsidR="00602D9F">
        <w:rPr>
          <w:rFonts w:ascii="Times New Roman" w:hAnsi="Times New Roman"/>
          <w:sz w:val="24"/>
          <w:szCs w:val="24"/>
        </w:rPr>
        <w:t>日</w:t>
      </w:r>
      <w:r w:rsidRPr="00146F4E">
        <w:rPr>
          <w:rFonts w:ascii="Times New Roman" w:hAnsi="Times New Roman" w:hint="eastAsia"/>
          <w:sz w:val="24"/>
          <w:szCs w:val="24"/>
        </w:rPr>
        <w:t>，并自</w:t>
      </w:r>
      <w:r w:rsidR="00602D9F">
        <w:rPr>
          <w:rFonts w:ascii="Times New Roman" w:hAnsi="Times New Roman"/>
          <w:sz w:val="24"/>
          <w:szCs w:val="24"/>
        </w:rPr>
        <w:t>2024</w:t>
      </w:r>
      <w:r w:rsidR="00602D9F">
        <w:rPr>
          <w:rFonts w:ascii="Times New Roman" w:hAnsi="Times New Roman"/>
          <w:sz w:val="24"/>
          <w:szCs w:val="24"/>
        </w:rPr>
        <w:t>年</w:t>
      </w:r>
      <w:r w:rsidR="00602D9F">
        <w:rPr>
          <w:rFonts w:ascii="Times New Roman" w:hAnsi="Times New Roman"/>
          <w:sz w:val="24"/>
          <w:szCs w:val="24"/>
        </w:rPr>
        <w:t>9</w:t>
      </w:r>
      <w:r w:rsidR="00602D9F">
        <w:rPr>
          <w:rFonts w:ascii="Times New Roman" w:hAnsi="Times New Roman"/>
          <w:sz w:val="24"/>
          <w:szCs w:val="24"/>
        </w:rPr>
        <w:t>月</w:t>
      </w:r>
      <w:r w:rsidR="00602D9F">
        <w:rPr>
          <w:rFonts w:ascii="Times New Roman" w:hAnsi="Times New Roman"/>
          <w:sz w:val="24"/>
          <w:szCs w:val="24"/>
        </w:rPr>
        <w:t>29</w:t>
      </w:r>
      <w:r w:rsidR="00602D9F">
        <w:rPr>
          <w:rFonts w:ascii="Times New Roman" w:hAnsi="Times New Roman"/>
          <w:sz w:val="24"/>
          <w:szCs w:val="24"/>
        </w:rPr>
        <w:t>日</w:t>
      </w:r>
      <w:r w:rsidRPr="00146F4E">
        <w:rPr>
          <w:rFonts w:ascii="Times New Roman" w:hAnsi="Times New Roman"/>
          <w:sz w:val="24"/>
          <w:szCs w:val="24"/>
        </w:rPr>
        <w:t>起</w:t>
      </w:r>
      <w:r w:rsidRPr="00146F4E">
        <w:rPr>
          <w:rFonts w:ascii="Times New Roman" w:hAnsi="Times New Roman" w:hint="eastAsia"/>
          <w:sz w:val="24"/>
          <w:szCs w:val="24"/>
        </w:rPr>
        <w:t>进入清算程序。现将相关事宜公告如下：</w:t>
      </w:r>
    </w:p>
    <w:p w:rsidR="00CD1E20" w:rsidRPr="00146F4E" w:rsidRDefault="000C5AC3">
      <w:pPr>
        <w:spacing w:line="360" w:lineRule="auto"/>
        <w:ind w:firstLineChars="201" w:firstLine="484"/>
        <w:rPr>
          <w:rFonts w:ascii="Times New Roman" w:hAnsi="Times New Roman"/>
          <w:b/>
          <w:sz w:val="24"/>
          <w:szCs w:val="24"/>
        </w:rPr>
      </w:pPr>
      <w:r w:rsidRPr="00146F4E">
        <w:rPr>
          <w:rFonts w:ascii="Times New Roman" w:hAnsi="Times New Roman" w:hint="eastAsia"/>
          <w:b/>
          <w:sz w:val="24"/>
          <w:szCs w:val="24"/>
        </w:rPr>
        <w:t>一、本基金基本信息</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基金名称：民生加银</w:t>
      </w:r>
      <w:r w:rsidR="00C47E54">
        <w:rPr>
          <w:rFonts w:ascii="Times New Roman" w:hAnsi="Times New Roman" w:hint="eastAsia"/>
          <w:sz w:val="24"/>
          <w:szCs w:val="24"/>
        </w:rPr>
        <w:t>新能源智选混合型</w:t>
      </w:r>
      <w:r w:rsidRPr="00146F4E">
        <w:rPr>
          <w:rFonts w:ascii="Times New Roman" w:hAnsi="Times New Roman" w:hint="eastAsia"/>
          <w:sz w:val="24"/>
          <w:szCs w:val="24"/>
        </w:rPr>
        <w:t>发起式证券投资基金</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基金简称及</w:t>
      </w:r>
      <w:r w:rsidR="00CE44E6">
        <w:rPr>
          <w:rFonts w:ascii="Times New Roman" w:hAnsi="Times New Roman" w:hint="eastAsia"/>
          <w:sz w:val="24"/>
          <w:szCs w:val="24"/>
        </w:rPr>
        <w:t>基金</w:t>
      </w:r>
      <w:r w:rsidRPr="00146F4E">
        <w:rPr>
          <w:rFonts w:ascii="Times New Roman" w:hAnsi="Times New Roman" w:hint="eastAsia"/>
          <w:sz w:val="24"/>
          <w:szCs w:val="24"/>
        </w:rPr>
        <w:t>代码：民生加银</w:t>
      </w:r>
      <w:r w:rsidR="000D4C5B">
        <w:rPr>
          <w:rFonts w:ascii="Times New Roman" w:hAnsi="Times New Roman" w:hint="eastAsia"/>
          <w:sz w:val="24"/>
          <w:szCs w:val="24"/>
        </w:rPr>
        <w:t>新能源智选混合</w:t>
      </w:r>
      <w:r w:rsidR="00D9357A">
        <w:rPr>
          <w:rFonts w:ascii="Times New Roman" w:hAnsi="Times New Roman" w:hint="eastAsia"/>
          <w:sz w:val="24"/>
          <w:szCs w:val="24"/>
        </w:rPr>
        <w:t>发起</w:t>
      </w:r>
      <w:r w:rsidRPr="00146F4E">
        <w:rPr>
          <w:rFonts w:ascii="Times New Roman" w:hAnsi="Times New Roman" w:hint="eastAsia"/>
          <w:sz w:val="24"/>
          <w:szCs w:val="24"/>
        </w:rPr>
        <w:t>A</w:t>
      </w:r>
      <w:r w:rsidRPr="00146F4E">
        <w:rPr>
          <w:rFonts w:ascii="Times New Roman" w:hAnsi="Times New Roman" w:hint="eastAsia"/>
          <w:sz w:val="24"/>
          <w:szCs w:val="24"/>
        </w:rPr>
        <w:t>（</w:t>
      </w:r>
      <w:r w:rsidR="000D4C5B">
        <w:rPr>
          <w:rFonts w:ascii="Times New Roman" w:hAnsi="Times New Roman" w:hint="eastAsia"/>
          <w:sz w:val="24"/>
          <w:szCs w:val="24"/>
        </w:rPr>
        <w:t>013371</w:t>
      </w:r>
      <w:r w:rsidRPr="00146F4E">
        <w:rPr>
          <w:rFonts w:ascii="Times New Roman" w:hAnsi="Times New Roman" w:hint="eastAsia"/>
          <w:sz w:val="24"/>
          <w:szCs w:val="24"/>
        </w:rPr>
        <w:t>）；民生加银</w:t>
      </w:r>
      <w:r w:rsidR="000D4C5B">
        <w:rPr>
          <w:rFonts w:ascii="Times New Roman" w:hAnsi="Times New Roman" w:hint="eastAsia"/>
          <w:sz w:val="24"/>
          <w:szCs w:val="24"/>
        </w:rPr>
        <w:t>新能源智选混合</w:t>
      </w:r>
      <w:r w:rsidR="00D9357A">
        <w:rPr>
          <w:rFonts w:ascii="Times New Roman" w:hAnsi="Times New Roman" w:hint="eastAsia"/>
          <w:sz w:val="24"/>
          <w:szCs w:val="24"/>
        </w:rPr>
        <w:t>发起</w:t>
      </w:r>
      <w:r w:rsidRPr="00146F4E">
        <w:rPr>
          <w:rFonts w:ascii="Times New Roman" w:hAnsi="Times New Roman" w:hint="eastAsia"/>
          <w:sz w:val="24"/>
          <w:szCs w:val="24"/>
        </w:rPr>
        <w:t>C</w:t>
      </w:r>
      <w:r w:rsidRPr="00146F4E">
        <w:rPr>
          <w:rFonts w:ascii="Times New Roman" w:hAnsi="Times New Roman" w:hint="eastAsia"/>
          <w:sz w:val="24"/>
          <w:szCs w:val="24"/>
        </w:rPr>
        <w:t>（</w:t>
      </w:r>
      <w:r w:rsidR="00602D9F">
        <w:rPr>
          <w:rFonts w:ascii="Times New Roman" w:hAnsi="Times New Roman" w:hint="eastAsia"/>
          <w:sz w:val="24"/>
          <w:szCs w:val="24"/>
        </w:rPr>
        <w:t>01</w:t>
      </w:r>
      <w:r w:rsidR="000D4C5B">
        <w:rPr>
          <w:rFonts w:ascii="Times New Roman" w:hAnsi="Times New Roman" w:hint="eastAsia"/>
          <w:sz w:val="24"/>
          <w:szCs w:val="24"/>
        </w:rPr>
        <w:t>3372</w:t>
      </w:r>
      <w:r w:rsidRPr="00146F4E">
        <w:rPr>
          <w:rFonts w:ascii="Times New Roman" w:hAnsi="Times New Roman" w:hint="eastAsia"/>
          <w:sz w:val="24"/>
          <w:szCs w:val="24"/>
        </w:rPr>
        <w:t>）</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基金运作方式：契约型开放式</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基金合同生效日：</w:t>
      </w:r>
      <w:r w:rsidR="00602D9F">
        <w:rPr>
          <w:rFonts w:ascii="Times New Roman" w:hAnsi="Times New Roman" w:hint="eastAsia"/>
          <w:sz w:val="24"/>
          <w:szCs w:val="24"/>
        </w:rPr>
        <w:t>2021</w:t>
      </w:r>
      <w:r w:rsidR="00602D9F">
        <w:rPr>
          <w:rFonts w:ascii="Times New Roman" w:hAnsi="Times New Roman" w:hint="eastAsia"/>
          <w:sz w:val="24"/>
          <w:szCs w:val="24"/>
        </w:rPr>
        <w:t>年</w:t>
      </w:r>
      <w:r w:rsidR="00602D9F">
        <w:rPr>
          <w:rFonts w:ascii="Times New Roman" w:hAnsi="Times New Roman" w:hint="eastAsia"/>
          <w:sz w:val="24"/>
          <w:szCs w:val="24"/>
        </w:rPr>
        <w:t>9</w:t>
      </w:r>
      <w:r w:rsidR="00602D9F">
        <w:rPr>
          <w:rFonts w:ascii="Times New Roman" w:hAnsi="Times New Roman" w:hint="eastAsia"/>
          <w:sz w:val="24"/>
          <w:szCs w:val="24"/>
        </w:rPr>
        <w:t>月</w:t>
      </w:r>
      <w:r w:rsidR="00602D9F">
        <w:rPr>
          <w:rFonts w:ascii="Times New Roman" w:hAnsi="Times New Roman" w:hint="eastAsia"/>
          <w:sz w:val="24"/>
          <w:szCs w:val="24"/>
        </w:rPr>
        <w:t>28</w:t>
      </w:r>
      <w:r w:rsidR="00602D9F">
        <w:rPr>
          <w:rFonts w:ascii="Times New Roman" w:hAnsi="Times New Roman" w:hint="eastAsia"/>
          <w:sz w:val="24"/>
          <w:szCs w:val="24"/>
        </w:rPr>
        <w:t>日</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基金管理人名称：民生加银基金管理有限公司</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基金托管人名称：</w:t>
      </w:r>
      <w:r w:rsidR="000D4C5B">
        <w:rPr>
          <w:rFonts w:ascii="Times New Roman" w:hAnsi="Times New Roman" w:hint="eastAsia"/>
          <w:sz w:val="24"/>
          <w:szCs w:val="24"/>
        </w:rPr>
        <w:t>中信</w:t>
      </w:r>
      <w:r w:rsidR="00602D9F">
        <w:rPr>
          <w:rFonts w:ascii="Times New Roman" w:hAnsi="Times New Roman" w:hint="eastAsia"/>
          <w:sz w:val="24"/>
          <w:szCs w:val="24"/>
        </w:rPr>
        <w:t>银行</w:t>
      </w:r>
      <w:r w:rsidRPr="00146F4E">
        <w:rPr>
          <w:rFonts w:ascii="Times New Roman" w:hAnsi="Times New Roman" w:hint="eastAsia"/>
          <w:sz w:val="24"/>
          <w:szCs w:val="24"/>
        </w:rPr>
        <w:t>股份有限公司</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公告依据：《中华人民共和国证券投资基金法》、《公开募集证券投资基金运作管理办法》、《公开募集证券投资基金信息披露管理办法》、《基金合同》、《民生加银</w:t>
      </w:r>
      <w:r w:rsidR="00C47E54">
        <w:rPr>
          <w:rFonts w:ascii="Times New Roman" w:hAnsi="Times New Roman" w:hint="eastAsia"/>
          <w:sz w:val="24"/>
          <w:szCs w:val="24"/>
        </w:rPr>
        <w:t>新能源智选混合型</w:t>
      </w:r>
      <w:r w:rsidRPr="00146F4E">
        <w:rPr>
          <w:rFonts w:ascii="Times New Roman" w:hAnsi="Times New Roman" w:hint="eastAsia"/>
          <w:sz w:val="24"/>
          <w:szCs w:val="24"/>
        </w:rPr>
        <w:t>发起式证券投资基金招募说明书》及其更新</w:t>
      </w:r>
    </w:p>
    <w:p w:rsidR="00CD1E20" w:rsidRPr="00146F4E" w:rsidRDefault="000C5AC3">
      <w:pPr>
        <w:spacing w:line="360" w:lineRule="auto"/>
        <w:ind w:firstLineChars="201" w:firstLine="484"/>
        <w:rPr>
          <w:rFonts w:ascii="Times New Roman" w:hAnsi="Times New Roman"/>
          <w:b/>
          <w:sz w:val="24"/>
          <w:szCs w:val="24"/>
        </w:rPr>
      </w:pPr>
      <w:r w:rsidRPr="00146F4E">
        <w:rPr>
          <w:rFonts w:ascii="Times New Roman" w:hAnsi="Times New Roman" w:hint="eastAsia"/>
          <w:b/>
          <w:sz w:val="24"/>
          <w:szCs w:val="24"/>
        </w:rPr>
        <w:t>二、基金合同终止事由</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根据《基金合同》“第五部分</w:t>
      </w:r>
      <w:r w:rsidRPr="00146F4E">
        <w:rPr>
          <w:rFonts w:ascii="Times New Roman" w:hAnsi="Times New Roman" w:hint="eastAsia"/>
          <w:sz w:val="24"/>
          <w:szCs w:val="24"/>
        </w:rPr>
        <w:t xml:space="preserve"> </w:t>
      </w:r>
      <w:r w:rsidRPr="00146F4E">
        <w:rPr>
          <w:rFonts w:ascii="Times New Roman" w:hAnsi="Times New Roman" w:hint="eastAsia"/>
          <w:sz w:val="24"/>
          <w:szCs w:val="24"/>
        </w:rPr>
        <w:t>基金备案”的“三、基金存续期内的基金份额持有人数量和资产规模”的约定，“</w:t>
      </w:r>
      <w:r w:rsidR="000D4C5B">
        <w:rPr>
          <w:rFonts w:ascii="Times New Roman" w:hAnsi="Times New Roman" w:hint="eastAsia"/>
          <w:sz w:val="24"/>
          <w:szCs w:val="24"/>
        </w:rPr>
        <w:t>《</w:t>
      </w:r>
      <w:r w:rsidRPr="00146F4E">
        <w:rPr>
          <w:rFonts w:ascii="Times New Roman" w:hAnsi="Times New Roman" w:hint="eastAsia"/>
          <w:sz w:val="24"/>
          <w:szCs w:val="24"/>
        </w:rPr>
        <w:t>基金合同</w:t>
      </w:r>
      <w:r w:rsidR="000D4C5B">
        <w:rPr>
          <w:rFonts w:ascii="Times New Roman" w:hAnsi="Times New Roman" w:hint="eastAsia"/>
          <w:sz w:val="24"/>
          <w:szCs w:val="24"/>
        </w:rPr>
        <w:t>》</w:t>
      </w:r>
      <w:r w:rsidRPr="00146F4E">
        <w:rPr>
          <w:rFonts w:ascii="Times New Roman" w:hAnsi="Times New Roman" w:hint="eastAsia"/>
          <w:sz w:val="24"/>
          <w:szCs w:val="24"/>
        </w:rPr>
        <w:t>生效满</w:t>
      </w:r>
      <w:r w:rsidR="000D4C5B">
        <w:rPr>
          <w:rFonts w:ascii="Times New Roman" w:hAnsi="Times New Roman" w:hint="eastAsia"/>
          <w:sz w:val="24"/>
          <w:szCs w:val="24"/>
        </w:rPr>
        <w:t>3</w:t>
      </w:r>
      <w:r w:rsidRPr="00146F4E">
        <w:rPr>
          <w:rFonts w:ascii="Times New Roman" w:hAnsi="Times New Roman" w:hint="eastAsia"/>
          <w:sz w:val="24"/>
          <w:szCs w:val="24"/>
        </w:rPr>
        <w:t>年</w:t>
      </w:r>
      <w:r w:rsidR="000D4C5B">
        <w:rPr>
          <w:rFonts w:ascii="Times New Roman" w:hAnsi="Times New Roman" w:hint="eastAsia"/>
          <w:sz w:val="24"/>
          <w:szCs w:val="24"/>
        </w:rPr>
        <w:t>后的对应日</w:t>
      </w:r>
      <w:r w:rsidRPr="00146F4E">
        <w:rPr>
          <w:rFonts w:ascii="Times New Roman" w:hAnsi="Times New Roman" w:hint="eastAsia"/>
          <w:sz w:val="24"/>
          <w:szCs w:val="24"/>
        </w:rPr>
        <w:t>，若基金资产净值低于</w:t>
      </w:r>
      <w:r w:rsidR="00146F4E">
        <w:rPr>
          <w:rFonts w:ascii="Times New Roman" w:hAnsi="Times New Roman" w:hint="eastAsia"/>
          <w:sz w:val="24"/>
          <w:szCs w:val="24"/>
        </w:rPr>
        <w:t>2</w:t>
      </w:r>
      <w:r w:rsidRPr="00146F4E">
        <w:rPr>
          <w:rFonts w:ascii="Times New Roman" w:hAnsi="Times New Roman" w:hint="eastAsia"/>
          <w:sz w:val="24"/>
          <w:szCs w:val="24"/>
        </w:rPr>
        <w:t>亿元，</w:t>
      </w:r>
      <w:r w:rsidR="000D4C5B">
        <w:rPr>
          <w:rFonts w:ascii="Times New Roman" w:hAnsi="Times New Roman" w:hint="eastAsia"/>
          <w:sz w:val="24"/>
          <w:szCs w:val="24"/>
        </w:rPr>
        <w:t>《</w:t>
      </w:r>
      <w:r w:rsidRPr="00146F4E">
        <w:rPr>
          <w:rFonts w:ascii="Times New Roman" w:hAnsi="Times New Roman" w:hint="eastAsia"/>
          <w:sz w:val="24"/>
          <w:szCs w:val="24"/>
        </w:rPr>
        <w:t>基金合同</w:t>
      </w:r>
      <w:r w:rsidR="000D4C5B">
        <w:rPr>
          <w:rFonts w:ascii="Times New Roman" w:hAnsi="Times New Roman" w:hint="eastAsia"/>
          <w:sz w:val="24"/>
          <w:szCs w:val="24"/>
        </w:rPr>
        <w:t>》应当</w:t>
      </w:r>
      <w:r w:rsidRPr="00146F4E">
        <w:rPr>
          <w:rFonts w:ascii="Times New Roman" w:hAnsi="Times New Roman" w:hint="eastAsia"/>
          <w:sz w:val="24"/>
          <w:szCs w:val="24"/>
        </w:rPr>
        <w:t>终止，</w:t>
      </w:r>
      <w:r w:rsidR="000D4C5B">
        <w:rPr>
          <w:rFonts w:ascii="Times New Roman" w:hAnsi="Times New Roman" w:hint="eastAsia"/>
          <w:sz w:val="24"/>
          <w:szCs w:val="24"/>
        </w:rPr>
        <w:t>且</w:t>
      </w:r>
      <w:r w:rsidRPr="00146F4E">
        <w:rPr>
          <w:rFonts w:ascii="Times New Roman" w:hAnsi="Times New Roman" w:hint="eastAsia"/>
          <w:sz w:val="24"/>
          <w:szCs w:val="24"/>
        </w:rPr>
        <w:t>不得通过召开基金份额持有人大会</w:t>
      </w:r>
      <w:r w:rsidR="000D4C5B">
        <w:rPr>
          <w:rFonts w:ascii="Times New Roman" w:hAnsi="Times New Roman" w:hint="eastAsia"/>
          <w:sz w:val="24"/>
          <w:szCs w:val="24"/>
        </w:rPr>
        <w:t>的方式</w:t>
      </w:r>
      <w:r w:rsidRPr="00146F4E">
        <w:rPr>
          <w:rFonts w:ascii="Times New Roman" w:hAnsi="Times New Roman" w:hint="eastAsia"/>
          <w:sz w:val="24"/>
          <w:szCs w:val="24"/>
        </w:rPr>
        <w:t>延续。”</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截至</w:t>
      </w:r>
      <w:r w:rsidR="000D4C5B">
        <w:rPr>
          <w:rFonts w:ascii="Times New Roman" w:hAnsi="Times New Roman" w:hint="eastAsia"/>
          <w:sz w:val="24"/>
          <w:szCs w:val="24"/>
        </w:rPr>
        <w:t>《</w:t>
      </w:r>
      <w:r w:rsidRPr="00146F4E">
        <w:rPr>
          <w:rFonts w:ascii="Times New Roman" w:hAnsi="Times New Roman" w:hint="eastAsia"/>
          <w:sz w:val="24"/>
          <w:szCs w:val="24"/>
        </w:rPr>
        <w:t>基金合同</w:t>
      </w:r>
      <w:r w:rsidR="000D4C5B">
        <w:rPr>
          <w:rFonts w:ascii="Times New Roman" w:hAnsi="Times New Roman" w:hint="eastAsia"/>
          <w:sz w:val="24"/>
          <w:szCs w:val="24"/>
        </w:rPr>
        <w:t>》</w:t>
      </w:r>
      <w:r w:rsidRPr="00146F4E">
        <w:rPr>
          <w:rFonts w:ascii="Times New Roman" w:hAnsi="Times New Roman" w:hint="eastAsia"/>
          <w:sz w:val="24"/>
          <w:szCs w:val="24"/>
        </w:rPr>
        <w:t>生效满</w:t>
      </w:r>
      <w:r w:rsidR="000D4C5B">
        <w:rPr>
          <w:rFonts w:ascii="Times New Roman" w:hAnsi="Times New Roman" w:hint="eastAsia"/>
          <w:sz w:val="24"/>
          <w:szCs w:val="24"/>
        </w:rPr>
        <w:t>3</w:t>
      </w:r>
      <w:r w:rsidRPr="00146F4E">
        <w:rPr>
          <w:rFonts w:ascii="Times New Roman" w:hAnsi="Times New Roman" w:hint="eastAsia"/>
          <w:sz w:val="24"/>
          <w:szCs w:val="24"/>
        </w:rPr>
        <w:t>年</w:t>
      </w:r>
      <w:r w:rsidR="000D4C5B">
        <w:rPr>
          <w:rFonts w:ascii="Times New Roman" w:hAnsi="Times New Roman" w:hint="eastAsia"/>
          <w:sz w:val="24"/>
          <w:szCs w:val="24"/>
        </w:rPr>
        <w:t>后的对应日</w:t>
      </w:r>
      <w:r w:rsidRPr="00146F4E">
        <w:rPr>
          <w:rFonts w:ascii="Times New Roman" w:hAnsi="Times New Roman" w:hint="eastAsia"/>
          <w:sz w:val="24"/>
          <w:szCs w:val="24"/>
        </w:rPr>
        <w:t>，即</w:t>
      </w:r>
      <w:r w:rsidR="00602D9F">
        <w:rPr>
          <w:rFonts w:ascii="Times New Roman" w:hAnsi="Times New Roman"/>
          <w:sz w:val="24"/>
          <w:szCs w:val="24"/>
        </w:rPr>
        <w:t>2024</w:t>
      </w:r>
      <w:r w:rsidR="00602D9F">
        <w:rPr>
          <w:rFonts w:ascii="Times New Roman" w:hAnsi="Times New Roman"/>
          <w:sz w:val="24"/>
          <w:szCs w:val="24"/>
        </w:rPr>
        <w:t>年</w:t>
      </w:r>
      <w:r w:rsidR="00602D9F">
        <w:rPr>
          <w:rFonts w:ascii="Times New Roman" w:hAnsi="Times New Roman"/>
          <w:sz w:val="24"/>
          <w:szCs w:val="24"/>
        </w:rPr>
        <w:t>9</w:t>
      </w:r>
      <w:r w:rsidR="00602D9F">
        <w:rPr>
          <w:rFonts w:ascii="Times New Roman" w:hAnsi="Times New Roman"/>
          <w:sz w:val="24"/>
          <w:szCs w:val="24"/>
        </w:rPr>
        <w:t>月</w:t>
      </w:r>
      <w:r w:rsidR="00602D9F">
        <w:rPr>
          <w:rFonts w:ascii="Times New Roman" w:hAnsi="Times New Roman"/>
          <w:sz w:val="24"/>
          <w:szCs w:val="24"/>
        </w:rPr>
        <w:t>28</w:t>
      </w:r>
      <w:r w:rsidR="00602D9F">
        <w:rPr>
          <w:rFonts w:ascii="Times New Roman" w:hAnsi="Times New Roman"/>
          <w:sz w:val="24"/>
          <w:szCs w:val="24"/>
        </w:rPr>
        <w:t>日</w:t>
      </w:r>
      <w:r w:rsidRPr="00146F4E">
        <w:rPr>
          <w:rFonts w:ascii="Times New Roman" w:hAnsi="Times New Roman" w:hint="eastAsia"/>
          <w:sz w:val="24"/>
          <w:szCs w:val="24"/>
        </w:rPr>
        <w:t>日终，本基金基金资产净值</w:t>
      </w:r>
      <w:r w:rsidRPr="00146F4E">
        <w:rPr>
          <w:rFonts w:ascii="Times New Roman" w:hAnsi="Times New Roman"/>
          <w:sz w:val="24"/>
          <w:szCs w:val="24"/>
        </w:rPr>
        <w:t>低于</w:t>
      </w:r>
      <w:r w:rsidRPr="00146F4E">
        <w:rPr>
          <w:rFonts w:ascii="Times New Roman" w:hAnsi="Times New Roman"/>
          <w:sz w:val="24"/>
          <w:szCs w:val="24"/>
        </w:rPr>
        <w:t>2</w:t>
      </w:r>
      <w:r w:rsidRPr="00146F4E">
        <w:rPr>
          <w:rFonts w:ascii="Times New Roman" w:hAnsi="Times New Roman" w:hint="eastAsia"/>
          <w:sz w:val="24"/>
          <w:szCs w:val="24"/>
        </w:rPr>
        <w:t>亿</w:t>
      </w:r>
      <w:r w:rsidRPr="00146F4E">
        <w:rPr>
          <w:rFonts w:ascii="Times New Roman" w:hAnsi="Times New Roman"/>
          <w:sz w:val="24"/>
          <w:szCs w:val="24"/>
        </w:rPr>
        <w:t>元</w:t>
      </w:r>
      <w:r w:rsidRPr="00146F4E">
        <w:rPr>
          <w:rFonts w:ascii="Times New Roman" w:hAnsi="Times New Roman" w:hint="eastAsia"/>
          <w:sz w:val="24"/>
          <w:szCs w:val="24"/>
        </w:rPr>
        <w:t>，触发上述《基金合同》约定的终止情形，基金管理</w:t>
      </w:r>
      <w:r w:rsidRPr="00146F4E">
        <w:rPr>
          <w:rFonts w:ascii="Times New Roman" w:hAnsi="Times New Roman" w:hint="eastAsia"/>
          <w:sz w:val="24"/>
          <w:szCs w:val="24"/>
        </w:rPr>
        <w:lastRenderedPageBreak/>
        <w:t>人根据相关法律法规、基金合同等约定履行基金财产清算程序</w:t>
      </w:r>
      <w:r w:rsidR="00035826">
        <w:rPr>
          <w:rFonts w:ascii="Times New Roman" w:hAnsi="Times New Roman" w:hint="eastAsia"/>
          <w:sz w:val="24"/>
          <w:szCs w:val="24"/>
        </w:rPr>
        <w:t>并终止</w:t>
      </w:r>
      <w:r w:rsidR="00035826" w:rsidRPr="00146F4E">
        <w:rPr>
          <w:rFonts w:ascii="Times New Roman" w:hAnsi="Times New Roman" w:hint="eastAsia"/>
          <w:sz w:val="24"/>
          <w:szCs w:val="24"/>
        </w:rPr>
        <w:t>《基金合同》</w:t>
      </w:r>
      <w:r w:rsidRPr="00146F4E">
        <w:rPr>
          <w:rFonts w:ascii="Times New Roman" w:hAnsi="Times New Roman" w:hint="eastAsia"/>
          <w:sz w:val="24"/>
          <w:szCs w:val="24"/>
        </w:rPr>
        <w:t>，无需召开基金份额持有人大会。</w:t>
      </w:r>
    </w:p>
    <w:p w:rsidR="00CD1E20" w:rsidRPr="00146F4E" w:rsidRDefault="000C5AC3">
      <w:pPr>
        <w:spacing w:line="360" w:lineRule="auto"/>
        <w:ind w:firstLineChars="201" w:firstLine="484"/>
        <w:rPr>
          <w:rFonts w:ascii="Times New Roman" w:hAnsi="Times New Roman"/>
          <w:b/>
          <w:sz w:val="24"/>
          <w:szCs w:val="24"/>
        </w:rPr>
      </w:pPr>
      <w:r w:rsidRPr="00146F4E">
        <w:rPr>
          <w:rFonts w:ascii="Times New Roman" w:hAnsi="Times New Roman" w:hint="eastAsia"/>
          <w:b/>
          <w:sz w:val="24"/>
          <w:szCs w:val="24"/>
        </w:rPr>
        <w:t>三、基金财产清算</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1</w:t>
      </w:r>
      <w:r w:rsidRPr="00146F4E">
        <w:rPr>
          <w:rFonts w:ascii="Times New Roman" w:hAnsi="Times New Roman" w:hint="eastAsia"/>
          <w:sz w:val="24"/>
          <w:szCs w:val="24"/>
        </w:rPr>
        <w:t>、自出现《基金合同》终止事由之日起</w:t>
      </w:r>
      <w:r w:rsidRPr="00146F4E">
        <w:rPr>
          <w:rFonts w:ascii="Times New Roman" w:hAnsi="Times New Roman" w:hint="eastAsia"/>
          <w:sz w:val="24"/>
          <w:szCs w:val="24"/>
        </w:rPr>
        <w:t>30</w:t>
      </w:r>
      <w:r w:rsidRPr="00146F4E">
        <w:rPr>
          <w:rFonts w:ascii="Times New Roman" w:hAnsi="Times New Roman" w:hint="eastAsia"/>
          <w:sz w:val="24"/>
          <w:szCs w:val="24"/>
        </w:rPr>
        <w:t>个工作日内成立清算小组，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2</w:t>
      </w:r>
      <w:r w:rsidRPr="00146F4E">
        <w:rPr>
          <w:rFonts w:ascii="Times New Roman" w:hAnsi="Times New Roman" w:hint="eastAsia"/>
          <w:sz w:val="24"/>
          <w:szCs w:val="24"/>
        </w:rPr>
        <w:t>、基金财产清算小组负责基金财产的保管、清理、估价、变现和分配。基金财产清算小组可以依法进行必要的民事活动。</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3</w:t>
      </w:r>
      <w:r w:rsidRPr="00146F4E">
        <w:rPr>
          <w:rFonts w:ascii="Times New Roman" w:hAnsi="Times New Roman" w:hint="eastAsia"/>
          <w:sz w:val="24"/>
          <w:szCs w:val="24"/>
        </w:rPr>
        <w:t>、基金财产清算程序：</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1</w:t>
      </w:r>
      <w:r w:rsidRPr="00146F4E">
        <w:rPr>
          <w:rFonts w:ascii="Times New Roman" w:hAnsi="Times New Roman"/>
          <w:bCs/>
          <w:sz w:val="24"/>
          <w:szCs w:val="24"/>
        </w:rPr>
        <w:t>）《基金合同》终止情形出现时，由基金财产清算小组统一接管基金；</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2</w:t>
      </w:r>
      <w:r w:rsidRPr="00146F4E">
        <w:rPr>
          <w:rFonts w:ascii="Times New Roman" w:hAnsi="Times New Roman"/>
          <w:bCs/>
          <w:sz w:val="24"/>
          <w:szCs w:val="24"/>
        </w:rPr>
        <w:t>）对基金财产和债权债务进行清理和确认；</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3</w:t>
      </w:r>
      <w:r w:rsidRPr="00146F4E">
        <w:rPr>
          <w:rFonts w:ascii="Times New Roman" w:hAnsi="Times New Roman"/>
          <w:bCs/>
          <w:sz w:val="24"/>
          <w:szCs w:val="24"/>
        </w:rPr>
        <w:t>）对基金财产进行估值和变现；</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4</w:t>
      </w:r>
      <w:r w:rsidRPr="00146F4E">
        <w:rPr>
          <w:rFonts w:ascii="Times New Roman" w:hAnsi="Times New Roman"/>
          <w:bCs/>
          <w:sz w:val="24"/>
          <w:szCs w:val="24"/>
        </w:rPr>
        <w:t>）制作清算报告；</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5</w:t>
      </w:r>
      <w:r w:rsidRPr="00146F4E">
        <w:rPr>
          <w:rFonts w:ascii="Times New Roman" w:hAnsi="Times New Roman"/>
          <w:bCs/>
          <w:sz w:val="24"/>
          <w:szCs w:val="24"/>
        </w:rPr>
        <w:t>）聘请会计师事务所对清算报告进行外部审计，聘请律师事务所对清算报告出具法律意见书；</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6</w:t>
      </w:r>
      <w:r w:rsidRPr="00146F4E">
        <w:rPr>
          <w:rFonts w:ascii="Times New Roman" w:hAnsi="Times New Roman"/>
          <w:bCs/>
          <w:sz w:val="24"/>
          <w:szCs w:val="24"/>
        </w:rPr>
        <w:t>）将清算报告报中国证监会备案并公告</w:t>
      </w:r>
      <w:r w:rsidRPr="00146F4E">
        <w:rPr>
          <w:rFonts w:ascii="Times New Roman" w:hAnsi="Times New Roman" w:hint="eastAsia"/>
          <w:bCs/>
          <w:sz w:val="24"/>
          <w:szCs w:val="24"/>
        </w:rPr>
        <w:t>；</w:t>
      </w:r>
    </w:p>
    <w:p w:rsidR="00CD1E20" w:rsidRPr="00146F4E" w:rsidRDefault="000C5AC3">
      <w:pPr>
        <w:spacing w:line="360" w:lineRule="auto"/>
        <w:ind w:firstLineChars="201" w:firstLine="482"/>
        <w:rPr>
          <w:rFonts w:ascii="Times New Roman" w:hAnsi="Times New Roman"/>
          <w:bCs/>
          <w:sz w:val="24"/>
          <w:szCs w:val="24"/>
        </w:rPr>
      </w:pPr>
      <w:r w:rsidRPr="00146F4E">
        <w:rPr>
          <w:rFonts w:ascii="Times New Roman" w:hAnsi="Times New Roman"/>
          <w:bCs/>
          <w:sz w:val="24"/>
          <w:szCs w:val="24"/>
        </w:rPr>
        <w:t>（</w:t>
      </w:r>
      <w:r w:rsidRPr="00146F4E">
        <w:rPr>
          <w:rFonts w:ascii="Times New Roman" w:hAnsi="Times New Roman"/>
          <w:bCs/>
          <w:sz w:val="24"/>
          <w:szCs w:val="24"/>
        </w:rPr>
        <w:t>7</w:t>
      </w:r>
      <w:r w:rsidRPr="00146F4E">
        <w:rPr>
          <w:rFonts w:ascii="Times New Roman" w:hAnsi="Times New Roman"/>
          <w:bCs/>
          <w:sz w:val="24"/>
          <w:szCs w:val="24"/>
        </w:rPr>
        <w:t>）对基金</w:t>
      </w:r>
      <w:r w:rsidRPr="00146F4E">
        <w:rPr>
          <w:rFonts w:ascii="Times New Roman" w:hAnsi="Times New Roman" w:hint="eastAsia"/>
          <w:bCs/>
          <w:sz w:val="24"/>
          <w:szCs w:val="24"/>
        </w:rPr>
        <w:t>剩余</w:t>
      </w:r>
      <w:r w:rsidRPr="00146F4E">
        <w:rPr>
          <w:rFonts w:ascii="Times New Roman" w:hAnsi="Times New Roman"/>
          <w:bCs/>
          <w:sz w:val="24"/>
          <w:szCs w:val="24"/>
        </w:rPr>
        <w:t>财产进行分配</w:t>
      </w:r>
      <w:r w:rsidRPr="00146F4E">
        <w:rPr>
          <w:rFonts w:ascii="Times New Roman" w:hAnsi="Times New Roman" w:hint="eastAsia"/>
          <w:bCs/>
          <w:sz w:val="24"/>
          <w:szCs w:val="24"/>
        </w:rPr>
        <w:t>。</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4</w:t>
      </w:r>
      <w:r w:rsidRPr="00146F4E">
        <w:rPr>
          <w:rFonts w:ascii="Times New Roman" w:hAnsi="Times New Roman" w:hint="eastAsia"/>
          <w:sz w:val="24"/>
          <w:szCs w:val="24"/>
        </w:rPr>
        <w:t>、</w:t>
      </w:r>
      <w:r w:rsidRPr="00146F4E">
        <w:rPr>
          <w:rFonts w:ascii="Times New Roman" w:hAnsi="Times New Roman"/>
          <w:sz w:val="24"/>
          <w:szCs w:val="24"/>
        </w:rPr>
        <w:t>基金财产清算的期限为</w:t>
      </w:r>
      <w:r w:rsidRPr="00146F4E">
        <w:rPr>
          <w:rFonts w:ascii="Times New Roman" w:hAnsi="Times New Roman"/>
          <w:sz w:val="24"/>
          <w:szCs w:val="24"/>
        </w:rPr>
        <w:t>6</w:t>
      </w:r>
      <w:r w:rsidRPr="00146F4E">
        <w:rPr>
          <w:rFonts w:ascii="Times New Roman" w:hAnsi="Times New Roman"/>
          <w:sz w:val="24"/>
          <w:szCs w:val="24"/>
        </w:rPr>
        <w:t>个月，但因本基金所持证券的流动性受到限制而不能及时变现的，清算期限相应顺延。</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5</w:t>
      </w:r>
      <w:r w:rsidRPr="00146F4E">
        <w:rPr>
          <w:rFonts w:ascii="Times New Roman" w:hAnsi="Times New Roman" w:hint="eastAsia"/>
          <w:sz w:val="24"/>
          <w:szCs w:val="24"/>
        </w:rPr>
        <w:t>、清算费用</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按照《基金合同》“第十九</w:t>
      </w:r>
      <w:r w:rsidRPr="00146F4E">
        <w:rPr>
          <w:rFonts w:ascii="Times New Roman" w:hAnsi="Times New Roman"/>
          <w:sz w:val="24"/>
          <w:szCs w:val="24"/>
        </w:rPr>
        <w:t>部分</w:t>
      </w:r>
      <w:r w:rsidRPr="00146F4E">
        <w:rPr>
          <w:rFonts w:ascii="Times New Roman" w:hAnsi="Times New Roman" w:hint="eastAsia"/>
          <w:sz w:val="24"/>
          <w:szCs w:val="24"/>
        </w:rPr>
        <w:t xml:space="preserve"> </w:t>
      </w:r>
      <w:r w:rsidRPr="00146F4E">
        <w:rPr>
          <w:rFonts w:ascii="Times New Roman" w:hAnsi="Times New Roman" w:hint="eastAsia"/>
          <w:sz w:val="24"/>
          <w:szCs w:val="24"/>
        </w:rPr>
        <w:t>基金合同的变更、终止与基金财产的清算”的约定，清算费用是指基金财产清算小组在进行基金财产清算过程中发生的所有合理费用，清算费用由基金财产清算小组优先从基金</w:t>
      </w:r>
      <w:r w:rsidR="00711B42">
        <w:rPr>
          <w:rFonts w:ascii="Times New Roman" w:hAnsi="Times New Roman" w:hint="eastAsia"/>
          <w:sz w:val="24"/>
          <w:szCs w:val="24"/>
        </w:rPr>
        <w:t>剩余</w:t>
      </w:r>
      <w:r w:rsidRPr="00146F4E">
        <w:rPr>
          <w:rFonts w:ascii="Times New Roman" w:hAnsi="Times New Roman" w:hint="eastAsia"/>
          <w:sz w:val="24"/>
          <w:szCs w:val="24"/>
        </w:rPr>
        <w:t>财产中支付。</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6</w:t>
      </w:r>
      <w:r w:rsidRPr="00146F4E">
        <w:rPr>
          <w:rFonts w:ascii="Times New Roman" w:hAnsi="Times New Roman" w:hint="eastAsia"/>
          <w:sz w:val="24"/>
          <w:szCs w:val="24"/>
        </w:rPr>
        <w:t>、基金财产清算剩余资产分配</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lastRenderedPageBreak/>
        <w:t>7</w:t>
      </w:r>
      <w:r w:rsidRPr="00146F4E">
        <w:rPr>
          <w:rFonts w:ascii="Times New Roman" w:hAnsi="Times New Roman" w:hint="eastAsia"/>
          <w:sz w:val="24"/>
          <w:szCs w:val="24"/>
        </w:rPr>
        <w:t>、基金财产清算的公告</w:t>
      </w:r>
    </w:p>
    <w:p w:rsidR="00CD1E20" w:rsidRPr="00146F4E" w:rsidRDefault="000C5AC3" w:rsidP="0075235E">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146F4E">
        <w:rPr>
          <w:rFonts w:ascii="Times New Roman" w:hAnsi="Times New Roman" w:hint="eastAsia"/>
          <w:sz w:val="24"/>
          <w:szCs w:val="24"/>
        </w:rPr>
        <w:t>5</w:t>
      </w:r>
      <w:r w:rsidRPr="00146F4E">
        <w:rPr>
          <w:rFonts w:ascii="Times New Roman" w:hAnsi="Times New Roman" w:hint="eastAsia"/>
          <w:sz w:val="24"/>
          <w:szCs w:val="24"/>
        </w:rPr>
        <w:t>个工作日内由基金财产清算小组进行公告</w:t>
      </w:r>
      <w:r w:rsidR="0075235E" w:rsidRPr="0075235E">
        <w:rPr>
          <w:rFonts w:ascii="Times New Roman" w:hAnsi="Times New Roman" w:hint="eastAsia"/>
          <w:sz w:val="24"/>
          <w:szCs w:val="24"/>
        </w:rPr>
        <w:t>，基金财产清算小组应当将清算报告登载在规定网站上，并将清算报告提示性公告登载在规定报刊上</w:t>
      </w:r>
      <w:r w:rsidRPr="00146F4E">
        <w:rPr>
          <w:rFonts w:ascii="Times New Roman" w:hAnsi="Times New Roman" w:hint="eastAsia"/>
          <w:sz w:val="24"/>
          <w:szCs w:val="24"/>
        </w:rPr>
        <w:t>。</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sz w:val="24"/>
          <w:szCs w:val="24"/>
        </w:rPr>
        <w:t>8</w:t>
      </w:r>
      <w:r w:rsidRPr="00146F4E">
        <w:rPr>
          <w:rFonts w:ascii="Times New Roman" w:hAnsi="Times New Roman" w:hint="eastAsia"/>
          <w:sz w:val="24"/>
          <w:szCs w:val="24"/>
        </w:rPr>
        <w:t>、基金财产清算账册及文件的保存</w:t>
      </w:r>
    </w:p>
    <w:p w:rsidR="00CD1E20" w:rsidRPr="00146F4E" w:rsidRDefault="000C5AC3" w:rsidP="00D9357A">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基金财产清算账册及有关文件由基金托管人保存</w:t>
      </w:r>
      <w:r w:rsidR="00D9357A">
        <w:rPr>
          <w:rFonts w:ascii="Times New Roman" w:hAnsi="Times New Roman" w:hint="eastAsia"/>
          <w:sz w:val="24"/>
          <w:szCs w:val="24"/>
        </w:rPr>
        <w:t>，</w:t>
      </w:r>
      <w:r w:rsidR="00D9357A" w:rsidRPr="00D9357A">
        <w:rPr>
          <w:rFonts w:ascii="Times New Roman" w:hAnsi="Times New Roman" w:hint="eastAsia"/>
          <w:sz w:val="24"/>
          <w:szCs w:val="24"/>
        </w:rPr>
        <w:t>保存期限不低于法律法规规定的最低期限</w:t>
      </w:r>
      <w:r w:rsidRPr="00146F4E">
        <w:rPr>
          <w:rFonts w:ascii="Times New Roman" w:hAnsi="Times New Roman" w:hint="eastAsia"/>
          <w:sz w:val="24"/>
          <w:szCs w:val="24"/>
        </w:rPr>
        <w:t>。</w:t>
      </w:r>
    </w:p>
    <w:p w:rsidR="00CD1E20" w:rsidRPr="00146F4E" w:rsidRDefault="000C5AC3">
      <w:pPr>
        <w:spacing w:line="360" w:lineRule="auto"/>
        <w:ind w:firstLineChars="201" w:firstLine="484"/>
        <w:rPr>
          <w:rFonts w:ascii="Times New Roman" w:hAnsi="Times New Roman"/>
          <w:b/>
          <w:sz w:val="24"/>
          <w:szCs w:val="24"/>
        </w:rPr>
      </w:pPr>
      <w:r w:rsidRPr="00146F4E">
        <w:rPr>
          <w:rFonts w:ascii="Times New Roman" w:hAnsi="Times New Roman" w:hint="eastAsia"/>
          <w:b/>
          <w:sz w:val="24"/>
          <w:szCs w:val="24"/>
        </w:rPr>
        <w:t>四、其他需要提示的事项</w:t>
      </w:r>
    </w:p>
    <w:p w:rsidR="00B555DA"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1</w:t>
      </w:r>
      <w:r w:rsidRPr="00146F4E">
        <w:rPr>
          <w:rFonts w:ascii="Times New Roman" w:hAnsi="Times New Roman" w:hint="eastAsia"/>
          <w:sz w:val="24"/>
          <w:szCs w:val="24"/>
        </w:rPr>
        <w:t>、基金</w:t>
      </w:r>
      <w:r w:rsidR="000B032B">
        <w:rPr>
          <w:rFonts w:ascii="Times New Roman" w:hAnsi="Times New Roman" w:hint="eastAsia"/>
          <w:sz w:val="24"/>
          <w:szCs w:val="24"/>
        </w:rPr>
        <w:t>管理人</w:t>
      </w:r>
      <w:r w:rsidRPr="00146F4E">
        <w:rPr>
          <w:rFonts w:ascii="Times New Roman" w:hAnsi="Times New Roman" w:hint="eastAsia"/>
          <w:sz w:val="24"/>
          <w:szCs w:val="24"/>
        </w:rPr>
        <w:t>已于</w:t>
      </w:r>
      <w:r w:rsidRPr="00146F4E">
        <w:rPr>
          <w:rFonts w:ascii="Times New Roman" w:hAnsi="Times New Roman" w:hint="eastAsia"/>
          <w:sz w:val="24"/>
          <w:szCs w:val="24"/>
        </w:rPr>
        <w:t>202</w:t>
      </w:r>
      <w:r w:rsidR="00D9357A">
        <w:rPr>
          <w:rFonts w:ascii="Times New Roman" w:hAnsi="Times New Roman" w:hint="eastAsia"/>
          <w:sz w:val="24"/>
          <w:szCs w:val="24"/>
        </w:rPr>
        <w:t>4</w:t>
      </w:r>
      <w:r w:rsidRPr="00146F4E">
        <w:rPr>
          <w:rFonts w:ascii="Times New Roman" w:hAnsi="Times New Roman" w:hint="eastAsia"/>
          <w:sz w:val="24"/>
          <w:szCs w:val="24"/>
        </w:rPr>
        <w:t>年</w:t>
      </w:r>
      <w:r w:rsidR="00D9357A">
        <w:rPr>
          <w:rFonts w:ascii="Times New Roman" w:hAnsi="Times New Roman" w:hint="eastAsia"/>
          <w:sz w:val="24"/>
          <w:szCs w:val="24"/>
        </w:rPr>
        <w:t>9</w:t>
      </w:r>
      <w:r w:rsidRPr="00146F4E">
        <w:rPr>
          <w:rFonts w:ascii="Times New Roman" w:hAnsi="Times New Roman" w:hint="eastAsia"/>
          <w:sz w:val="24"/>
          <w:szCs w:val="24"/>
        </w:rPr>
        <w:t>月</w:t>
      </w:r>
      <w:r w:rsidR="0075235E">
        <w:rPr>
          <w:rFonts w:ascii="Times New Roman" w:hAnsi="Times New Roman" w:hint="eastAsia"/>
          <w:sz w:val="24"/>
          <w:szCs w:val="24"/>
        </w:rPr>
        <w:t>21</w:t>
      </w:r>
      <w:r w:rsidRPr="00146F4E">
        <w:rPr>
          <w:rFonts w:ascii="Times New Roman" w:hAnsi="Times New Roman" w:hint="eastAsia"/>
          <w:sz w:val="24"/>
          <w:szCs w:val="24"/>
        </w:rPr>
        <w:t>日发布《民生加银</w:t>
      </w:r>
      <w:r w:rsidR="00C47E54">
        <w:rPr>
          <w:rFonts w:ascii="Times New Roman" w:hAnsi="Times New Roman" w:hint="eastAsia"/>
          <w:sz w:val="24"/>
          <w:szCs w:val="24"/>
        </w:rPr>
        <w:t>新能源智选混合型</w:t>
      </w:r>
      <w:r w:rsidRPr="00146F4E">
        <w:rPr>
          <w:rFonts w:ascii="Times New Roman" w:hAnsi="Times New Roman" w:hint="eastAsia"/>
          <w:sz w:val="24"/>
          <w:szCs w:val="24"/>
        </w:rPr>
        <w:t>发起式证券投资基金暂停申购、转换转入和定期定额投资业务的公告》，自</w:t>
      </w:r>
      <w:r w:rsidRPr="00146F4E">
        <w:rPr>
          <w:rFonts w:ascii="Times New Roman" w:hAnsi="Times New Roman" w:hint="eastAsia"/>
          <w:sz w:val="24"/>
          <w:szCs w:val="24"/>
        </w:rPr>
        <w:t>202</w:t>
      </w:r>
      <w:r w:rsidR="00B538DB">
        <w:rPr>
          <w:rFonts w:ascii="Times New Roman" w:hAnsi="Times New Roman" w:hint="eastAsia"/>
          <w:sz w:val="24"/>
          <w:szCs w:val="24"/>
        </w:rPr>
        <w:t>4</w:t>
      </w:r>
      <w:r w:rsidRPr="00146F4E">
        <w:rPr>
          <w:rFonts w:ascii="Times New Roman" w:hAnsi="Times New Roman" w:hint="eastAsia"/>
          <w:sz w:val="24"/>
          <w:szCs w:val="24"/>
        </w:rPr>
        <w:t>年</w:t>
      </w:r>
      <w:r w:rsidR="00B538DB">
        <w:rPr>
          <w:rFonts w:ascii="Times New Roman" w:hAnsi="Times New Roman" w:hint="eastAsia"/>
          <w:sz w:val="24"/>
          <w:szCs w:val="24"/>
        </w:rPr>
        <w:t>9</w:t>
      </w:r>
      <w:r w:rsidRPr="00146F4E">
        <w:rPr>
          <w:rFonts w:ascii="Times New Roman" w:hAnsi="Times New Roman" w:hint="eastAsia"/>
          <w:sz w:val="24"/>
          <w:szCs w:val="24"/>
        </w:rPr>
        <w:t>月</w:t>
      </w:r>
      <w:r w:rsidR="0075235E">
        <w:rPr>
          <w:rFonts w:ascii="Times New Roman" w:hAnsi="Times New Roman" w:hint="eastAsia"/>
          <w:sz w:val="24"/>
          <w:szCs w:val="24"/>
        </w:rPr>
        <w:t>23</w:t>
      </w:r>
      <w:r w:rsidRPr="00146F4E">
        <w:rPr>
          <w:rFonts w:ascii="Times New Roman" w:hAnsi="Times New Roman" w:hint="eastAsia"/>
          <w:sz w:val="24"/>
          <w:szCs w:val="24"/>
        </w:rPr>
        <w:t>日起，暂停办理本基金的申购、转换转入和定期定额投资业务。</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进入清算程序后，本基金停止办理赎回、转换转出等业务，亦不再</w:t>
      </w:r>
      <w:r w:rsidR="00146315">
        <w:rPr>
          <w:rFonts w:ascii="Times New Roman" w:hAnsi="Times New Roman" w:hint="eastAsia"/>
          <w:sz w:val="24"/>
          <w:szCs w:val="24"/>
        </w:rPr>
        <w:t>恢复</w:t>
      </w:r>
      <w:r w:rsidRPr="00146F4E">
        <w:rPr>
          <w:rFonts w:ascii="Times New Roman" w:hAnsi="Times New Roman" w:hint="eastAsia"/>
          <w:sz w:val="24"/>
          <w:szCs w:val="24"/>
        </w:rPr>
        <w:t>开放办理申购、转换转入和定期定额投资等业务，基金财产将在清算完毕后进行分配。同时本基金进入清算程序后将停止收取基金管理费、</w:t>
      </w:r>
      <w:r w:rsidR="004F2A37">
        <w:rPr>
          <w:rFonts w:ascii="Times New Roman" w:hAnsi="Times New Roman" w:hint="eastAsia"/>
          <w:sz w:val="24"/>
          <w:szCs w:val="24"/>
        </w:rPr>
        <w:t>基金</w:t>
      </w:r>
      <w:r w:rsidRPr="00146F4E">
        <w:rPr>
          <w:rFonts w:ascii="Times New Roman" w:hAnsi="Times New Roman" w:hint="eastAsia"/>
          <w:sz w:val="24"/>
          <w:szCs w:val="24"/>
        </w:rPr>
        <w:t>托管费和销售服务费等。敬请投资者予以关注。</w:t>
      </w: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本公司承诺在清算过程中以诚实信用、勤勉尽责的原则履行相关职责。基金财产清算</w:t>
      </w:r>
      <w:r w:rsidR="00B555DA">
        <w:rPr>
          <w:rFonts w:ascii="Times New Roman" w:hAnsi="Times New Roman" w:hint="eastAsia"/>
          <w:sz w:val="24"/>
          <w:szCs w:val="24"/>
        </w:rPr>
        <w:t>报告</w:t>
      </w:r>
      <w:r w:rsidRPr="00146F4E">
        <w:rPr>
          <w:rFonts w:ascii="Times New Roman" w:hAnsi="Times New Roman" w:hint="eastAsia"/>
          <w:sz w:val="24"/>
          <w:szCs w:val="24"/>
        </w:rPr>
        <w:t>将在报中国证监会备案后公布，并将遵照法律法规、基金合同等规定及时进行分配，敬请投资者留意。</w:t>
      </w:r>
    </w:p>
    <w:p w:rsidR="00CD1E20" w:rsidRPr="00146F4E" w:rsidRDefault="000C5AC3">
      <w:pPr>
        <w:spacing w:line="360" w:lineRule="auto"/>
        <w:ind w:firstLineChars="200" w:firstLine="480"/>
        <w:rPr>
          <w:rFonts w:ascii="Times New Roman" w:hAnsi="Times New Roman"/>
          <w:sz w:val="24"/>
          <w:szCs w:val="24"/>
        </w:rPr>
      </w:pPr>
      <w:r w:rsidRPr="00146F4E">
        <w:rPr>
          <w:rFonts w:ascii="Times New Roman" w:hAnsi="Times New Roman" w:hint="eastAsia"/>
          <w:sz w:val="24"/>
          <w:szCs w:val="24"/>
        </w:rPr>
        <w:t>2</w:t>
      </w:r>
      <w:r w:rsidRPr="00146F4E">
        <w:rPr>
          <w:rFonts w:ascii="Times New Roman" w:hAnsi="Times New Roman" w:hint="eastAsia"/>
          <w:sz w:val="24"/>
          <w:szCs w:val="24"/>
        </w:rPr>
        <w:t>、如有疑问，投资者可以登录本公司网站（</w:t>
      </w:r>
      <w:r w:rsidRPr="00146F4E">
        <w:rPr>
          <w:rFonts w:ascii="Times New Roman" w:hAnsi="Times New Roman" w:hint="eastAsia"/>
          <w:sz w:val="24"/>
          <w:szCs w:val="24"/>
        </w:rPr>
        <w:t>www.msjyfund.com.cn</w:t>
      </w:r>
      <w:r w:rsidRPr="00146F4E">
        <w:rPr>
          <w:rFonts w:ascii="Times New Roman" w:hAnsi="Times New Roman" w:hint="eastAsia"/>
          <w:sz w:val="24"/>
          <w:szCs w:val="24"/>
        </w:rPr>
        <w:t>）或拨打客户服务电话</w:t>
      </w:r>
      <w:r w:rsidRPr="00146F4E">
        <w:rPr>
          <w:rFonts w:ascii="Times New Roman" w:hAnsi="Times New Roman" w:hint="eastAsia"/>
          <w:sz w:val="24"/>
          <w:szCs w:val="24"/>
        </w:rPr>
        <w:t>400-8888-388</w:t>
      </w:r>
      <w:r w:rsidRPr="00146F4E">
        <w:rPr>
          <w:rFonts w:ascii="Times New Roman" w:hAnsi="Times New Roman" w:hint="eastAsia"/>
          <w:sz w:val="24"/>
          <w:szCs w:val="24"/>
        </w:rPr>
        <w:t>咨询相关信息。</w:t>
      </w:r>
    </w:p>
    <w:p w:rsidR="00CD1E20" w:rsidRPr="00146F4E" w:rsidRDefault="00CD1E20">
      <w:pPr>
        <w:spacing w:line="360" w:lineRule="auto"/>
        <w:ind w:firstLineChars="201" w:firstLine="482"/>
        <w:rPr>
          <w:rFonts w:ascii="Times New Roman" w:hAnsi="Times New Roman"/>
          <w:sz w:val="24"/>
          <w:szCs w:val="24"/>
        </w:rPr>
      </w:pPr>
    </w:p>
    <w:p w:rsidR="00CD1E20" w:rsidRPr="00146F4E" w:rsidRDefault="000C5AC3">
      <w:pPr>
        <w:spacing w:line="360" w:lineRule="auto"/>
        <w:ind w:firstLineChars="201" w:firstLine="482"/>
        <w:rPr>
          <w:rFonts w:ascii="Times New Roman" w:hAnsi="Times New Roman"/>
          <w:sz w:val="24"/>
          <w:szCs w:val="24"/>
        </w:rPr>
      </w:pPr>
      <w:r w:rsidRPr="00146F4E">
        <w:rPr>
          <w:rFonts w:ascii="Times New Roman" w:hAnsi="Times New Roman" w:hint="eastAsia"/>
          <w:sz w:val="24"/>
          <w:szCs w:val="24"/>
        </w:rPr>
        <w:t>特此公告。</w:t>
      </w:r>
    </w:p>
    <w:p w:rsidR="00CD1E20" w:rsidRPr="00146F4E" w:rsidRDefault="00CD1E20">
      <w:pPr>
        <w:spacing w:line="360" w:lineRule="auto"/>
        <w:ind w:firstLineChars="201" w:firstLine="482"/>
        <w:rPr>
          <w:rFonts w:ascii="Times New Roman" w:hAnsi="Times New Roman"/>
          <w:sz w:val="24"/>
          <w:szCs w:val="24"/>
        </w:rPr>
      </w:pPr>
    </w:p>
    <w:p w:rsidR="00CD1E20" w:rsidRPr="00146F4E" w:rsidRDefault="000C5AC3">
      <w:pPr>
        <w:spacing w:line="360" w:lineRule="auto"/>
        <w:ind w:firstLineChars="201" w:firstLine="482"/>
        <w:jc w:val="right"/>
        <w:rPr>
          <w:rFonts w:ascii="Times New Roman" w:hAnsi="Times New Roman"/>
          <w:sz w:val="24"/>
          <w:szCs w:val="24"/>
        </w:rPr>
      </w:pPr>
      <w:r w:rsidRPr="00146F4E">
        <w:rPr>
          <w:rFonts w:ascii="Times New Roman" w:hAnsi="Times New Roman" w:hint="eastAsia"/>
          <w:sz w:val="24"/>
          <w:szCs w:val="24"/>
        </w:rPr>
        <w:t>民生加银基金管理有限公司</w:t>
      </w:r>
    </w:p>
    <w:p w:rsidR="00CD1E20" w:rsidRPr="00146F4E" w:rsidRDefault="00602D9F">
      <w:pPr>
        <w:spacing w:line="360" w:lineRule="auto"/>
        <w:ind w:firstLineChars="201" w:firstLine="482"/>
        <w:jc w:val="right"/>
        <w:rPr>
          <w:rFonts w:ascii="Times New Roman" w:hAnsi="Times New Roman"/>
          <w:sz w:val="24"/>
          <w:szCs w:val="24"/>
        </w:rPr>
      </w:pPr>
      <w:r>
        <w:rPr>
          <w:rFonts w:ascii="Times New Roman" w:hAnsi="Times New Roman" w:hint="eastAsia"/>
          <w:sz w:val="24"/>
          <w:szCs w:val="24"/>
        </w:rPr>
        <w:t>2024</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p w:rsidR="00CD1E20" w:rsidRPr="00146F4E" w:rsidRDefault="00CD1E20">
      <w:pPr>
        <w:spacing w:line="360" w:lineRule="auto"/>
        <w:ind w:firstLineChars="201" w:firstLine="482"/>
        <w:jc w:val="right"/>
        <w:rPr>
          <w:rFonts w:ascii="Times New Roman" w:hAnsi="Times New Roman"/>
          <w:sz w:val="24"/>
          <w:szCs w:val="24"/>
        </w:rPr>
      </w:pPr>
    </w:p>
    <w:sectPr w:rsidR="00CD1E20" w:rsidRPr="00146F4E" w:rsidSect="00110399">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1F7" w:rsidRDefault="002961F7">
      <w:r>
        <w:separator/>
      </w:r>
    </w:p>
  </w:endnote>
  <w:endnote w:type="continuationSeparator" w:id="0">
    <w:p w:rsidR="002961F7" w:rsidRDefault="00296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simsun">
    <w:panose1 w:val="00000000000000000000"/>
    <w:charset w:val="00"/>
    <w:family w:val="roman"/>
    <w:notTrueType/>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0002AFF" w:usb1="C0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360350"/>
      <w:docPartObj>
        <w:docPartGallery w:val="Page Numbers (Bottom of Page)"/>
        <w:docPartUnique/>
      </w:docPartObj>
    </w:sdtPr>
    <w:sdtContent>
      <w:p w:rsidR="00CD1E20" w:rsidRDefault="00110399">
        <w:pPr>
          <w:pStyle w:val="a4"/>
          <w:jc w:val="center"/>
        </w:pPr>
        <w:r>
          <w:fldChar w:fldCharType="begin"/>
        </w:r>
        <w:r w:rsidR="000C5AC3">
          <w:instrText>PAGE   \* MERGEFORMAT</w:instrText>
        </w:r>
        <w:r>
          <w:fldChar w:fldCharType="separate"/>
        </w:r>
        <w:r w:rsidR="003E2FCE" w:rsidRPr="003E2FCE">
          <w:rPr>
            <w:noProof/>
            <w:lang w:val="zh-CN"/>
          </w:rPr>
          <w:t>1</w:t>
        </w:r>
        <w:r>
          <w:fldChar w:fldCharType="end"/>
        </w:r>
      </w:p>
    </w:sdtContent>
  </w:sdt>
  <w:p w:rsidR="00CD1E20" w:rsidRDefault="00CD1E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1F7" w:rsidRDefault="002961F7">
      <w:r>
        <w:separator/>
      </w:r>
    </w:p>
  </w:footnote>
  <w:footnote w:type="continuationSeparator" w:id="0">
    <w:p w:rsidR="002961F7" w:rsidRDefault="00296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CD1E20"/>
    <w:rsid w:val="00035826"/>
    <w:rsid w:val="000B032B"/>
    <w:rsid w:val="000C5AC3"/>
    <w:rsid w:val="000D4C5B"/>
    <w:rsid w:val="00110399"/>
    <w:rsid w:val="00146315"/>
    <w:rsid w:val="00146F4E"/>
    <w:rsid w:val="001E29BB"/>
    <w:rsid w:val="00224834"/>
    <w:rsid w:val="002961F7"/>
    <w:rsid w:val="002E5EC5"/>
    <w:rsid w:val="002F47FE"/>
    <w:rsid w:val="0030351F"/>
    <w:rsid w:val="003E2FCE"/>
    <w:rsid w:val="004F2A37"/>
    <w:rsid w:val="005C1FF8"/>
    <w:rsid w:val="005D524D"/>
    <w:rsid w:val="006019DD"/>
    <w:rsid w:val="00602D9F"/>
    <w:rsid w:val="0062397E"/>
    <w:rsid w:val="006D018B"/>
    <w:rsid w:val="006D3E11"/>
    <w:rsid w:val="00711B42"/>
    <w:rsid w:val="0075235E"/>
    <w:rsid w:val="00891D94"/>
    <w:rsid w:val="008B4858"/>
    <w:rsid w:val="00984D3D"/>
    <w:rsid w:val="00AA39B3"/>
    <w:rsid w:val="00B538DB"/>
    <w:rsid w:val="00B555DA"/>
    <w:rsid w:val="00BE3A2D"/>
    <w:rsid w:val="00C01F01"/>
    <w:rsid w:val="00C15EED"/>
    <w:rsid w:val="00C47E54"/>
    <w:rsid w:val="00CD1E20"/>
    <w:rsid w:val="00CE44E6"/>
    <w:rsid w:val="00D02143"/>
    <w:rsid w:val="00D9357A"/>
    <w:rsid w:val="00DF0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0399"/>
    <w:pPr>
      <w:widowControl w:val="0"/>
      <w:jc w:val="both"/>
    </w:pPr>
    <w:rPr>
      <w:rFonts w:ascii="Calibri" w:hAnsi="Calibri" w:cs="Arial"/>
      <w:kern w:val="2"/>
      <w:sz w:val="21"/>
      <w:szCs w:val="22"/>
    </w:rPr>
  </w:style>
  <w:style w:type="paragraph" w:styleId="1">
    <w:name w:val="heading 1"/>
    <w:basedOn w:val="a"/>
    <w:next w:val="a"/>
    <w:rsid w:val="00110399"/>
    <w:pPr>
      <w:keepNext/>
      <w:keepLines/>
      <w:spacing w:before="340" w:after="330" w:line="578" w:lineRule="auto"/>
      <w:outlineLvl w:val="0"/>
    </w:pPr>
    <w:rPr>
      <w:b/>
      <w:bCs/>
      <w:kern w:val="44"/>
      <w:sz w:val="44"/>
    </w:rPr>
  </w:style>
  <w:style w:type="paragraph" w:styleId="2">
    <w:name w:val="heading 2"/>
    <w:basedOn w:val="a"/>
    <w:next w:val="a"/>
    <w:rsid w:val="00110399"/>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11039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0399"/>
    <w:pPr>
      <w:pBdr>
        <w:bottom w:val="single" w:sz="6" w:space="1" w:color="auto"/>
      </w:pBdr>
      <w:tabs>
        <w:tab w:val="center" w:pos="4153"/>
        <w:tab w:val="right" w:pos="8306"/>
      </w:tabs>
      <w:snapToGrid w:val="0"/>
      <w:jc w:val="center"/>
    </w:pPr>
    <w:rPr>
      <w:sz w:val="18"/>
      <w:szCs w:val="18"/>
    </w:rPr>
  </w:style>
  <w:style w:type="paragraph" w:styleId="a4">
    <w:name w:val="footer"/>
    <w:basedOn w:val="a"/>
    <w:rsid w:val="00110399"/>
    <w:pPr>
      <w:tabs>
        <w:tab w:val="center" w:pos="4153"/>
        <w:tab w:val="right" w:pos="8306"/>
      </w:tabs>
      <w:snapToGrid w:val="0"/>
      <w:jc w:val="left"/>
    </w:pPr>
    <w:rPr>
      <w:sz w:val="18"/>
      <w:szCs w:val="18"/>
    </w:rPr>
  </w:style>
  <w:style w:type="character" w:styleId="a5">
    <w:name w:val="annotation reference"/>
    <w:basedOn w:val="a0"/>
    <w:rsid w:val="00110399"/>
    <w:rPr>
      <w:sz w:val="21"/>
      <w:szCs w:val="21"/>
    </w:rPr>
  </w:style>
  <w:style w:type="paragraph" w:styleId="a6">
    <w:name w:val="annotation text"/>
    <w:basedOn w:val="a"/>
    <w:rsid w:val="00110399"/>
    <w:pPr>
      <w:jc w:val="left"/>
    </w:pPr>
  </w:style>
  <w:style w:type="paragraph" w:styleId="a7">
    <w:name w:val="annotation subject"/>
    <w:basedOn w:val="a6"/>
    <w:next w:val="a6"/>
    <w:rsid w:val="00110399"/>
    <w:rPr>
      <w:b/>
      <w:bCs/>
    </w:rPr>
  </w:style>
  <w:style w:type="paragraph" w:styleId="a8">
    <w:name w:val="Balloon Text"/>
    <w:basedOn w:val="a"/>
    <w:rsid w:val="00110399"/>
    <w:rPr>
      <w:sz w:val="18"/>
      <w:szCs w:val="18"/>
    </w:rPr>
  </w:style>
  <w:style w:type="paragraph" w:customStyle="1" w:styleId="10">
    <w:name w:val="修订1"/>
    <w:rsid w:val="00110399"/>
    <w:rPr>
      <w:rFonts w:ascii="Calibri" w:hAnsi="Calibri" w:cs="Arial"/>
      <w:kern w:val="2"/>
      <w:sz w:val="21"/>
      <w:szCs w:val="22"/>
    </w:rPr>
  </w:style>
  <w:style w:type="paragraph" w:customStyle="1" w:styleId="Default">
    <w:name w:val="Default"/>
    <w:rsid w:val="00110399"/>
    <w:pPr>
      <w:widowControl w:val="0"/>
      <w:autoSpaceDE w:val="0"/>
      <w:autoSpaceDN w:val="0"/>
      <w:adjustRightInd w:val="0"/>
    </w:pPr>
    <w:rPr>
      <w:rFonts w:ascii="simsun" w:hAnsi="simsun" w:cs="simsun"/>
      <w:color w:val="000000"/>
      <w:sz w:val="24"/>
      <w:szCs w:val="24"/>
    </w:rPr>
  </w:style>
  <w:style w:type="paragraph" w:styleId="11">
    <w:name w:val="toc 1"/>
    <w:basedOn w:val="a"/>
    <w:next w:val="a"/>
    <w:autoRedefine/>
    <w:rsid w:val="00110399"/>
  </w:style>
  <w:style w:type="paragraph" w:styleId="20">
    <w:name w:val="toc 2"/>
    <w:basedOn w:val="a"/>
    <w:next w:val="a"/>
    <w:autoRedefine/>
    <w:rsid w:val="00110399"/>
    <w:pPr>
      <w:ind w:left="420"/>
    </w:pPr>
  </w:style>
  <w:style w:type="paragraph" w:styleId="30">
    <w:name w:val="toc 3"/>
    <w:basedOn w:val="a"/>
    <w:next w:val="a"/>
    <w:autoRedefine/>
    <w:rsid w:val="00110399"/>
    <w:pPr>
      <w:ind w:left="840"/>
    </w:pPr>
  </w:style>
  <w:style w:type="paragraph" w:styleId="4">
    <w:name w:val="toc 4"/>
    <w:basedOn w:val="a"/>
    <w:next w:val="a"/>
    <w:autoRedefine/>
    <w:rsid w:val="00110399"/>
    <w:pPr>
      <w:ind w:left="1260"/>
    </w:pPr>
  </w:style>
  <w:style w:type="paragraph" w:styleId="5">
    <w:name w:val="toc 5"/>
    <w:basedOn w:val="a"/>
    <w:next w:val="a"/>
    <w:autoRedefine/>
    <w:rsid w:val="00110399"/>
    <w:pPr>
      <w:ind w:left="1680"/>
    </w:pPr>
  </w:style>
  <w:style w:type="paragraph" w:styleId="a9">
    <w:name w:val="List Paragraph"/>
    <w:basedOn w:val="a"/>
    <w:rsid w:val="00110399"/>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1812</Characters>
  <Application>Microsoft Office Word</Application>
  <DocSecurity>4</DocSecurity>
  <Lines>15</Lines>
  <Paragraphs>4</Paragraphs>
  <ScaleCrop>false</ScaleCrop>
  <Company>HFTFUND</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lywu</dc:creator>
  <cp:lastModifiedBy>ZHONGM</cp:lastModifiedBy>
  <cp:revision>2</cp:revision>
  <dcterms:created xsi:type="dcterms:W3CDTF">2024-09-29T16:01:00Z</dcterms:created>
  <dcterms:modified xsi:type="dcterms:W3CDTF">2024-09-29T16:01:00Z</dcterms:modified>
</cp:coreProperties>
</file>