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5" w:rsidRDefault="006F20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泰信基金管理有限公司</w:t>
      </w:r>
    </w:p>
    <w:p w:rsidR="00097EF5" w:rsidRDefault="006F20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关于旗下部分基金调整停牌股票估值方法的公告</w:t>
      </w:r>
    </w:p>
    <w:p w:rsidR="00097EF5" w:rsidRDefault="00097EF5">
      <w:pPr>
        <w:jc w:val="center"/>
        <w:rPr>
          <w:b/>
          <w:bCs/>
          <w:sz w:val="32"/>
          <w:szCs w:val="32"/>
        </w:rPr>
      </w:pPr>
    </w:p>
    <w:p w:rsidR="00097EF5" w:rsidRDefault="006F20B5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根据《中国证监会关于证券投资基金估值业务的指导意见》（证监会公告</w:t>
      </w:r>
      <w:r>
        <w:rPr>
          <w:rFonts w:hint="eastAsia"/>
          <w:sz w:val="28"/>
          <w:szCs w:val="36"/>
        </w:rPr>
        <w:t>[2017]13</w:t>
      </w:r>
      <w:r>
        <w:rPr>
          <w:rFonts w:hint="eastAsia"/>
          <w:sz w:val="28"/>
          <w:szCs w:val="36"/>
        </w:rPr>
        <w:t>号）的要求，经与托管行协商一致，为维护投资者利益，我公司决定自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26</w:t>
      </w:r>
      <w:r>
        <w:rPr>
          <w:rFonts w:hint="eastAsia"/>
          <w:sz w:val="28"/>
          <w:szCs w:val="36"/>
        </w:rPr>
        <w:t>日起对旗下部分基金持有的“</w:t>
      </w:r>
      <w:r w:rsidRPr="006F20B5">
        <w:rPr>
          <w:rFonts w:hint="eastAsia"/>
          <w:sz w:val="28"/>
          <w:szCs w:val="36"/>
        </w:rPr>
        <w:t>海通证券</w:t>
      </w:r>
      <w:r>
        <w:rPr>
          <w:rFonts w:hint="eastAsia"/>
          <w:sz w:val="28"/>
          <w:szCs w:val="36"/>
        </w:rPr>
        <w:t>”（股票代码：</w:t>
      </w:r>
      <w:r w:rsidRPr="006F20B5">
        <w:rPr>
          <w:sz w:val="28"/>
          <w:szCs w:val="36"/>
        </w:rPr>
        <w:t>600837</w:t>
      </w:r>
      <w:r>
        <w:rPr>
          <w:rFonts w:hint="eastAsia"/>
          <w:sz w:val="28"/>
          <w:szCs w:val="36"/>
        </w:rPr>
        <w:t>）采用指数收益法进行估值调整。待上述股票的交易体现出活跃市场交易特征后，将恢复为采用当日收盘价格进行估值，届时将不再另行公告。</w:t>
      </w:r>
    </w:p>
    <w:p w:rsidR="00097EF5" w:rsidRDefault="00097EF5">
      <w:pPr>
        <w:ind w:firstLineChars="200" w:firstLine="560"/>
        <w:rPr>
          <w:sz w:val="28"/>
          <w:szCs w:val="36"/>
        </w:rPr>
      </w:pPr>
    </w:p>
    <w:p w:rsidR="00097EF5" w:rsidRDefault="006F20B5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泰信基金管理有限公司</w:t>
      </w:r>
    </w:p>
    <w:p w:rsidR="00097EF5" w:rsidRDefault="006F20B5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27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 </w:t>
      </w:r>
    </w:p>
    <w:p w:rsidR="00097EF5" w:rsidRDefault="00097EF5"/>
    <w:sectPr w:rsidR="00097EF5" w:rsidSect="00D8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M4ZTkxZGE1OTMxYTdkZmIwYWY0ZTdmNmU2NDA0NWUifQ=="/>
  </w:docVars>
  <w:rsids>
    <w:rsidRoot w:val="00097EF5"/>
    <w:rsid w:val="00097EF5"/>
    <w:rsid w:val="00500E67"/>
    <w:rsid w:val="006F20B5"/>
    <w:rsid w:val="00D8626B"/>
    <w:rsid w:val="25037F84"/>
    <w:rsid w:val="3BAA2C84"/>
    <w:rsid w:val="549A4D20"/>
    <w:rsid w:val="59CC3FE9"/>
    <w:rsid w:val="6C9854C4"/>
    <w:rsid w:val="71E3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62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D8626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4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39319</dc:creator>
  <cp:lastModifiedBy>ZHONGM</cp:lastModifiedBy>
  <cp:revision>2</cp:revision>
  <dcterms:created xsi:type="dcterms:W3CDTF">2024-09-26T16:03:00Z</dcterms:created>
  <dcterms:modified xsi:type="dcterms:W3CDTF">2024-09-26T16:03:00Z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F8286CBE68034FC69E0CEE05278C20FA_12</vt:lpwstr>
  </property>
</Properties>
</file>