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B5" w:rsidRPr="004D4087" w:rsidRDefault="004D4087" w:rsidP="00FF4FD1">
      <w:pPr>
        <w:spacing w:line="300" w:lineRule="auto"/>
        <w:ind w:left="420" w:hanging="420"/>
        <w:jc w:val="center"/>
        <w:rPr>
          <w:b/>
          <w:sz w:val="24"/>
          <w:szCs w:val="24"/>
        </w:rPr>
      </w:pPr>
      <w:r w:rsidRPr="004D4087">
        <w:rPr>
          <w:rFonts w:hint="eastAsia"/>
          <w:b/>
          <w:sz w:val="24"/>
          <w:szCs w:val="24"/>
        </w:rPr>
        <w:t>恒越基金管理有限公司关于旗下</w:t>
      </w:r>
      <w:r w:rsidR="002F1DED">
        <w:rPr>
          <w:rFonts w:hint="eastAsia"/>
          <w:b/>
          <w:sz w:val="24"/>
          <w:szCs w:val="24"/>
        </w:rPr>
        <w:t>部分</w:t>
      </w:r>
      <w:r w:rsidRPr="004D4087">
        <w:rPr>
          <w:rFonts w:hint="eastAsia"/>
          <w:b/>
          <w:sz w:val="24"/>
          <w:szCs w:val="24"/>
        </w:rPr>
        <w:t>基金增加</w:t>
      </w:r>
      <w:r w:rsidR="008B51AC">
        <w:rPr>
          <w:rFonts w:hint="eastAsia"/>
          <w:b/>
          <w:sz w:val="24"/>
          <w:szCs w:val="24"/>
        </w:rPr>
        <w:t>国金证券股份有限公司</w:t>
      </w:r>
      <w:r w:rsidRPr="004D4087">
        <w:rPr>
          <w:rFonts w:hint="eastAsia"/>
          <w:b/>
          <w:sz w:val="24"/>
          <w:szCs w:val="24"/>
        </w:rPr>
        <w:t>为基金销售机构并</w:t>
      </w:r>
      <w:r w:rsidR="00301092">
        <w:rPr>
          <w:rFonts w:hint="eastAsia"/>
          <w:b/>
          <w:sz w:val="24"/>
          <w:szCs w:val="24"/>
        </w:rPr>
        <w:t>开通定投</w:t>
      </w:r>
      <w:r w:rsidR="002D78DF">
        <w:rPr>
          <w:rFonts w:hint="eastAsia"/>
          <w:b/>
          <w:sz w:val="24"/>
          <w:szCs w:val="24"/>
        </w:rPr>
        <w:t>和转换业务</w:t>
      </w:r>
      <w:r w:rsidR="00301092">
        <w:rPr>
          <w:rFonts w:hint="eastAsia"/>
          <w:b/>
          <w:sz w:val="24"/>
          <w:szCs w:val="24"/>
        </w:rPr>
        <w:t>及</w:t>
      </w:r>
      <w:r w:rsidR="002D78DF">
        <w:rPr>
          <w:rFonts w:hint="eastAsia"/>
          <w:b/>
          <w:sz w:val="24"/>
          <w:szCs w:val="24"/>
        </w:rPr>
        <w:t>参加其</w:t>
      </w:r>
      <w:r w:rsidRPr="004D4087">
        <w:rPr>
          <w:rFonts w:hint="eastAsia"/>
          <w:b/>
          <w:sz w:val="24"/>
          <w:szCs w:val="24"/>
        </w:rPr>
        <w:t>费率优惠活动的公告</w:t>
      </w:r>
    </w:p>
    <w:p w:rsidR="004D4087" w:rsidRPr="004D4087" w:rsidRDefault="004D4087" w:rsidP="00FF4FD1">
      <w:pPr>
        <w:pStyle w:val="a7"/>
        <w:spacing w:line="300" w:lineRule="auto"/>
        <w:ind w:left="420" w:hanging="420"/>
      </w:pPr>
    </w:p>
    <w:p w:rsidR="00C7207B" w:rsidRDefault="004D4087" w:rsidP="00124C04">
      <w:pPr>
        <w:pStyle w:val="a7"/>
        <w:spacing w:line="300" w:lineRule="auto"/>
        <w:ind w:firstLineChars="200" w:firstLine="420"/>
      </w:pPr>
      <w:r w:rsidRPr="004D4087">
        <w:rPr>
          <w:rFonts w:hint="eastAsia"/>
        </w:rPr>
        <w:t>根据恒越基金管理有限公司（以下简称</w:t>
      </w:r>
      <w:r w:rsidR="005F6962">
        <w:rPr>
          <w:rFonts w:hint="eastAsia"/>
        </w:rPr>
        <w:t>“</w:t>
      </w:r>
      <w:r w:rsidRPr="004D4087">
        <w:rPr>
          <w:rFonts w:hint="eastAsia"/>
        </w:rPr>
        <w:t>本公司</w:t>
      </w:r>
      <w:r w:rsidR="005F6962">
        <w:rPr>
          <w:rFonts w:hint="eastAsia"/>
        </w:rPr>
        <w:t>”</w:t>
      </w:r>
      <w:r w:rsidRPr="004D4087">
        <w:rPr>
          <w:rFonts w:hint="eastAsia"/>
        </w:rPr>
        <w:t>）与</w:t>
      </w:r>
      <w:r w:rsidR="008B51AC">
        <w:rPr>
          <w:rFonts w:hint="eastAsia"/>
        </w:rPr>
        <w:t>国金证券股份有限公司</w:t>
      </w:r>
      <w:r w:rsidRPr="004D4087">
        <w:rPr>
          <w:rFonts w:hint="eastAsia"/>
        </w:rPr>
        <w:t>（以下简称</w:t>
      </w:r>
      <w:r w:rsidR="00594767">
        <w:rPr>
          <w:rFonts w:hint="eastAsia"/>
        </w:rPr>
        <w:t>“</w:t>
      </w:r>
      <w:r w:rsidR="008B51AC">
        <w:rPr>
          <w:rFonts w:hint="eastAsia"/>
        </w:rPr>
        <w:t>国金证券</w:t>
      </w:r>
      <w:r>
        <w:rPr>
          <w:rFonts w:hint="eastAsia"/>
        </w:rPr>
        <w:t>”</w:t>
      </w:r>
      <w:r w:rsidRPr="004D4087">
        <w:rPr>
          <w:rFonts w:hint="eastAsia"/>
        </w:rPr>
        <w:t>）签署的基金销售协议，自</w:t>
      </w:r>
      <w:r w:rsidR="002F1DED">
        <w:t>2024</w:t>
      </w:r>
      <w:r w:rsidR="002F1DED">
        <w:t>年</w:t>
      </w:r>
      <w:r w:rsidR="002F1DED">
        <w:t>9</w:t>
      </w:r>
      <w:r w:rsidR="002F1DED">
        <w:t>月</w:t>
      </w:r>
      <w:r w:rsidR="002F1DED">
        <w:t>27</w:t>
      </w:r>
      <w:r w:rsidR="002F1DED">
        <w:t>日</w:t>
      </w:r>
      <w:r w:rsidRPr="006D03D7">
        <w:rPr>
          <w:rFonts w:asciiTheme="minorEastAsia" w:hAnsiTheme="minorEastAsia" w:hint="eastAsia"/>
        </w:rPr>
        <w:t>起，</w:t>
      </w:r>
      <w:r w:rsidRPr="004D4087">
        <w:rPr>
          <w:rFonts w:hint="eastAsia"/>
        </w:rPr>
        <w:t>本公司旗下</w:t>
      </w:r>
      <w:r w:rsidR="002D78DF">
        <w:rPr>
          <w:rFonts w:hint="eastAsia"/>
        </w:rPr>
        <w:t>基金</w:t>
      </w:r>
      <w:r w:rsidRPr="004D4087">
        <w:rPr>
          <w:rFonts w:hint="eastAsia"/>
        </w:rPr>
        <w:t>增加</w:t>
      </w:r>
      <w:r w:rsidR="008B51AC">
        <w:rPr>
          <w:rFonts w:hint="eastAsia"/>
        </w:rPr>
        <w:t>国金证券</w:t>
      </w:r>
      <w:r w:rsidRPr="004D4087">
        <w:rPr>
          <w:rFonts w:hint="eastAsia"/>
        </w:rPr>
        <w:t>为基金销售机构并</w:t>
      </w:r>
      <w:r w:rsidR="00C7207B">
        <w:rPr>
          <w:rFonts w:hint="eastAsia"/>
        </w:rPr>
        <w:t>开通定投</w:t>
      </w:r>
      <w:r w:rsidR="00124C04">
        <w:rPr>
          <w:rFonts w:hint="eastAsia"/>
        </w:rPr>
        <w:t>和转换业务</w:t>
      </w:r>
      <w:r w:rsidR="00C7207B">
        <w:rPr>
          <w:rFonts w:hint="eastAsia"/>
        </w:rPr>
        <w:t>以及</w:t>
      </w:r>
      <w:r w:rsidRPr="004D4087">
        <w:rPr>
          <w:rFonts w:hint="eastAsia"/>
        </w:rPr>
        <w:t>参加</w:t>
      </w:r>
      <w:r w:rsidR="00C7207B">
        <w:rPr>
          <w:rFonts w:hint="eastAsia"/>
        </w:rPr>
        <w:t>其</w:t>
      </w:r>
      <w:r w:rsidRPr="004D4087">
        <w:rPr>
          <w:rFonts w:hint="eastAsia"/>
        </w:rPr>
        <w:t>费率优惠活动。</w:t>
      </w:r>
    </w:p>
    <w:p w:rsidR="00A1259A" w:rsidRPr="008E4927" w:rsidRDefault="00A1259A" w:rsidP="00A1259A">
      <w:pPr>
        <w:pStyle w:val="a7"/>
        <w:spacing w:line="300" w:lineRule="auto"/>
      </w:pPr>
    </w:p>
    <w:p w:rsidR="004D4087" w:rsidRPr="004D4087" w:rsidRDefault="004D4087" w:rsidP="00A1259A">
      <w:pPr>
        <w:pStyle w:val="a7"/>
        <w:spacing w:line="300" w:lineRule="auto"/>
        <w:ind w:firstLineChars="200" w:firstLine="420"/>
      </w:pPr>
      <w:r w:rsidRPr="004D4087">
        <w:rPr>
          <w:rFonts w:hint="eastAsia"/>
        </w:rPr>
        <w:t>现将具体事项公告如下：</w:t>
      </w:r>
    </w:p>
    <w:p w:rsidR="00A1259A" w:rsidRDefault="00124C04" w:rsidP="00124C04">
      <w:pPr>
        <w:pStyle w:val="a7"/>
        <w:spacing w:line="300" w:lineRule="auto"/>
        <w:ind w:firstLineChars="200" w:firstLine="420"/>
      </w:pPr>
      <w:r>
        <w:rPr>
          <w:rFonts w:hint="eastAsia"/>
        </w:rPr>
        <w:t>一、</w:t>
      </w:r>
      <w:r w:rsidRPr="00124C04">
        <w:rPr>
          <w:rFonts w:hint="eastAsia"/>
        </w:rPr>
        <w:t>适用基金及业务范围</w:t>
      </w:r>
      <w:r w:rsidR="009D09EC">
        <w:rPr>
          <w:rFonts w:hint="eastAsia"/>
        </w:rPr>
        <w:t>（定投、转换、费率优惠）</w:t>
      </w:r>
    </w:p>
    <w:tbl>
      <w:tblPr>
        <w:tblStyle w:val="aa"/>
        <w:tblW w:w="9873" w:type="dxa"/>
        <w:tblInd w:w="-693" w:type="dxa"/>
        <w:tblLook w:val="04A0"/>
      </w:tblPr>
      <w:tblGrid>
        <w:gridCol w:w="647"/>
        <w:gridCol w:w="1951"/>
        <w:gridCol w:w="4015"/>
        <w:gridCol w:w="1088"/>
        <w:gridCol w:w="992"/>
        <w:gridCol w:w="1180"/>
      </w:tblGrid>
      <w:tr w:rsidR="00124C04" w:rsidTr="00736C84">
        <w:tc>
          <w:tcPr>
            <w:tcW w:w="647" w:type="dxa"/>
            <w:vAlign w:val="center"/>
          </w:tcPr>
          <w:p w:rsidR="00124C04" w:rsidRDefault="00124C04" w:rsidP="00124C04">
            <w:pPr>
              <w:pStyle w:val="a7"/>
              <w:spacing w:line="300" w:lineRule="auto"/>
              <w:jc w:val="center"/>
            </w:pPr>
            <w:r>
              <w:rPr>
                <w:rFonts w:hint="eastAsia"/>
              </w:rPr>
              <w:t>序号</w:t>
            </w:r>
          </w:p>
        </w:tc>
        <w:tc>
          <w:tcPr>
            <w:tcW w:w="1951" w:type="dxa"/>
            <w:vAlign w:val="center"/>
          </w:tcPr>
          <w:p w:rsidR="00124C04" w:rsidRDefault="00124C04" w:rsidP="00124C04">
            <w:pPr>
              <w:pStyle w:val="a7"/>
              <w:spacing w:line="300" w:lineRule="auto"/>
              <w:jc w:val="center"/>
            </w:pPr>
            <w:r>
              <w:rPr>
                <w:rFonts w:hint="eastAsia"/>
              </w:rPr>
              <w:t>基金代码</w:t>
            </w:r>
          </w:p>
        </w:tc>
        <w:tc>
          <w:tcPr>
            <w:tcW w:w="4015" w:type="dxa"/>
            <w:vAlign w:val="center"/>
          </w:tcPr>
          <w:p w:rsidR="00124C04" w:rsidRDefault="00124C04" w:rsidP="00124C04">
            <w:pPr>
              <w:pStyle w:val="a7"/>
              <w:spacing w:line="300" w:lineRule="auto"/>
              <w:jc w:val="center"/>
            </w:pPr>
            <w:r>
              <w:rPr>
                <w:rFonts w:hint="eastAsia"/>
              </w:rPr>
              <w:t>基金名称</w:t>
            </w:r>
          </w:p>
        </w:tc>
        <w:tc>
          <w:tcPr>
            <w:tcW w:w="1088" w:type="dxa"/>
            <w:vAlign w:val="center"/>
          </w:tcPr>
          <w:p w:rsidR="00124C04" w:rsidRDefault="00124C04" w:rsidP="00124C04">
            <w:pPr>
              <w:pStyle w:val="a7"/>
              <w:spacing w:line="300" w:lineRule="auto"/>
              <w:jc w:val="center"/>
            </w:pPr>
            <w:r w:rsidRPr="00124C04">
              <w:rPr>
                <w:rFonts w:hint="eastAsia"/>
              </w:rPr>
              <w:t>是否开通定投申购</w:t>
            </w:r>
          </w:p>
        </w:tc>
        <w:tc>
          <w:tcPr>
            <w:tcW w:w="992" w:type="dxa"/>
            <w:vAlign w:val="center"/>
          </w:tcPr>
          <w:p w:rsidR="00124C04" w:rsidRDefault="00124C04" w:rsidP="00124C04">
            <w:pPr>
              <w:pStyle w:val="a7"/>
              <w:spacing w:line="300" w:lineRule="auto"/>
              <w:jc w:val="center"/>
            </w:pPr>
            <w:r w:rsidRPr="00124C04">
              <w:rPr>
                <w:rFonts w:hint="eastAsia"/>
              </w:rPr>
              <w:t>是否开通转换</w:t>
            </w:r>
          </w:p>
        </w:tc>
        <w:tc>
          <w:tcPr>
            <w:tcW w:w="1180" w:type="dxa"/>
            <w:vAlign w:val="center"/>
          </w:tcPr>
          <w:p w:rsidR="00124C04" w:rsidRDefault="00124C04" w:rsidP="00124C04">
            <w:pPr>
              <w:pStyle w:val="a7"/>
              <w:spacing w:line="300" w:lineRule="auto"/>
              <w:jc w:val="center"/>
            </w:pPr>
            <w:r>
              <w:rPr>
                <w:rFonts w:hint="eastAsia"/>
              </w:rPr>
              <w:t>是否参加费率优惠</w:t>
            </w:r>
          </w:p>
        </w:tc>
      </w:tr>
      <w:tr w:rsidR="00124C04" w:rsidTr="00736C84">
        <w:tc>
          <w:tcPr>
            <w:tcW w:w="647" w:type="dxa"/>
            <w:vMerge w:val="restart"/>
            <w:vAlign w:val="center"/>
          </w:tcPr>
          <w:p w:rsidR="00124C04" w:rsidRPr="00D46BDE" w:rsidRDefault="00124C04" w:rsidP="00124C04">
            <w:pPr>
              <w:widowControl/>
              <w:spacing w:line="360" w:lineRule="auto"/>
              <w:jc w:val="center"/>
              <w:outlineLvl w:val="1"/>
              <w:rPr>
                <w:rFonts w:ascii="Arial" w:hAnsi="Arial"/>
                <w:szCs w:val="21"/>
              </w:rPr>
            </w:pPr>
            <w:r>
              <w:rPr>
                <w:rFonts w:ascii="Arial" w:hAnsi="Arial" w:hint="eastAsia"/>
                <w:szCs w:val="21"/>
              </w:rPr>
              <w:t>1</w:t>
            </w:r>
          </w:p>
        </w:tc>
        <w:tc>
          <w:tcPr>
            <w:tcW w:w="1951" w:type="dxa"/>
            <w:vAlign w:val="center"/>
          </w:tcPr>
          <w:p w:rsidR="00124C04" w:rsidRPr="00D46BDE" w:rsidRDefault="00124C04" w:rsidP="00124C04">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w:t>
            </w:r>
            <w:r w:rsidR="002F1DED">
              <w:rPr>
                <w:rFonts w:ascii="Arial" w:hAnsi="Arial" w:hint="eastAsia"/>
                <w:szCs w:val="21"/>
              </w:rPr>
              <w:t>16912</w:t>
            </w:r>
          </w:p>
        </w:tc>
        <w:tc>
          <w:tcPr>
            <w:tcW w:w="4015" w:type="dxa"/>
            <w:vMerge w:val="restart"/>
            <w:vAlign w:val="center"/>
          </w:tcPr>
          <w:p w:rsidR="00124C04" w:rsidRDefault="00124C04" w:rsidP="00124C04">
            <w:pPr>
              <w:pStyle w:val="a7"/>
              <w:spacing w:line="300" w:lineRule="auto"/>
              <w:jc w:val="center"/>
            </w:pPr>
            <w:r w:rsidRPr="00D46BDE">
              <w:rPr>
                <w:rFonts w:ascii="Arial" w:hAnsi="Arial" w:hint="eastAsia"/>
                <w:szCs w:val="21"/>
              </w:rPr>
              <w:t>恒越</w:t>
            </w:r>
            <w:r w:rsidR="002F1DED">
              <w:rPr>
                <w:rFonts w:ascii="Arial" w:hAnsi="Arial" w:hint="eastAsia"/>
                <w:szCs w:val="21"/>
              </w:rPr>
              <w:t>均衡优选混合型发起式证券投资基金</w:t>
            </w:r>
          </w:p>
        </w:tc>
        <w:tc>
          <w:tcPr>
            <w:tcW w:w="1088" w:type="dxa"/>
            <w:vAlign w:val="center"/>
          </w:tcPr>
          <w:p w:rsidR="00124C04" w:rsidRDefault="00124C04" w:rsidP="00124C04">
            <w:pPr>
              <w:pStyle w:val="a7"/>
              <w:spacing w:line="300" w:lineRule="auto"/>
              <w:jc w:val="center"/>
            </w:pPr>
            <w:r>
              <w:rPr>
                <w:rFonts w:hint="eastAsia"/>
              </w:rPr>
              <w:t>是</w:t>
            </w:r>
          </w:p>
        </w:tc>
        <w:tc>
          <w:tcPr>
            <w:tcW w:w="992" w:type="dxa"/>
            <w:vAlign w:val="center"/>
          </w:tcPr>
          <w:p w:rsidR="00124C04" w:rsidRDefault="00124C04" w:rsidP="00124C04">
            <w:pPr>
              <w:pStyle w:val="a7"/>
              <w:spacing w:line="300" w:lineRule="auto"/>
              <w:jc w:val="center"/>
            </w:pPr>
            <w:r>
              <w:rPr>
                <w:rFonts w:hint="eastAsia"/>
              </w:rPr>
              <w:t>是</w:t>
            </w:r>
          </w:p>
        </w:tc>
        <w:tc>
          <w:tcPr>
            <w:tcW w:w="1180" w:type="dxa"/>
            <w:vAlign w:val="center"/>
          </w:tcPr>
          <w:p w:rsidR="00124C04" w:rsidRDefault="002F1DED" w:rsidP="00124C04">
            <w:pPr>
              <w:pStyle w:val="a7"/>
              <w:spacing w:line="300" w:lineRule="auto"/>
              <w:jc w:val="center"/>
            </w:pPr>
            <w:r>
              <w:rPr>
                <w:rFonts w:hint="eastAsia"/>
              </w:rPr>
              <w:t>否</w:t>
            </w:r>
          </w:p>
        </w:tc>
      </w:tr>
      <w:tr w:rsidR="006E68C3" w:rsidTr="00736C8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w:t>
            </w:r>
            <w:r w:rsidR="002F1DED">
              <w:rPr>
                <w:rFonts w:ascii="Arial" w:hAnsi="Arial" w:hint="eastAsia"/>
                <w:szCs w:val="21"/>
              </w:rPr>
              <w:t>16913</w:t>
            </w:r>
          </w:p>
        </w:tc>
        <w:tc>
          <w:tcPr>
            <w:tcW w:w="4015" w:type="dxa"/>
            <w:vMerge/>
            <w:vAlign w:val="center"/>
          </w:tcPr>
          <w:p w:rsidR="006E68C3" w:rsidRDefault="006E68C3" w:rsidP="006E68C3">
            <w:pPr>
              <w:pStyle w:val="a7"/>
              <w:spacing w:line="300" w:lineRule="auto"/>
              <w:jc w:val="center"/>
            </w:pPr>
          </w:p>
        </w:tc>
        <w:tc>
          <w:tcPr>
            <w:tcW w:w="1088" w:type="dxa"/>
            <w:vAlign w:val="center"/>
          </w:tcPr>
          <w:p w:rsidR="006E68C3" w:rsidRDefault="006E68C3" w:rsidP="006E68C3">
            <w:pPr>
              <w:pStyle w:val="a7"/>
              <w:spacing w:line="300" w:lineRule="auto"/>
              <w:jc w:val="center"/>
            </w:pPr>
            <w:r>
              <w:rPr>
                <w:rFonts w:hint="eastAsia"/>
              </w:rPr>
              <w:t>是</w:t>
            </w:r>
          </w:p>
        </w:tc>
        <w:tc>
          <w:tcPr>
            <w:tcW w:w="992" w:type="dxa"/>
            <w:vAlign w:val="center"/>
          </w:tcPr>
          <w:p w:rsidR="006E68C3" w:rsidRDefault="006E68C3" w:rsidP="006E68C3">
            <w:pPr>
              <w:pStyle w:val="a7"/>
              <w:spacing w:line="300" w:lineRule="auto"/>
              <w:jc w:val="center"/>
            </w:pPr>
            <w:r>
              <w:rPr>
                <w:rFonts w:hint="eastAsia"/>
              </w:rPr>
              <w:t>是</w:t>
            </w:r>
          </w:p>
        </w:tc>
        <w:tc>
          <w:tcPr>
            <w:tcW w:w="1180" w:type="dxa"/>
            <w:vAlign w:val="center"/>
          </w:tcPr>
          <w:p w:rsidR="006E68C3" w:rsidRDefault="006E68C3" w:rsidP="006E68C3">
            <w:pPr>
              <w:pStyle w:val="a7"/>
              <w:spacing w:line="300" w:lineRule="auto"/>
              <w:jc w:val="center"/>
            </w:pPr>
            <w:r>
              <w:rPr>
                <w:rFonts w:hint="eastAsia"/>
              </w:rPr>
              <w:t>否</w:t>
            </w:r>
          </w:p>
        </w:tc>
      </w:tr>
    </w:tbl>
    <w:p w:rsidR="00EE0CAA" w:rsidRPr="00EE0CAA" w:rsidRDefault="00EE0CAA" w:rsidP="00EE0CAA">
      <w:pPr>
        <w:pStyle w:val="a7"/>
        <w:spacing w:line="300" w:lineRule="auto"/>
        <w:rPr>
          <w:rFonts w:ascii="宋体" w:eastAsia="宋体" w:hAnsi="宋体" w:cs="宋体"/>
          <w:color w:val="000000"/>
          <w:szCs w:val="21"/>
        </w:rPr>
      </w:pPr>
    </w:p>
    <w:p w:rsidR="009D09EC" w:rsidRPr="00124C04" w:rsidRDefault="009D09EC" w:rsidP="009D09EC">
      <w:pPr>
        <w:pStyle w:val="a7"/>
        <w:spacing w:line="300" w:lineRule="auto"/>
        <w:ind w:firstLineChars="200" w:firstLine="420"/>
      </w:pPr>
      <w:r w:rsidRPr="00A1259A">
        <w:rPr>
          <w:rFonts w:ascii="宋体" w:eastAsia="宋体" w:hAnsi="宋体" w:cs="宋体" w:hint="eastAsia"/>
          <w:color w:val="000000"/>
          <w:szCs w:val="21"/>
        </w:rPr>
        <w:t>二、</w:t>
      </w:r>
      <w:r>
        <w:rPr>
          <w:rFonts w:ascii="宋体" w:eastAsia="宋体" w:hAnsi="宋体" w:cs="宋体" w:hint="eastAsia"/>
          <w:color w:val="000000"/>
          <w:szCs w:val="21"/>
        </w:rPr>
        <w:t>相关</w:t>
      </w:r>
      <w:r w:rsidRPr="00A1259A">
        <w:rPr>
          <w:rFonts w:ascii="宋体" w:eastAsia="宋体" w:hAnsi="宋体" w:cs="宋体" w:hint="eastAsia"/>
          <w:color w:val="000000"/>
          <w:szCs w:val="21"/>
        </w:rPr>
        <w:t>业务的办理时间</w:t>
      </w:r>
    </w:p>
    <w:p w:rsidR="009D09EC" w:rsidRPr="00EE0CAA" w:rsidRDefault="009D09EC" w:rsidP="009D09EC">
      <w:pPr>
        <w:pStyle w:val="a7"/>
        <w:spacing w:line="300" w:lineRule="auto"/>
        <w:ind w:firstLineChars="200" w:firstLine="420"/>
        <w:rPr>
          <w:szCs w:val="21"/>
        </w:rPr>
      </w:pPr>
      <w:r w:rsidRPr="006D03D7">
        <w:rPr>
          <w:rFonts w:asciiTheme="minorEastAsia" w:hAnsiTheme="minorEastAsia" w:hint="eastAsia"/>
        </w:rPr>
        <w:t>自</w:t>
      </w:r>
      <w:r w:rsidR="002F1DED">
        <w:rPr>
          <w:rFonts w:hint="eastAsia"/>
        </w:rPr>
        <w:t>2024</w:t>
      </w:r>
      <w:r w:rsidR="002F1DED">
        <w:rPr>
          <w:rFonts w:hint="eastAsia"/>
        </w:rPr>
        <w:t>年</w:t>
      </w:r>
      <w:r w:rsidR="002F1DED">
        <w:rPr>
          <w:rFonts w:hint="eastAsia"/>
        </w:rPr>
        <w:t>9</w:t>
      </w:r>
      <w:r w:rsidR="002F1DED">
        <w:rPr>
          <w:rFonts w:hint="eastAsia"/>
        </w:rPr>
        <w:t>月</w:t>
      </w:r>
      <w:r w:rsidR="002F1DED">
        <w:rPr>
          <w:rFonts w:hint="eastAsia"/>
        </w:rPr>
        <w:t>27</w:t>
      </w:r>
      <w:r w:rsidR="002F1DED">
        <w:rPr>
          <w:rFonts w:hint="eastAsia"/>
        </w:rPr>
        <w:t>日</w:t>
      </w:r>
      <w:r w:rsidRPr="006D03D7">
        <w:rPr>
          <w:rFonts w:asciiTheme="minorEastAsia" w:hAnsiTheme="minorEastAsia" w:hint="eastAsia"/>
        </w:rPr>
        <w:t>起，</w:t>
      </w:r>
      <w:r w:rsidRPr="006D03D7">
        <w:rPr>
          <w:rFonts w:asciiTheme="minorEastAsia" w:hAnsiTheme="minorEastAsia" w:cs="宋体" w:hint="eastAsia"/>
          <w:color w:val="000000"/>
          <w:kern w:val="0"/>
          <w:szCs w:val="21"/>
        </w:rPr>
        <w:t>投资者可通</w:t>
      </w:r>
      <w:r w:rsidRPr="00A1259A">
        <w:rPr>
          <w:rFonts w:ascii="宋体" w:eastAsia="宋体" w:hAnsi="宋体" w:cs="宋体" w:hint="eastAsia"/>
          <w:color w:val="000000"/>
          <w:kern w:val="0"/>
          <w:szCs w:val="21"/>
        </w:rPr>
        <w:t>过</w:t>
      </w:r>
      <w:r w:rsidR="008B51AC">
        <w:rPr>
          <w:rFonts w:ascii="宋体" w:eastAsia="宋体" w:hAnsi="宋体" w:cs="宋体" w:hint="eastAsia"/>
          <w:color w:val="000000"/>
          <w:kern w:val="0"/>
          <w:szCs w:val="21"/>
        </w:rPr>
        <w:t>国金证券</w:t>
      </w:r>
      <w:r w:rsidRPr="00A1259A">
        <w:rPr>
          <w:rFonts w:ascii="宋体" w:eastAsia="宋体" w:hAnsi="宋体" w:cs="宋体" w:hint="eastAsia"/>
          <w:color w:val="000000"/>
          <w:kern w:val="0"/>
          <w:szCs w:val="21"/>
        </w:rPr>
        <w:t>办理</w:t>
      </w:r>
      <w:r w:rsidRPr="004B7A17">
        <w:rPr>
          <w:rFonts w:ascii="宋体" w:eastAsia="宋体" w:hAnsi="宋体" w:cs="宋体" w:hint="eastAsia"/>
          <w:color w:val="000000"/>
          <w:kern w:val="0"/>
          <w:szCs w:val="21"/>
        </w:rPr>
        <w:t>上述列表中</w:t>
      </w:r>
      <w:r>
        <w:rPr>
          <w:rFonts w:ascii="宋体" w:eastAsia="宋体" w:hAnsi="宋体" w:cs="宋体" w:hint="eastAsia"/>
          <w:color w:val="000000"/>
          <w:kern w:val="0"/>
          <w:szCs w:val="21"/>
        </w:rPr>
        <w:t>处于开放日的</w:t>
      </w:r>
      <w:r w:rsidRPr="004B7A17">
        <w:rPr>
          <w:rFonts w:ascii="宋体" w:eastAsia="宋体" w:hAnsi="宋体" w:cs="宋体" w:hint="eastAsia"/>
          <w:color w:val="000000"/>
          <w:kern w:val="0"/>
          <w:szCs w:val="21"/>
        </w:rPr>
        <w:t>对应基金</w:t>
      </w:r>
      <w:r w:rsidRPr="00A1259A">
        <w:rPr>
          <w:rFonts w:ascii="宋体" w:eastAsia="宋体" w:hAnsi="宋体" w:cs="宋体" w:hint="eastAsia"/>
          <w:color w:val="000000"/>
          <w:kern w:val="0"/>
          <w:szCs w:val="21"/>
        </w:rPr>
        <w:t>的开户、申购、赎回、定投</w:t>
      </w:r>
      <w:r>
        <w:rPr>
          <w:rFonts w:ascii="宋体" w:eastAsia="宋体" w:hAnsi="宋体" w:cs="宋体" w:hint="eastAsia"/>
          <w:color w:val="000000"/>
          <w:kern w:val="0"/>
          <w:szCs w:val="21"/>
        </w:rPr>
        <w:t>、转换</w:t>
      </w:r>
      <w:r w:rsidRPr="00A1259A">
        <w:rPr>
          <w:rFonts w:ascii="宋体" w:eastAsia="宋体" w:hAnsi="宋体" w:cs="宋体" w:hint="eastAsia"/>
          <w:color w:val="000000"/>
          <w:kern w:val="0"/>
          <w:szCs w:val="21"/>
        </w:rPr>
        <w:t>等业务。</w:t>
      </w:r>
      <w:r>
        <w:t>开放日为上海证券交易所、深圳证券交易所的交易日，具体办理时间为上海证券交易所、深圳证券交易所正常交易日的交易时间（本公司公告暂停申购、赎回时除外）。</w:t>
      </w:r>
    </w:p>
    <w:p w:rsidR="009D09EC" w:rsidRDefault="009D09EC" w:rsidP="009D09EC">
      <w:pPr>
        <w:pStyle w:val="a7"/>
        <w:spacing w:line="300" w:lineRule="auto"/>
        <w:ind w:firstLineChars="200" w:firstLine="420"/>
      </w:pPr>
      <w:r>
        <w:t>由于基金销售机构系统及业务安排等原因，</w:t>
      </w:r>
      <w:r>
        <w:rPr>
          <w:rFonts w:hint="eastAsia"/>
        </w:rPr>
        <w:t>开展</w:t>
      </w:r>
      <w:r w:rsidR="00816DF8">
        <w:rPr>
          <w:rFonts w:hint="eastAsia"/>
        </w:rPr>
        <w:t>上述业务</w:t>
      </w:r>
      <w:r>
        <w:rPr>
          <w:rFonts w:hint="eastAsia"/>
        </w:rPr>
        <w:t>的时间</w:t>
      </w:r>
      <w:r>
        <w:t>可能有所不同，投资者应参照</w:t>
      </w:r>
      <w:r w:rsidR="008B51AC">
        <w:rPr>
          <w:rFonts w:hint="eastAsia"/>
        </w:rPr>
        <w:t>国金证券</w:t>
      </w:r>
      <w:r>
        <w:t>的具体规定。</w:t>
      </w:r>
    </w:p>
    <w:p w:rsidR="006E68C3" w:rsidRDefault="006E68C3"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宋体" w:eastAsia="宋体" w:hAnsi="宋体" w:cs="宋体"/>
          <w:color w:val="000000"/>
          <w:szCs w:val="21"/>
        </w:rPr>
      </w:pPr>
      <w:r w:rsidRPr="006103F3">
        <w:rPr>
          <w:rFonts w:ascii="宋体" w:eastAsia="宋体" w:hAnsi="宋体" w:cs="宋体" w:hint="eastAsia"/>
          <w:color w:val="000000"/>
          <w:szCs w:val="21"/>
        </w:rPr>
        <w:t>三、</w:t>
      </w:r>
      <w:r>
        <w:rPr>
          <w:rFonts w:ascii="宋体" w:eastAsia="宋体" w:hAnsi="宋体" w:cs="宋体" w:hint="eastAsia"/>
          <w:color w:val="000000"/>
          <w:szCs w:val="21"/>
        </w:rPr>
        <w:t>费率</w:t>
      </w:r>
      <w:r w:rsidRPr="006103F3">
        <w:rPr>
          <w:rFonts w:ascii="宋体" w:eastAsia="宋体" w:hAnsi="宋体" w:cs="宋体" w:hint="eastAsia"/>
          <w:color w:val="000000"/>
          <w:szCs w:val="21"/>
        </w:rPr>
        <w:t>优惠</w:t>
      </w:r>
      <w:r>
        <w:rPr>
          <w:rFonts w:ascii="宋体" w:eastAsia="宋体" w:hAnsi="宋体" w:cs="宋体" w:hint="eastAsia"/>
          <w:color w:val="000000"/>
          <w:szCs w:val="21"/>
        </w:rPr>
        <w:t>活动内容</w:t>
      </w:r>
    </w:p>
    <w:p w:rsidR="009D09EC" w:rsidRDefault="00736C84" w:rsidP="009D09EC">
      <w:pPr>
        <w:pStyle w:val="a7"/>
        <w:spacing w:line="300" w:lineRule="auto"/>
        <w:ind w:firstLineChars="200" w:firstLine="420"/>
        <w:rPr>
          <w:rFonts w:asciiTheme="minorEastAsia" w:hAnsiTheme="minorEastAsia"/>
        </w:rPr>
      </w:pPr>
      <w:r w:rsidRPr="00736C84">
        <w:rPr>
          <w:rFonts w:asciiTheme="minorEastAsia" w:hAnsiTheme="minorEastAsia" w:hint="eastAsia"/>
        </w:rPr>
        <w:t>上述基金参与费率优惠活动的，费率优惠仅适用于在</w:t>
      </w:r>
      <w:r w:rsidR="008B51AC">
        <w:rPr>
          <w:rFonts w:asciiTheme="minorEastAsia" w:hAnsiTheme="minorEastAsia" w:hint="eastAsia"/>
        </w:rPr>
        <w:t>国金证券</w:t>
      </w:r>
      <w:r w:rsidRPr="00736C84">
        <w:rPr>
          <w:rFonts w:asciiTheme="minorEastAsia" w:hAnsiTheme="minorEastAsia" w:hint="eastAsia"/>
        </w:rPr>
        <w:t>处于正常申购期的采用前端收费模式的申购手续费（含定投申购费），不包括单笔固定费用、基金赎回、转换业务等其他业务的手续费。基金原费率请详见基金合同、招募说明书（更新）等法律文件，以及本公司发布的最新业务公告。费率优惠的解释权归</w:t>
      </w:r>
      <w:r w:rsidR="008B51AC">
        <w:rPr>
          <w:rFonts w:asciiTheme="minorEastAsia" w:hAnsiTheme="minorEastAsia" w:hint="eastAsia"/>
        </w:rPr>
        <w:t>国金证券</w:t>
      </w:r>
      <w:r w:rsidRPr="00736C84">
        <w:rPr>
          <w:rFonts w:asciiTheme="minorEastAsia" w:hAnsiTheme="minorEastAsia" w:hint="eastAsia"/>
        </w:rPr>
        <w:t>所有，有关费率优惠的具体规定如有变化，敬请投资者留意</w:t>
      </w:r>
      <w:r w:rsidR="008B51AC">
        <w:rPr>
          <w:rFonts w:asciiTheme="minorEastAsia" w:hAnsiTheme="minorEastAsia" w:hint="eastAsia"/>
        </w:rPr>
        <w:t>国金证券</w:t>
      </w:r>
      <w:r w:rsidRPr="00736C84">
        <w:rPr>
          <w:rFonts w:asciiTheme="minorEastAsia" w:hAnsiTheme="minorEastAsia" w:hint="eastAsia"/>
        </w:rPr>
        <w:t>的有关规定。</w:t>
      </w:r>
    </w:p>
    <w:p w:rsidR="00736C84" w:rsidRPr="00E31A39" w:rsidRDefault="00736C84"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Theme="minorEastAsia" w:hAnsiTheme="minorEastAsia"/>
        </w:rPr>
      </w:pPr>
      <w:r w:rsidRPr="003F30B5">
        <w:rPr>
          <w:rFonts w:asciiTheme="minorEastAsia" w:hAnsiTheme="minorEastAsia" w:hint="eastAsia"/>
        </w:rPr>
        <w:t>四、</w:t>
      </w:r>
      <w:r>
        <w:rPr>
          <w:rFonts w:asciiTheme="minorEastAsia" w:hAnsiTheme="minorEastAsia" w:hint="eastAsia"/>
        </w:rPr>
        <w:t>基金定投业务</w:t>
      </w:r>
    </w:p>
    <w:p w:rsidR="009D09EC" w:rsidRPr="00E31A39" w:rsidRDefault="009D09EC" w:rsidP="009D09EC">
      <w:pPr>
        <w:pStyle w:val="a7"/>
        <w:spacing w:line="300" w:lineRule="auto"/>
        <w:ind w:firstLineChars="200" w:firstLine="420"/>
      </w:pPr>
      <w:r w:rsidRPr="00C25F87">
        <w:rPr>
          <w:rFonts w:ascii="宋体" w:eastAsia="宋体" w:hAnsi="宋体" w:cs="宋体" w:hint="eastAsia"/>
          <w:color w:val="000000"/>
          <w:szCs w:val="21"/>
        </w:rPr>
        <w:t>基金</w:t>
      </w:r>
      <w:r>
        <w:rPr>
          <w:rFonts w:ascii="宋体" w:eastAsia="宋体" w:hAnsi="宋体" w:cs="宋体" w:hint="eastAsia"/>
          <w:color w:val="000000"/>
          <w:szCs w:val="21"/>
        </w:rPr>
        <w:t>定投</w:t>
      </w:r>
      <w:r w:rsidRPr="00C25F87">
        <w:rPr>
          <w:rFonts w:ascii="宋体" w:eastAsia="宋体" w:hAnsi="宋体" w:cs="宋体" w:hint="eastAsia"/>
          <w:color w:val="000000"/>
          <w:szCs w:val="21"/>
        </w:rPr>
        <w:t>业务是指投资者通过向有关销售机构提出申请，约定每期扣款日、扣款金额及扣款方式，由销售机构于每期约定扣款日在投资者指定银行账户内自动完成扣款及基金申购申请的一种投资方式。</w:t>
      </w:r>
      <w:r>
        <w:t>投资者开立基金账户后即可到</w:t>
      </w:r>
      <w:r w:rsidR="008B51AC">
        <w:rPr>
          <w:rFonts w:hint="eastAsia"/>
        </w:rPr>
        <w:t>国金证券</w:t>
      </w:r>
      <w:r>
        <w:t>的经营网点或网上交易平台申请办理上述基金的基金定投业务，</w:t>
      </w:r>
      <w:r>
        <w:rPr>
          <w:rFonts w:ascii="宋体" w:eastAsia="宋体" w:hAnsi="宋体" w:cs="宋体" w:hint="eastAsia"/>
          <w:color w:val="000000"/>
          <w:szCs w:val="21"/>
        </w:rPr>
        <w:t>上述参与定投业务的基金</w:t>
      </w:r>
      <w:r>
        <w:rPr>
          <w:rFonts w:ascii="宋体" w:hAnsi="宋体"/>
          <w:szCs w:val="21"/>
        </w:rPr>
        <w:t>每期扣款金额不低于人民币100元，</w:t>
      </w:r>
      <w:r w:rsidR="008B51AC">
        <w:rPr>
          <w:rFonts w:ascii="宋体" w:hAnsi="宋体" w:hint="eastAsia"/>
          <w:szCs w:val="21"/>
        </w:rPr>
        <w:t>国金证券</w:t>
      </w:r>
      <w:r>
        <w:rPr>
          <w:rFonts w:ascii="宋体" w:hAnsi="宋体"/>
          <w:szCs w:val="21"/>
        </w:rPr>
        <w:t>可在此基础上规定自己的最低扣款金额</w:t>
      </w:r>
      <w:r>
        <w:rPr>
          <w:rFonts w:ascii="宋体" w:hAnsi="宋体" w:hint="eastAsia"/>
          <w:szCs w:val="21"/>
        </w:rPr>
        <w:t>，</w:t>
      </w:r>
      <w:r>
        <w:t>具体安排请遵循</w:t>
      </w:r>
      <w:r w:rsidR="008B51AC">
        <w:rPr>
          <w:rFonts w:hint="eastAsia"/>
        </w:rPr>
        <w:t>国金证券</w:t>
      </w:r>
      <w:r>
        <w:t>的相关规定。</w:t>
      </w:r>
    </w:p>
    <w:p w:rsidR="009D09EC" w:rsidRPr="00E31A39" w:rsidRDefault="009D09EC"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Theme="minorEastAsia" w:hAnsiTheme="minorEastAsia"/>
        </w:rPr>
      </w:pPr>
      <w:r w:rsidRPr="00561BA5">
        <w:rPr>
          <w:rFonts w:asciiTheme="minorEastAsia" w:hAnsiTheme="minorEastAsia" w:hint="eastAsia"/>
        </w:rPr>
        <w:t>五、基金转换业务</w:t>
      </w:r>
    </w:p>
    <w:p w:rsidR="009D09EC" w:rsidRPr="005F6962" w:rsidRDefault="009D09EC" w:rsidP="009D09EC">
      <w:pPr>
        <w:pStyle w:val="a7"/>
        <w:spacing w:line="300" w:lineRule="auto"/>
        <w:ind w:firstLineChars="200" w:firstLine="420"/>
        <w:rPr>
          <w:rFonts w:asciiTheme="minorEastAsia" w:hAnsiTheme="minorEastAsia"/>
        </w:rPr>
      </w:pPr>
      <w:r w:rsidRPr="005F6962">
        <w:rPr>
          <w:rFonts w:asciiTheme="minorEastAsia" w:hAnsiTheme="minorEastAsia" w:hint="eastAsia"/>
        </w:rPr>
        <w:t>基金转换是指投资人可将其通过同一销售机构购买并持有的本公司旗下某只开放式基金的全部或部分基金份额，转换为本公司管理的另一只开放式基金的份额（注：同一基金的不同基金份额类别之间不能相互转换）。基金遵循“份额转换”的原则，单笔转换份额不得低于100份，留存份额不足1份的，只能一次性转换全部剩余份额。</w:t>
      </w:r>
      <w:r w:rsidR="008B51AC">
        <w:rPr>
          <w:rFonts w:asciiTheme="minorEastAsia" w:hAnsiTheme="minorEastAsia" w:hint="eastAsia"/>
        </w:rPr>
        <w:t>国金证券</w:t>
      </w:r>
      <w:r w:rsidRPr="005F6962">
        <w:rPr>
          <w:rFonts w:asciiTheme="minorEastAsia" w:hAnsiTheme="minorEastAsia" w:hint="eastAsia"/>
        </w:rPr>
        <w:t>可在此基础上另设规定，具体安排以</w:t>
      </w:r>
      <w:r w:rsidR="008B51AC">
        <w:rPr>
          <w:rFonts w:asciiTheme="minorEastAsia" w:hAnsiTheme="minorEastAsia" w:hint="eastAsia"/>
        </w:rPr>
        <w:t>国金证券</w:t>
      </w:r>
      <w:r w:rsidRPr="005F6962">
        <w:rPr>
          <w:rFonts w:asciiTheme="minorEastAsia" w:hAnsiTheme="minorEastAsia" w:hint="eastAsia"/>
        </w:rPr>
        <w:t>的规定为准。</w:t>
      </w:r>
    </w:p>
    <w:p w:rsidR="009D09EC" w:rsidRPr="005F6962" w:rsidRDefault="009D09EC" w:rsidP="009D09EC">
      <w:pPr>
        <w:pStyle w:val="a7"/>
        <w:spacing w:line="300" w:lineRule="auto"/>
        <w:ind w:firstLineChars="200" w:firstLine="420"/>
        <w:rPr>
          <w:rFonts w:asciiTheme="minorEastAsia" w:hAnsiTheme="minorEastAsia"/>
        </w:rPr>
      </w:pPr>
    </w:p>
    <w:p w:rsidR="009D09EC" w:rsidRPr="00A1259A" w:rsidRDefault="009D09EC" w:rsidP="009D09EC">
      <w:pPr>
        <w:widowControl/>
        <w:ind w:firstLineChars="100" w:firstLine="210"/>
        <w:jc w:val="left"/>
        <w:rPr>
          <w:rFonts w:ascii="宋体" w:eastAsia="宋体" w:hAnsi="宋体" w:cs="宋体"/>
          <w:color w:val="000000"/>
          <w:szCs w:val="21"/>
        </w:rPr>
      </w:pPr>
      <w:r w:rsidRPr="00A1259A">
        <w:rPr>
          <w:rFonts w:ascii="宋体" w:eastAsia="宋体" w:hAnsi="宋体" w:cs="宋体" w:hint="eastAsia"/>
          <w:color w:val="000000"/>
          <w:szCs w:val="21"/>
        </w:rPr>
        <w:t xml:space="preserve">  </w:t>
      </w:r>
      <w:r>
        <w:rPr>
          <w:rFonts w:ascii="宋体" w:eastAsia="宋体" w:hAnsi="宋体" w:cs="宋体" w:hint="eastAsia"/>
          <w:color w:val="000000"/>
          <w:szCs w:val="21"/>
        </w:rPr>
        <w:t>六</w:t>
      </w:r>
      <w:r w:rsidRPr="00A1259A">
        <w:rPr>
          <w:rFonts w:ascii="宋体" w:eastAsia="宋体" w:hAnsi="宋体" w:cs="宋体" w:hint="eastAsia"/>
          <w:color w:val="000000"/>
          <w:szCs w:val="21"/>
        </w:rPr>
        <w:t>、</w:t>
      </w:r>
      <w:r w:rsidRPr="003E2B57">
        <w:rPr>
          <w:rFonts w:ascii="宋体" w:eastAsia="宋体" w:hAnsi="宋体" w:cs="宋体" w:hint="eastAsia"/>
          <w:color w:val="000000"/>
          <w:szCs w:val="21"/>
        </w:rPr>
        <w:t>重要提示</w:t>
      </w:r>
      <w:r w:rsidRPr="00A1259A">
        <w:rPr>
          <w:rFonts w:ascii="宋体" w:eastAsia="宋体" w:hAnsi="宋体" w:cs="宋体" w:hint="eastAsia"/>
          <w:color w:val="000000"/>
          <w:szCs w:val="21"/>
        </w:rPr>
        <w:t xml:space="preserve"> </w:t>
      </w:r>
    </w:p>
    <w:p w:rsidR="009D09EC" w:rsidRPr="005F6962" w:rsidRDefault="009D09EC" w:rsidP="009D09EC">
      <w:pPr>
        <w:pStyle w:val="a7"/>
        <w:spacing w:line="300" w:lineRule="auto"/>
        <w:ind w:firstLineChars="200" w:firstLine="420"/>
        <w:rPr>
          <w:rFonts w:asciiTheme="minorEastAsia" w:hAnsiTheme="minorEastAsia"/>
        </w:rPr>
      </w:pPr>
      <w:r w:rsidRPr="005F6962">
        <w:rPr>
          <w:rFonts w:asciiTheme="minorEastAsia" w:hAnsiTheme="minorEastAsia" w:hint="eastAsia"/>
        </w:rPr>
        <w:t xml:space="preserve">上述业务仅适用于处于开放日正常申购期的基金。基金封闭期等特殊期间的有关规定详见对应基金的《基金合同》、《招募说明书》及《产品资料概要》等相关法律文件及本公司发布的最新业务公告。 </w:t>
      </w:r>
    </w:p>
    <w:p w:rsidR="009D09EC" w:rsidRPr="009D09EC" w:rsidRDefault="009D09EC" w:rsidP="009D09EC">
      <w:pPr>
        <w:pStyle w:val="a7"/>
        <w:spacing w:line="300" w:lineRule="auto"/>
        <w:rPr>
          <w:szCs w:val="21"/>
        </w:rPr>
      </w:pPr>
    </w:p>
    <w:p w:rsidR="004D4087" w:rsidRPr="00A1259A" w:rsidRDefault="009D09EC" w:rsidP="009D09EC">
      <w:pPr>
        <w:pStyle w:val="a7"/>
        <w:spacing w:line="300" w:lineRule="auto"/>
        <w:ind w:firstLineChars="200" w:firstLine="420"/>
        <w:rPr>
          <w:szCs w:val="21"/>
        </w:rPr>
      </w:pPr>
      <w:r>
        <w:rPr>
          <w:rFonts w:ascii="宋体" w:eastAsia="宋体" w:hAnsi="宋体" w:cs="宋体" w:hint="eastAsia"/>
          <w:color w:val="000000"/>
          <w:szCs w:val="21"/>
        </w:rPr>
        <w:t>七</w:t>
      </w:r>
      <w:r w:rsidR="003F6602" w:rsidRPr="00A1259A">
        <w:rPr>
          <w:rFonts w:ascii="宋体" w:eastAsia="宋体" w:hAnsi="宋体" w:cs="宋体" w:hint="eastAsia"/>
          <w:color w:val="000000"/>
          <w:szCs w:val="21"/>
        </w:rPr>
        <w:t>、</w:t>
      </w:r>
      <w:r w:rsidR="004D4087" w:rsidRPr="00A1259A">
        <w:rPr>
          <w:rFonts w:hint="eastAsia"/>
          <w:szCs w:val="21"/>
        </w:rPr>
        <w:t>投资者可通过以下途径咨询详情：</w:t>
      </w:r>
    </w:p>
    <w:p w:rsidR="005B61C1" w:rsidRDefault="008B51AC" w:rsidP="005B61C1">
      <w:pPr>
        <w:pStyle w:val="a7"/>
        <w:numPr>
          <w:ilvl w:val="0"/>
          <w:numId w:val="5"/>
        </w:numPr>
        <w:spacing w:line="300" w:lineRule="auto"/>
        <w:rPr>
          <w:szCs w:val="21"/>
        </w:rPr>
      </w:pPr>
      <w:r>
        <w:rPr>
          <w:rFonts w:hint="eastAsia"/>
          <w:szCs w:val="21"/>
        </w:rPr>
        <w:t>国金证券股份有限公司</w:t>
      </w:r>
    </w:p>
    <w:p w:rsidR="00931E30" w:rsidRDefault="004D4087" w:rsidP="005B61C1">
      <w:pPr>
        <w:pStyle w:val="a7"/>
        <w:spacing w:line="300" w:lineRule="auto"/>
        <w:ind w:left="420"/>
        <w:rPr>
          <w:szCs w:val="21"/>
        </w:rPr>
      </w:pPr>
      <w:r w:rsidRPr="00A1259A">
        <w:rPr>
          <w:rFonts w:hint="eastAsia"/>
          <w:szCs w:val="21"/>
        </w:rPr>
        <w:t>客户服务电话：</w:t>
      </w:r>
      <w:r w:rsidR="008B51AC" w:rsidRPr="008B51AC">
        <w:rPr>
          <w:szCs w:val="21"/>
        </w:rPr>
        <w:t>95310</w:t>
      </w:r>
    </w:p>
    <w:p w:rsidR="00E42F6E" w:rsidRDefault="004D4087" w:rsidP="00A0293A">
      <w:pPr>
        <w:pStyle w:val="a7"/>
        <w:spacing w:line="300" w:lineRule="auto"/>
        <w:ind w:firstLineChars="200" w:firstLine="420"/>
        <w:rPr>
          <w:szCs w:val="21"/>
        </w:rPr>
      </w:pPr>
      <w:r w:rsidRPr="00A1259A">
        <w:rPr>
          <w:rFonts w:hint="eastAsia"/>
          <w:szCs w:val="21"/>
        </w:rPr>
        <w:t>公司网站：</w:t>
      </w:r>
      <w:r w:rsidR="008B51AC" w:rsidRPr="008B51AC">
        <w:rPr>
          <w:szCs w:val="21"/>
        </w:rPr>
        <w:t>www.gjzq.com.cn</w:t>
      </w:r>
    </w:p>
    <w:p w:rsidR="000803DD" w:rsidRPr="0070424F" w:rsidRDefault="000803DD" w:rsidP="00A0293A">
      <w:pPr>
        <w:pStyle w:val="a7"/>
        <w:spacing w:line="300" w:lineRule="auto"/>
        <w:ind w:firstLineChars="200" w:firstLine="420"/>
        <w:rPr>
          <w:szCs w:val="21"/>
        </w:rPr>
      </w:pPr>
    </w:p>
    <w:p w:rsidR="004D4087" w:rsidRPr="00A1259A" w:rsidRDefault="004D4087" w:rsidP="00A1259A">
      <w:pPr>
        <w:pStyle w:val="a7"/>
        <w:spacing w:line="300" w:lineRule="auto"/>
        <w:ind w:firstLineChars="200" w:firstLine="420"/>
        <w:rPr>
          <w:szCs w:val="21"/>
        </w:rPr>
      </w:pPr>
      <w:r w:rsidRPr="00A1259A">
        <w:rPr>
          <w:szCs w:val="21"/>
        </w:rPr>
        <w:t>2</w:t>
      </w:r>
      <w:r w:rsidRPr="00A1259A">
        <w:rPr>
          <w:rFonts w:hint="eastAsia"/>
          <w:szCs w:val="21"/>
        </w:rPr>
        <w:t>、恒越基金管理有限公司</w:t>
      </w:r>
      <w:r w:rsidRPr="00A1259A">
        <w:rPr>
          <w:szCs w:val="21"/>
        </w:rPr>
        <w:t xml:space="preserve"> </w:t>
      </w:r>
    </w:p>
    <w:p w:rsidR="004D4087" w:rsidRPr="00A1259A" w:rsidRDefault="004D4087" w:rsidP="00A1259A">
      <w:pPr>
        <w:pStyle w:val="a7"/>
        <w:spacing w:line="300" w:lineRule="auto"/>
        <w:ind w:firstLineChars="200" w:firstLine="420"/>
        <w:rPr>
          <w:szCs w:val="21"/>
        </w:rPr>
      </w:pPr>
      <w:r w:rsidRPr="00A1259A">
        <w:rPr>
          <w:rFonts w:hint="eastAsia"/>
          <w:szCs w:val="21"/>
        </w:rPr>
        <w:t>客户服务电话：</w:t>
      </w:r>
      <w:r w:rsidR="009A01EA" w:rsidRPr="009A01EA">
        <w:rPr>
          <w:szCs w:val="21"/>
        </w:rPr>
        <w:t>400-921-7000</w:t>
      </w:r>
      <w:r w:rsidRPr="00A1259A">
        <w:rPr>
          <w:szCs w:val="21"/>
        </w:rPr>
        <w:t xml:space="preserve"> </w:t>
      </w:r>
    </w:p>
    <w:p w:rsidR="004D4087" w:rsidRPr="00A1259A" w:rsidRDefault="004D4087" w:rsidP="00A1259A">
      <w:pPr>
        <w:pStyle w:val="a7"/>
        <w:spacing w:line="300" w:lineRule="auto"/>
        <w:ind w:firstLineChars="200" w:firstLine="420"/>
        <w:rPr>
          <w:szCs w:val="21"/>
        </w:rPr>
      </w:pPr>
      <w:r w:rsidRPr="00A1259A">
        <w:rPr>
          <w:rFonts w:hint="eastAsia"/>
          <w:szCs w:val="21"/>
        </w:rPr>
        <w:t>公司网站：</w:t>
      </w:r>
      <w:r w:rsidRPr="00A1259A">
        <w:rPr>
          <w:szCs w:val="21"/>
        </w:rPr>
        <w:t xml:space="preserve">www.hengyuefund.com </w:t>
      </w:r>
    </w:p>
    <w:p w:rsidR="004D4087" w:rsidRPr="00A1259A" w:rsidRDefault="004D4087" w:rsidP="00A1259A">
      <w:pPr>
        <w:pStyle w:val="a7"/>
        <w:spacing w:line="300" w:lineRule="auto"/>
        <w:rPr>
          <w:szCs w:val="21"/>
        </w:rPr>
      </w:pPr>
    </w:p>
    <w:p w:rsidR="00A1259A" w:rsidRPr="003F6602" w:rsidRDefault="00A1259A" w:rsidP="003F6602">
      <w:pPr>
        <w:pStyle w:val="a7"/>
        <w:spacing w:line="300" w:lineRule="auto"/>
        <w:ind w:firstLineChars="150" w:firstLine="315"/>
        <w:rPr>
          <w:rFonts w:ascii="宋体" w:eastAsia="宋体" w:hAnsi="宋体" w:cs="宋体"/>
          <w:color w:val="000000"/>
          <w:szCs w:val="21"/>
        </w:rPr>
      </w:pPr>
      <w:r w:rsidRPr="00A1259A">
        <w:rPr>
          <w:rFonts w:ascii="宋体" w:eastAsia="宋体" w:hAnsi="宋体" w:cs="宋体" w:hint="eastAsia"/>
          <w:szCs w:val="21"/>
        </w:rPr>
        <w:t>风险提示：本公司承诺以诚实信用、勤勉尽责的原则管理和运用基金资产，但不保证基金一定盈利，也不保证最低收益。基金的过往业绩及其净值高低并不预示其未来业绩表现。投资者投资基金前应认真阅读</w:t>
      </w:r>
      <w:r w:rsidR="005B0682">
        <w:rPr>
          <w:rFonts w:ascii="宋体" w:eastAsia="宋体" w:hAnsi="宋体" w:cs="宋体" w:hint="eastAsia"/>
          <w:color w:val="000000"/>
          <w:szCs w:val="21"/>
        </w:rPr>
        <w:t>《基金合同》、</w:t>
      </w:r>
      <w:r w:rsidR="005B0682" w:rsidRPr="003E2B57">
        <w:rPr>
          <w:rFonts w:ascii="宋体" w:eastAsia="宋体" w:hAnsi="宋体" w:cs="宋体" w:hint="eastAsia"/>
          <w:color w:val="000000"/>
          <w:szCs w:val="21"/>
        </w:rPr>
        <w:t>《招募说明书》</w:t>
      </w:r>
      <w:r w:rsidR="005B0682">
        <w:rPr>
          <w:rFonts w:ascii="宋体" w:eastAsia="宋体" w:hAnsi="宋体" w:cs="宋体" w:hint="eastAsia"/>
          <w:color w:val="000000"/>
          <w:szCs w:val="21"/>
        </w:rPr>
        <w:t>及《产品资料概要》</w:t>
      </w:r>
      <w:r w:rsidRPr="00A1259A">
        <w:rPr>
          <w:rFonts w:ascii="宋体" w:eastAsia="宋体" w:hAnsi="宋体" w:cs="宋体" w:hint="eastAsia"/>
          <w:szCs w:val="21"/>
        </w:rPr>
        <w:t>等法律文件，了解所投资基金的风险收益特征，并根据自身情况购买与本人风险承受能力相匹配的产品。</w:t>
      </w:r>
      <w:r w:rsidR="003F6602">
        <w:rPr>
          <w:rFonts w:ascii="宋体" w:eastAsia="宋体" w:hAnsi="宋体" w:cs="宋体"/>
          <w:szCs w:val="21"/>
        </w:rPr>
        <w:t>投资</w:t>
      </w:r>
      <w:r w:rsidR="003F6602">
        <w:rPr>
          <w:rFonts w:ascii="宋体" w:eastAsia="宋体" w:hAnsi="宋体" w:cs="宋体" w:hint="eastAsia"/>
          <w:szCs w:val="21"/>
        </w:rPr>
        <w:t>人</w:t>
      </w:r>
      <w:r w:rsidR="003F6602" w:rsidRPr="000A2090">
        <w:rPr>
          <w:rFonts w:ascii="宋体" w:eastAsia="宋体" w:hAnsi="宋体" w:cs="宋体"/>
          <w:szCs w:val="21"/>
        </w:rPr>
        <w:t>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r w:rsidRPr="00A1259A">
        <w:rPr>
          <w:rFonts w:ascii="宋体" w:eastAsia="宋体" w:hAnsi="宋体" w:cs="宋体" w:hint="eastAsia"/>
          <w:szCs w:val="21"/>
        </w:rPr>
        <w:t>敬请投资者注意投资风险。</w:t>
      </w:r>
    </w:p>
    <w:p w:rsidR="00A1259A" w:rsidRDefault="00A1259A" w:rsidP="00A1259A">
      <w:pPr>
        <w:pStyle w:val="a7"/>
        <w:spacing w:line="300" w:lineRule="auto"/>
        <w:rPr>
          <w:szCs w:val="21"/>
        </w:rPr>
      </w:pPr>
    </w:p>
    <w:p w:rsidR="004D4087" w:rsidRPr="00A1259A" w:rsidRDefault="004D4087" w:rsidP="00A1259A">
      <w:pPr>
        <w:pStyle w:val="a7"/>
        <w:spacing w:line="300" w:lineRule="auto"/>
        <w:ind w:firstLineChars="200" w:firstLine="420"/>
        <w:rPr>
          <w:szCs w:val="21"/>
        </w:rPr>
      </w:pPr>
      <w:r w:rsidRPr="00A1259A">
        <w:rPr>
          <w:rFonts w:hint="eastAsia"/>
          <w:szCs w:val="21"/>
        </w:rPr>
        <w:t>特此公告。</w:t>
      </w:r>
      <w:r w:rsidRPr="00A1259A">
        <w:rPr>
          <w:szCs w:val="21"/>
        </w:rPr>
        <w:t xml:space="preserve"> </w:t>
      </w:r>
    </w:p>
    <w:p w:rsidR="004D4087" w:rsidRPr="00A1259A" w:rsidRDefault="004D4087" w:rsidP="00A1259A">
      <w:pPr>
        <w:pStyle w:val="a7"/>
        <w:spacing w:line="300" w:lineRule="auto"/>
        <w:rPr>
          <w:szCs w:val="21"/>
        </w:rPr>
      </w:pPr>
    </w:p>
    <w:p w:rsidR="004D4087" w:rsidRPr="006D03D7" w:rsidRDefault="004D4087" w:rsidP="00A1259A">
      <w:pPr>
        <w:pStyle w:val="a7"/>
        <w:spacing w:line="300" w:lineRule="auto"/>
        <w:jc w:val="right"/>
        <w:rPr>
          <w:rFonts w:asciiTheme="minorEastAsia" w:hAnsiTheme="minorEastAsia"/>
          <w:szCs w:val="21"/>
        </w:rPr>
      </w:pPr>
      <w:r w:rsidRPr="006D03D7">
        <w:rPr>
          <w:rFonts w:asciiTheme="minorEastAsia" w:hAnsiTheme="minorEastAsia" w:hint="eastAsia"/>
          <w:szCs w:val="21"/>
        </w:rPr>
        <w:t>恒越基金管理有限公司</w:t>
      </w:r>
      <w:r w:rsidRPr="006D03D7">
        <w:rPr>
          <w:rFonts w:asciiTheme="minorEastAsia" w:hAnsiTheme="minorEastAsia"/>
          <w:szCs w:val="21"/>
        </w:rPr>
        <w:t xml:space="preserve"> </w:t>
      </w:r>
    </w:p>
    <w:p w:rsidR="004D4087" w:rsidRPr="006D03D7" w:rsidRDefault="002F1DED" w:rsidP="00A1259A">
      <w:pPr>
        <w:pStyle w:val="a7"/>
        <w:spacing w:line="300" w:lineRule="auto"/>
        <w:jc w:val="right"/>
        <w:rPr>
          <w:rFonts w:asciiTheme="minorEastAsia" w:hAnsiTheme="minorEastAsia"/>
          <w:szCs w:val="21"/>
        </w:rPr>
      </w:pPr>
      <w:r>
        <w:rPr>
          <w:szCs w:val="21"/>
        </w:rPr>
        <w:t>2024</w:t>
      </w:r>
      <w:r>
        <w:rPr>
          <w:szCs w:val="21"/>
        </w:rPr>
        <w:t>年</w:t>
      </w:r>
      <w:r>
        <w:rPr>
          <w:szCs w:val="21"/>
        </w:rPr>
        <w:t>9</w:t>
      </w:r>
      <w:r>
        <w:rPr>
          <w:szCs w:val="21"/>
        </w:rPr>
        <w:t>月</w:t>
      </w:r>
      <w:r>
        <w:rPr>
          <w:szCs w:val="21"/>
        </w:rPr>
        <w:t>27</w:t>
      </w:r>
      <w:r>
        <w:rPr>
          <w:szCs w:val="21"/>
        </w:rPr>
        <w:t>日</w:t>
      </w:r>
    </w:p>
    <w:p w:rsidR="00C7207B" w:rsidRPr="00A1259A" w:rsidRDefault="00C7207B" w:rsidP="00A1259A">
      <w:pPr>
        <w:pStyle w:val="a7"/>
        <w:spacing w:line="300" w:lineRule="auto"/>
        <w:jc w:val="right"/>
        <w:rPr>
          <w:szCs w:val="21"/>
        </w:rPr>
      </w:pPr>
    </w:p>
    <w:sectPr w:rsidR="00C7207B" w:rsidRPr="00A1259A" w:rsidSect="00C244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C9B" w:rsidRDefault="00E15C9B" w:rsidP="00AE66AB">
      <w:r>
        <w:separator/>
      </w:r>
    </w:p>
  </w:endnote>
  <w:endnote w:type="continuationSeparator" w:id="0">
    <w:p w:rsidR="00E15C9B" w:rsidRDefault="00E15C9B" w:rsidP="00AE6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C9B" w:rsidRDefault="00E15C9B" w:rsidP="00AE66AB">
      <w:r>
        <w:separator/>
      </w:r>
    </w:p>
  </w:footnote>
  <w:footnote w:type="continuationSeparator" w:id="0">
    <w:p w:rsidR="00E15C9B" w:rsidRDefault="00E15C9B" w:rsidP="00AE6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B39"/>
    <w:multiLevelType w:val="hybridMultilevel"/>
    <w:tmpl w:val="B5E835EC"/>
    <w:lvl w:ilvl="0" w:tplc="E1B8CD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82393D"/>
    <w:multiLevelType w:val="hybridMultilevel"/>
    <w:tmpl w:val="4150FA2E"/>
    <w:lvl w:ilvl="0" w:tplc="F24ABF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B124125"/>
    <w:multiLevelType w:val="hybridMultilevel"/>
    <w:tmpl w:val="8A3219CC"/>
    <w:lvl w:ilvl="0" w:tplc="78C47106">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66212B"/>
    <w:multiLevelType w:val="hybridMultilevel"/>
    <w:tmpl w:val="724E9B88"/>
    <w:lvl w:ilvl="0" w:tplc="ACFA62B6">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62B20D9"/>
    <w:multiLevelType w:val="hybridMultilevel"/>
    <w:tmpl w:val="709C6C3C"/>
    <w:lvl w:ilvl="0" w:tplc="AE742D40">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8D7"/>
    <w:rsid w:val="0000716F"/>
    <w:rsid w:val="00012F0E"/>
    <w:rsid w:val="000439CA"/>
    <w:rsid w:val="000803DD"/>
    <w:rsid w:val="00093DB5"/>
    <w:rsid w:val="000955BF"/>
    <w:rsid w:val="000B07A0"/>
    <w:rsid w:val="000B32E1"/>
    <w:rsid w:val="000C79CD"/>
    <w:rsid w:val="000D7F74"/>
    <w:rsid w:val="00105FC2"/>
    <w:rsid w:val="001103EC"/>
    <w:rsid w:val="00124C04"/>
    <w:rsid w:val="00171D57"/>
    <w:rsid w:val="001924C6"/>
    <w:rsid w:val="001A2F23"/>
    <w:rsid w:val="001C63FB"/>
    <w:rsid w:val="001C77E6"/>
    <w:rsid w:val="001F07B2"/>
    <w:rsid w:val="0023779A"/>
    <w:rsid w:val="00237AAD"/>
    <w:rsid w:val="00264653"/>
    <w:rsid w:val="00267323"/>
    <w:rsid w:val="00270EA3"/>
    <w:rsid w:val="002773C2"/>
    <w:rsid w:val="002D28D7"/>
    <w:rsid w:val="002D78DF"/>
    <w:rsid w:val="002E597B"/>
    <w:rsid w:val="002F1DED"/>
    <w:rsid w:val="00301092"/>
    <w:rsid w:val="0031599B"/>
    <w:rsid w:val="0036150C"/>
    <w:rsid w:val="0039478A"/>
    <w:rsid w:val="003E2B57"/>
    <w:rsid w:val="003F6602"/>
    <w:rsid w:val="004174F7"/>
    <w:rsid w:val="00444A14"/>
    <w:rsid w:val="0044719C"/>
    <w:rsid w:val="0046776F"/>
    <w:rsid w:val="00477BC5"/>
    <w:rsid w:val="004B7A17"/>
    <w:rsid w:val="004C6D33"/>
    <w:rsid w:val="004D4087"/>
    <w:rsid w:val="00533529"/>
    <w:rsid w:val="00586528"/>
    <w:rsid w:val="00594767"/>
    <w:rsid w:val="005B0682"/>
    <w:rsid w:val="005B61C1"/>
    <w:rsid w:val="005C175C"/>
    <w:rsid w:val="005F6962"/>
    <w:rsid w:val="00602753"/>
    <w:rsid w:val="00607117"/>
    <w:rsid w:val="0062342D"/>
    <w:rsid w:val="006536BA"/>
    <w:rsid w:val="00655C04"/>
    <w:rsid w:val="00687BB4"/>
    <w:rsid w:val="00694869"/>
    <w:rsid w:val="00697242"/>
    <w:rsid w:val="006A20E4"/>
    <w:rsid w:val="006D03D7"/>
    <w:rsid w:val="006E62A8"/>
    <w:rsid w:val="006E68C3"/>
    <w:rsid w:val="0070424F"/>
    <w:rsid w:val="00736C84"/>
    <w:rsid w:val="00767EB7"/>
    <w:rsid w:val="0077435C"/>
    <w:rsid w:val="007A2FB5"/>
    <w:rsid w:val="007B0FA3"/>
    <w:rsid w:val="007C61DE"/>
    <w:rsid w:val="007D2E85"/>
    <w:rsid w:val="00816DF8"/>
    <w:rsid w:val="0082043B"/>
    <w:rsid w:val="008679F1"/>
    <w:rsid w:val="0087000B"/>
    <w:rsid w:val="00874D08"/>
    <w:rsid w:val="00876506"/>
    <w:rsid w:val="00890FB3"/>
    <w:rsid w:val="008A6026"/>
    <w:rsid w:val="008B1FDD"/>
    <w:rsid w:val="008B51AC"/>
    <w:rsid w:val="008C741D"/>
    <w:rsid w:val="008D096F"/>
    <w:rsid w:val="008E126A"/>
    <w:rsid w:val="008E3D91"/>
    <w:rsid w:val="008E4927"/>
    <w:rsid w:val="00923D7F"/>
    <w:rsid w:val="00931E30"/>
    <w:rsid w:val="009860D3"/>
    <w:rsid w:val="009A01EA"/>
    <w:rsid w:val="009C67A6"/>
    <w:rsid w:val="009D09EC"/>
    <w:rsid w:val="009D3BBD"/>
    <w:rsid w:val="009D77DC"/>
    <w:rsid w:val="00A0293A"/>
    <w:rsid w:val="00A101A7"/>
    <w:rsid w:val="00A1259A"/>
    <w:rsid w:val="00A378C0"/>
    <w:rsid w:val="00A8105B"/>
    <w:rsid w:val="00A840C1"/>
    <w:rsid w:val="00A86ADF"/>
    <w:rsid w:val="00A95FC0"/>
    <w:rsid w:val="00AA78F9"/>
    <w:rsid w:val="00AA7BC7"/>
    <w:rsid w:val="00AB6FAF"/>
    <w:rsid w:val="00AD6F64"/>
    <w:rsid w:val="00AE66AB"/>
    <w:rsid w:val="00AF1683"/>
    <w:rsid w:val="00B07EFB"/>
    <w:rsid w:val="00B1367B"/>
    <w:rsid w:val="00B611D0"/>
    <w:rsid w:val="00B67444"/>
    <w:rsid w:val="00B72B22"/>
    <w:rsid w:val="00B87081"/>
    <w:rsid w:val="00BE0905"/>
    <w:rsid w:val="00BF115C"/>
    <w:rsid w:val="00C2442F"/>
    <w:rsid w:val="00C25F87"/>
    <w:rsid w:val="00C40C89"/>
    <w:rsid w:val="00C42148"/>
    <w:rsid w:val="00C47070"/>
    <w:rsid w:val="00C52CBD"/>
    <w:rsid w:val="00C54B53"/>
    <w:rsid w:val="00C6275E"/>
    <w:rsid w:val="00C63569"/>
    <w:rsid w:val="00C7207B"/>
    <w:rsid w:val="00C80465"/>
    <w:rsid w:val="00CB2EAB"/>
    <w:rsid w:val="00CD074B"/>
    <w:rsid w:val="00CD2719"/>
    <w:rsid w:val="00CD6EF2"/>
    <w:rsid w:val="00CE04E8"/>
    <w:rsid w:val="00D139EE"/>
    <w:rsid w:val="00D1670E"/>
    <w:rsid w:val="00D271CD"/>
    <w:rsid w:val="00D57D00"/>
    <w:rsid w:val="00D75908"/>
    <w:rsid w:val="00DB0FCC"/>
    <w:rsid w:val="00DB1DD5"/>
    <w:rsid w:val="00DE070A"/>
    <w:rsid w:val="00DE0BDD"/>
    <w:rsid w:val="00E10CF2"/>
    <w:rsid w:val="00E15C9B"/>
    <w:rsid w:val="00E16773"/>
    <w:rsid w:val="00E34096"/>
    <w:rsid w:val="00E42F6E"/>
    <w:rsid w:val="00E46745"/>
    <w:rsid w:val="00E82C73"/>
    <w:rsid w:val="00E85DC9"/>
    <w:rsid w:val="00E96A4C"/>
    <w:rsid w:val="00EC1C19"/>
    <w:rsid w:val="00ED73F4"/>
    <w:rsid w:val="00EE0CAA"/>
    <w:rsid w:val="00EF28CA"/>
    <w:rsid w:val="00EF759E"/>
    <w:rsid w:val="00F10FF1"/>
    <w:rsid w:val="00F2210B"/>
    <w:rsid w:val="00F225C5"/>
    <w:rsid w:val="00F31D1D"/>
    <w:rsid w:val="00F62B4B"/>
    <w:rsid w:val="00F75964"/>
    <w:rsid w:val="00FC17DE"/>
    <w:rsid w:val="00FC53E4"/>
    <w:rsid w:val="00FF4FD1"/>
    <w:rsid w:val="00FF7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4087"/>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4D4087"/>
    <w:pPr>
      <w:ind w:firstLineChars="200" w:firstLine="420"/>
    </w:pPr>
  </w:style>
  <w:style w:type="paragraph" w:styleId="a4">
    <w:name w:val="header"/>
    <w:basedOn w:val="a"/>
    <w:link w:val="Char"/>
    <w:uiPriority w:val="99"/>
    <w:unhideWhenUsed/>
    <w:rsid w:val="00AE6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66AB"/>
    <w:rPr>
      <w:sz w:val="18"/>
      <w:szCs w:val="18"/>
    </w:rPr>
  </w:style>
  <w:style w:type="paragraph" w:styleId="a5">
    <w:name w:val="footer"/>
    <w:basedOn w:val="a"/>
    <w:link w:val="Char0"/>
    <w:uiPriority w:val="99"/>
    <w:unhideWhenUsed/>
    <w:rsid w:val="00AE66AB"/>
    <w:pPr>
      <w:tabs>
        <w:tab w:val="center" w:pos="4153"/>
        <w:tab w:val="right" w:pos="8306"/>
      </w:tabs>
      <w:snapToGrid w:val="0"/>
      <w:jc w:val="left"/>
    </w:pPr>
    <w:rPr>
      <w:sz w:val="18"/>
      <w:szCs w:val="18"/>
    </w:rPr>
  </w:style>
  <w:style w:type="character" w:customStyle="1" w:styleId="Char0">
    <w:name w:val="页脚 Char"/>
    <w:basedOn w:val="a0"/>
    <w:link w:val="a5"/>
    <w:uiPriority w:val="99"/>
    <w:rsid w:val="00AE66AB"/>
    <w:rPr>
      <w:sz w:val="18"/>
      <w:szCs w:val="18"/>
    </w:rPr>
  </w:style>
  <w:style w:type="paragraph" w:styleId="a6">
    <w:name w:val="Date"/>
    <w:basedOn w:val="a"/>
    <w:next w:val="a"/>
    <w:link w:val="Char1"/>
    <w:uiPriority w:val="99"/>
    <w:semiHidden/>
    <w:unhideWhenUsed/>
    <w:rsid w:val="00C7207B"/>
    <w:pPr>
      <w:ind w:leftChars="2500" w:left="100"/>
    </w:pPr>
  </w:style>
  <w:style w:type="character" w:customStyle="1" w:styleId="Char1">
    <w:name w:val="日期 Char"/>
    <w:basedOn w:val="a0"/>
    <w:link w:val="a6"/>
    <w:uiPriority w:val="99"/>
    <w:semiHidden/>
    <w:rsid w:val="00C7207B"/>
  </w:style>
  <w:style w:type="paragraph" w:styleId="a7">
    <w:name w:val="No Spacing"/>
    <w:uiPriority w:val="1"/>
    <w:qFormat/>
    <w:rsid w:val="00A1259A"/>
    <w:pPr>
      <w:widowControl w:val="0"/>
      <w:jc w:val="both"/>
    </w:pPr>
  </w:style>
  <w:style w:type="character" w:styleId="a8">
    <w:name w:val="Hyperlink"/>
    <w:basedOn w:val="a0"/>
    <w:uiPriority w:val="99"/>
    <w:unhideWhenUsed/>
    <w:rsid w:val="00E42F6E"/>
    <w:rPr>
      <w:color w:val="0000FF" w:themeColor="hyperlink"/>
      <w:u w:val="single"/>
    </w:rPr>
  </w:style>
  <w:style w:type="paragraph" w:styleId="a9">
    <w:name w:val="Balloon Text"/>
    <w:basedOn w:val="a"/>
    <w:link w:val="Char2"/>
    <w:uiPriority w:val="99"/>
    <w:semiHidden/>
    <w:unhideWhenUsed/>
    <w:rsid w:val="00AA78F9"/>
    <w:rPr>
      <w:sz w:val="18"/>
      <w:szCs w:val="18"/>
    </w:rPr>
  </w:style>
  <w:style w:type="character" w:customStyle="1" w:styleId="Char2">
    <w:name w:val="批注框文本 Char"/>
    <w:basedOn w:val="a0"/>
    <w:link w:val="a9"/>
    <w:uiPriority w:val="99"/>
    <w:semiHidden/>
    <w:rsid w:val="00AA78F9"/>
    <w:rPr>
      <w:sz w:val="18"/>
      <w:szCs w:val="18"/>
    </w:rPr>
  </w:style>
  <w:style w:type="table" w:styleId="aa">
    <w:name w:val="Table Grid"/>
    <w:basedOn w:val="a1"/>
    <w:uiPriority w:val="59"/>
    <w:rsid w:val="00124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588653">
      <w:bodyDiv w:val="1"/>
      <w:marLeft w:val="0"/>
      <w:marRight w:val="0"/>
      <w:marTop w:val="0"/>
      <w:marBottom w:val="0"/>
      <w:divBdr>
        <w:top w:val="none" w:sz="0" w:space="0" w:color="auto"/>
        <w:left w:val="none" w:sz="0" w:space="0" w:color="auto"/>
        <w:bottom w:val="none" w:sz="0" w:space="0" w:color="auto"/>
        <w:right w:val="none" w:sz="0" w:space="0" w:color="auto"/>
      </w:divBdr>
    </w:div>
    <w:div w:id="614598916">
      <w:bodyDiv w:val="1"/>
      <w:marLeft w:val="0"/>
      <w:marRight w:val="0"/>
      <w:marTop w:val="0"/>
      <w:marBottom w:val="0"/>
      <w:divBdr>
        <w:top w:val="none" w:sz="0" w:space="0" w:color="auto"/>
        <w:left w:val="none" w:sz="0" w:space="0" w:color="auto"/>
        <w:bottom w:val="none" w:sz="0" w:space="0" w:color="auto"/>
        <w:right w:val="none" w:sz="0" w:space="0" w:color="auto"/>
      </w:divBdr>
    </w:div>
    <w:div w:id="1526795432">
      <w:bodyDiv w:val="1"/>
      <w:marLeft w:val="0"/>
      <w:marRight w:val="0"/>
      <w:marTop w:val="0"/>
      <w:marBottom w:val="0"/>
      <w:divBdr>
        <w:top w:val="none" w:sz="0" w:space="0" w:color="auto"/>
        <w:left w:val="none" w:sz="0" w:space="0" w:color="auto"/>
        <w:bottom w:val="none" w:sz="0" w:space="0" w:color="auto"/>
        <w:right w:val="none" w:sz="0" w:space="0" w:color="auto"/>
      </w:divBdr>
    </w:div>
    <w:div w:id="19191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4</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胡晨</dc:creator>
  <cp:lastModifiedBy>ZHONGM</cp:lastModifiedBy>
  <cp:revision>2</cp:revision>
  <dcterms:created xsi:type="dcterms:W3CDTF">2024-09-26T16:01:00Z</dcterms:created>
  <dcterms:modified xsi:type="dcterms:W3CDTF">2024-09-26T16:01:00Z</dcterms:modified>
</cp:coreProperties>
</file>