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FC" w:rsidRDefault="00076CB4">
      <w:pPr>
        <w:widowControl/>
        <w:shd w:val="clear" w:color="auto" w:fill="FFFFFF"/>
        <w:adjustRightInd w:val="0"/>
        <w:snapToGrid w:val="0"/>
        <w:spacing w:line="360" w:lineRule="auto"/>
        <w:jc w:val="center"/>
        <w:rPr>
          <w:rFonts w:ascii="黑体" w:eastAsia="黑体" w:hAnsi="黑体" w:cs="Arial"/>
          <w:b/>
          <w:color w:val="000000"/>
          <w:kern w:val="0"/>
          <w:sz w:val="30"/>
          <w:szCs w:val="30"/>
        </w:rPr>
      </w:pPr>
      <w:r>
        <w:rPr>
          <w:rFonts w:ascii="黑体" w:eastAsia="黑体" w:hAnsi="黑体" w:cs="Arial" w:hint="eastAsia"/>
          <w:b/>
          <w:color w:val="000000"/>
          <w:kern w:val="0"/>
          <w:sz w:val="30"/>
          <w:szCs w:val="30"/>
        </w:rPr>
        <w:t>关于</w:t>
      </w:r>
      <w:r w:rsidR="0021203A">
        <w:rPr>
          <w:rFonts w:ascii="黑体" w:eastAsia="黑体" w:hAnsi="黑体" w:cs="Arial" w:hint="eastAsia"/>
          <w:b/>
          <w:color w:val="000000"/>
          <w:kern w:val="0"/>
          <w:sz w:val="30"/>
          <w:szCs w:val="30"/>
        </w:rPr>
        <w:t>旗下部分</w:t>
      </w:r>
      <w:r w:rsidR="00725D1D" w:rsidRPr="000F6EF1">
        <w:rPr>
          <w:rFonts w:ascii="黑体" w:eastAsia="黑体" w:hAnsi="黑体" w:cs="Arial" w:hint="eastAsia"/>
          <w:b/>
          <w:color w:val="000000"/>
          <w:kern w:val="0"/>
          <w:sz w:val="30"/>
          <w:szCs w:val="30"/>
        </w:rPr>
        <w:t>基金</w:t>
      </w:r>
      <w:r w:rsidR="0021203A">
        <w:rPr>
          <w:rFonts w:ascii="黑体" w:eastAsia="黑体" w:hAnsi="黑体" w:cs="Arial" w:hint="eastAsia"/>
          <w:b/>
          <w:color w:val="000000"/>
          <w:kern w:val="0"/>
          <w:sz w:val="30"/>
          <w:szCs w:val="30"/>
        </w:rPr>
        <w:t>恢复</w:t>
      </w:r>
      <w:r>
        <w:rPr>
          <w:rFonts w:ascii="黑体" w:eastAsia="黑体" w:hAnsi="黑体" w:cs="Arial" w:hint="eastAsia"/>
          <w:b/>
          <w:color w:val="000000"/>
          <w:kern w:val="0"/>
          <w:sz w:val="30"/>
          <w:szCs w:val="30"/>
        </w:rPr>
        <w:t>上海国信嘉利基金销售有限公司</w:t>
      </w:r>
      <w:r w:rsidR="00725D1D" w:rsidRPr="000F6EF1">
        <w:rPr>
          <w:rFonts w:ascii="黑体" w:eastAsia="黑体" w:hAnsi="黑体" w:cs="Arial" w:hint="eastAsia"/>
          <w:b/>
          <w:color w:val="000000"/>
          <w:kern w:val="0"/>
          <w:sz w:val="30"/>
          <w:szCs w:val="30"/>
        </w:rPr>
        <w:t>为销售机构并参加其费率优惠活动的公告</w:t>
      </w:r>
    </w:p>
    <w:p w:rsidR="005623FC" w:rsidRPr="0021203A" w:rsidRDefault="00076CB4" w:rsidP="0021203A">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sidRPr="00F303B3">
        <w:rPr>
          <w:rFonts w:ascii="宋体" w:hAnsi="宋体" w:cs="Arial"/>
          <w:color w:val="000000"/>
          <w:kern w:val="0"/>
          <w:sz w:val="24"/>
          <w:szCs w:val="24"/>
        </w:rPr>
        <w:t>根据前海开源基金管理有限公司（以下简称“本公司”）与</w:t>
      </w:r>
      <w:r w:rsidRPr="00F303B3">
        <w:rPr>
          <w:rFonts w:ascii="宋体" w:hAnsi="宋体" w:cs="Arial"/>
          <w:color w:val="000000" w:themeColor="text1"/>
          <w:kern w:val="0"/>
          <w:sz w:val="24"/>
          <w:szCs w:val="24"/>
        </w:rPr>
        <w:t>上海国信嘉利基金销售有限公司</w:t>
      </w:r>
      <w:r w:rsidRPr="00F303B3">
        <w:rPr>
          <w:rFonts w:ascii="宋体" w:hAnsi="宋体" w:cs="Arial"/>
          <w:color w:val="000000"/>
          <w:kern w:val="0"/>
          <w:sz w:val="24"/>
          <w:szCs w:val="24"/>
        </w:rPr>
        <w:t>（以下简称“</w:t>
      </w:r>
      <w:r w:rsidRPr="00F303B3">
        <w:rPr>
          <w:rFonts w:ascii="宋体" w:hAnsi="宋体" w:cs="Arial"/>
          <w:color w:val="000000" w:themeColor="text1"/>
          <w:kern w:val="0"/>
          <w:sz w:val="24"/>
          <w:szCs w:val="24"/>
        </w:rPr>
        <w:t>国信嘉利基金</w:t>
      </w:r>
      <w:r w:rsidRPr="00F303B3">
        <w:rPr>
          <w:rFonts w:ascii="宋体" w:hAnsi="宋体" w:cs="Arial"/>
          <w:color w:val="000000"/>
          <w:kern w:val="0"/>
          <w:sz w:val="24"/>
          <w:szCs w:val="24"/>
        </w:rPr>
        <w:t>”）签署的基金销售</w:t>
      </w:r>
      <w:r w:rsidRPr="00F303B3">
        <w:rPr>
          <w:rFonts w:ascii="宋体" w:hAnsi="宋体" w:cs="Arial" w:hint="eastAsia"/>
          <w:color w:val="000000"/>
          <w:kern w:val="0"/>
          <w:sz w:val="24"/>
          <w:szCs w:val="24"/>
        </w:rPr>
        <w:t>服务</w:t>
      </w:r>
      <w:r w:rsidRPr="00F303B3">
        <w:rPr>
          <w:rFonts w:ascii="宋体" w:hAnsi="宋体" w:cs="Arial"/>
          <w:color w:val="000000"/>
          <w:kern w:val="0"/>
          <w:sz w:val="24"/>
          <w:szCs w:val="24"/>
        </w:rPr>
        <w:t>协议，</w:t>
      </w:r>
      <w:r w:rsidR="0021203A" w:rsidRPr="00F303B3">
        <w:rPr>
          <w:rFonts w:ascii="宋体" w:hAnsi="宋体" w:cs="Arial" w:hint="eastAsia"/>
          <w:color w:val="000000"/>
          <w:kern w:val="0"/>
          <w:sz w:val="24"/>
          <w:szCs w:val="24"/>
        </w:rPr>
        <w:t>自</w:t>
      </w:r>
      <w:r w:rsidR="0021203A" w:rsidRPr="004524F1">
        <w:rPr>
          <w:rFonts w:ascii="宋体" w:hAnsi="宋体" w:cs="Arial"/>
          <w:kern w:val="0"/>
          <w:sz w:val="24"/>
          <w:szCs w:val="24"/>
        </w:rPr>
        <w:t>2024年9月</w:t>
      </w:r>
      <w:r w:rsidR="004524F1" w:rsidRPr="004524F1">
        <w:rPr>
          <w:rFonts w:ascii="宋体" w:hAnsi="宋体" w:cs="Arial"/>
          <w:kern w:val="0"/>
          <w:sz w:val="24"/>
          <w:szCs w:val="24"/>
        </w:rPr>
        <w:t>27</w:t>
      </w:r>
      <w:r w:rsidR="0021203A" w:rsidRPr="004524F1">
        <w:rPr>
          <w:rFonts w:ascii="宋体" w:hAnsi="宋体" w:cs="Arial"/>
          <w:kern w:val="0"/>
          <w:sz w:val="24"/>
          <w:szCs w:val="24"/>
        </w:rPr>
        <w:t>日起</w:t>
      </w:r>
      <w:r w:rsidR="0021203A" w:rsidRPr="00F303B3">
        <w:rPr>
          <w:rFonts w:ascii="宋体" w:hAnsi="宋体" w:cs="Arial" w:hint="eastAsia"/>
          <w:color w:val="000000"/>
          <w:kern w:val="0"/>
          <w:sz w:val="24"/>
          <w:szCs w:val="24"/>
        </w:rPr>
        <w:t>恢复</w:t>
      </w:r>
      <w:r w:rsidR="0021203A" w:rsidRPr="00F303B3">
        <w:rPr>
          <w:rFonts w:ascii="宋体" w:hAnsi="宋体" w:cs="Arial"/>
          <w:color w:val="000000" w:themeColor="text1"/>
          <w:kern w:val="0"/>
          <w:sz w:val="24"/>
          <w:szCs w:val="24"/>
        </w:rPr>
        <w:t>国信嘉利基金</w:t>
      </w:r>
      <w:r w:rsidR="0021203A" w:rsidRPr="00F303B3">
        <w:rPr>
          <w:rFonts w:ascii="宋体" w:hAnsi="宋体" w:cs="Arial" w:hint="eastAsia"/>
          <w:color w:val="000000"/>
          <w:kern w:val="0"/>
          <w:sz w:val="24"/>
          <w:szCs w:val="24"/>
        </w:rPr>
        <w:t>办理本公司旗下基金的</w:t>
      </w:r>
      <w:r w:rsidR="00180C14">
        <w:rPr>
          <w:rFonts w:ascii="宋体" w:hAnsi="宋体" w:cs="Arial" w:hint="eastAsia"/>
          <w:color w:val="000000"/>
          <w:kern w:val="0"/>
          <w:sz w:val="24"/>
          <w:szCs w:val="24"/>
        </w:rPr>
        <w:t>销售</w:t>
      </w:r>
      <w:r w:rsidR="0021203A" w:rsidRPr="00F303B3">
        <w:rPr>
          <w:rFonts w:ascii="宋体" w:hAnsi="宋体" w:cs="Arial" w:hint="eastAsia"/>
          <w:color w:val="000000"/>
          <w:kern w:val="0"/>
          <w:sz w:val="24"/>
          <w:szCs w:val="24"/>
        </w:rPr>
        <w:t>业务。现将有关事项公告如下：</w:t>
      </w:r>
    </w:p>
    <w:p w:rsidR="0021203A" w:rsidRDefault="0021203A" w:rsidP="006642A1">
      <w:pPr>
        <w:pStyle w:val="ac"/>
        <w:widowControl/>
        <w:numPr>
          <w:ilvl w:val="0"/>
          <w:numId w:val="1"/>
        </w:numPr>
        <w:shd w:val="clear" w:color="auto" w:fill="FFFFFF"/>
        <w:adjustRightInd w:val="0"/>
        <w:snapToGrid w:val="0"/>
        <w:spacing w:beforeLines="50" w:line="360" w:lineRule="auto"/>
        <w:ind w:firstLineChars="0"/>
        <w:rPr>
          <w:rFonts w:ascii="宋体" w:hAnsi="宋体" w:cs="Arial"/>
          <w:b/>
          <w:color w:val="000000"/>
          <w:kern w:val="0"/>
          <w:sz w:val="24"/>
          <w:szCs w:val="24"/>
        </w:rPr>
      </w:pPr>
      <w:r w:rsidRPr="0021203A">
        <w:rPr>
          <w:rFonts w:ascii="宋体" w:hAnsi="宋体" w:cs="Arial" w:hint="eastAsia"/>
          <w:b/>
          <w:color w:val="000000"/>
          <w:kern w:val="0"/>
          <w:sz w:val="24"/>
          <w:szCs w:val="24"/>
        </w:rPr>
        <w:t>适用基金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164"/>
        <w:gridCol w:w="6780"/>
      </w:tblGrid>
      <w:tr w:rsidR="004D35D1" w:rsidTr="004D35D1">
        <w:trPr>
          <w:trHeight w:val="285"/>
        </w:trPr>
        <w:tc>
          <w:tcPr>
            <w:tcW w:w="339" w:type="pct"/>
            <w:shd w:val="clear" w:color="auto" w:fill="auto"/>
            <w:noWrap/>
            <w:vAlign w:val="center"/>
          </w:tcPr>
          <w:p w:rsidR="004D35D1" w:rsidRDefault="004D35D1" w:rsidP="00CA53AE">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683" w:type="pct"/>
            <w:shd w:val="clear" w:color="auto" w:fill="auto"/>
            <w:noWrap/>
            <w:vAlign w:val="center"/>
          </w:tcPr>
          <w:p w:rsidR="004D35D1" w:rsidRDefault="004D35D1" w:rsidP="00CA53AE">
            <w:pPr>
              <w:widowControl/>
              <w:jc w:val="center"/>
              <w:rPr>
                <w:rFonts w:ascii="宋体" w:hAnsi="宋体" w:cs="宋体"/>
                <w:b/>
                <w:bCs/>
                <w:kern w:val="0"/>
                <w:sz w:val="22"/>
              </w:rPr>
            </w:pPr>
            <w:r>
              <w:rPr>
                <w:rFonts w:ascii="宋体" w:hAnsi="宋体" w:cs="宋体" w:hint="eastAsia"/>
                <w:b/>
                <w:bCs/>
                <w:kern w:val="0"/>
                <w:sz w:val="22"/>
              </w:rPr>
              <w:t>基金代码</w:t>
            </w:r>
          </w:p>
        </w:tc>
        <w:tc>
          <w:tcPr>
            <w:tcW w:w="3978" w:type="pct"/>
            <w:shd w:val="clear" w:color="auto" w:fill="auto"/>
            <w:noWrap/>
            <w:vAlign w:val="center"/>
          </w:tcPr>
          <w:p w:rsidR="004D35D1" w:rsidRDefault="004D35D1" w:rsidP="00CA53AE">
            <w:pPr>
              <w:widowControl/>
              <w:jc w:val="center"/>
              <w:rPr>
                <w:rFonts w:ascii="宋体" w:hAnsi="宋体" w:cs="宋体"/>
                <w:b/>
                <w:bCs/>
                <w:kern w:val="0"/>
                <w:sz w:val="22"/>
              </w:rPr>
            </w:pPr>
            <w:r>
              <w:rPr>
                <w:rFonts w:ascii="宋体" w:hAnsi="宋体" w:cs="宋体" w:hint="eastAsia"/>
                <w:b/>
                <w:bCs/>
                <w:kern w:val="0"/>
                <w:sz w:val="22"/>
              </w:rPr>
              <w:t>基金名称</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000969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前海开源大安全核心精选灵活配置混合型证券投资基金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000690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前海开源大海洋战略经济灵活配置混合型证券投资基金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002971</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前海开源鼎安债券型证券投资基金A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002972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前海开源鼎安债券型证券投资基金C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003167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前海开源鼎瑞债券型证券投资基金A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003168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前海开源鼎瑞债券型证券投资基金C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006145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前海开源鼎欣债券型证券投资基金A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006146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前海开源鼎欣债券型证券投资基金C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003254</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前海开源鼎裕债券型证券投资基金A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003255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前海开源鼎裕债券型证券投资基金C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001060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前海开源高端装备制造灵活配置混合型证券投资基金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001103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前海开源工业革命4.0灵活配置混合型证券投资基金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000916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前海开源股息率100强等权重股票型证券投资基金A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001102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前海开源国家比较优势灵活配置混合型证券投资基金A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002690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前海开源恒泽混合型证券投资基金A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002691</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前海开源恒泽混合型证券投资基金C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002666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前海开源沪港深创新成长灵活配置混合型证券投资基金A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002667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前海开源沪港深创新成长灵活配置混合型证券投资基金C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19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002663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前海开源沪港深大消费主题精选灵活配置混合型证券投资基金 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002662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前海开源沪港深大消费主题精选灵活配置混合型证券投资基金A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003993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前海开源沪港深核心驱动灵活配置混合型证券投资基金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003304</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前海开源沪港深核心资源灵活配置混合型证券投资基金A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003305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前海开源沪港深核心资源灵活配置混合型证券投资基金C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001942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前海开源沪港深汇鑫灵活配置混合型证券投资基金A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001943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前海开源沪港深汇鑫灵活配置混合型证券投资基金C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001874</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前海开源沪港深价值精选灵活配置混合型证券投资基金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001837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前海开源沪港深蓝筹精选灵活配置混合型证券投资基金A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002443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前海开源沪港深龙头精选灵活配置混合型证券投资基金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29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004321</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前海开源沪港深强国产业灵活配置混合型证券投资基金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lastRenderedPageBreak/>
              <w:t>30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002860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前海开源沪港深新机遇灵活配置混合型证券投资基金A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004314</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前海开源沪港深新硬件主题灵活配置混合型证券投资基金A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004315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前海开源沪港深新硬件主题灵活配置混合型证券投资基金C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001875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前海开源沪港深优势精选灵活配置混合型证券投资基金A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004316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前海开源沪港深裕鑫灵活配置混合型证券投资基金A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004317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前海开源沪港深裕鑫灵活配置混合型证券投资基金C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001972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前海开源沪港深智慧生活优选灵活配置混合型证券投资基金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000656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前海开源沪深300指数型证券投资基金A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009198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前海开源黄金交易型开放式证券投资基金联接基金A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39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001765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前海开源嘉鑫灵活配置混合型证券投资基金A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001770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前海开源嘉鑫灵活配置混合型证券投资基金C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006216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前海开源价值成长灵活配置混合型证券投资基金A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006217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前海开源价值成长灵活配置混合型证券投资基金C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001302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前海开源金银珠宝主题精选灵活配置混合型证券投资基金A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002207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前海开源金银珠宝主题精选灵活配置混合型证券投资基金C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007638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前海开源康颐平衡养老目标三年持有期混合型发起式基金中基金（FOF）</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000536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前海开源可转债债券型发起式证券投资基金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001849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前海开源强势共识100强等权重股票型证券投资基金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001278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前海开源清洁能源主题精选灵活配置混合型证券投资基金A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49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002360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前海开源清洁能源主题精选灵活配置混合型证券投资基金C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001986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前海开源人工智能主题灵活配置混合型证券投资基金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003360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前海开源瑞和债券型证券投资基金A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003361</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前海开源瑞和债券型证券投资基金C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000423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前海开源事件驱动灵活配置混合型发起式证券投资基金A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001865</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前海开源事件驱动灵活配置混合型发起式证券投资基金C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001870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前海开源现金增利货币市场基金A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001871</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前海开源现金增利货币市场基金B</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004210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前海开源现金增利货币市场基金E</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003218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前海开源祥和债券型证券投资基金A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59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003219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前海开源祥和债券型证券投资基金C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000689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前海开源新经济灵活配置混合型证券投资基金A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008381</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前海开源新兴产业混合型证券投资基金A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001209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前海开源一带一路主题精选灵活配置混合型证券投资基金A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002080</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前海开源一带一路主题精选灵活配置混合型证券投资基金C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001162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前海开源优势蓝筹股票型证券投资基金A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001638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前海开源优势蓝筹股票型证券投资基金C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001178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前海开源再融资主题精选股票型证券投资基金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67</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000788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前海开源中国成长灵活配置混合型证券投资基金</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68</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001679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前海开源中国稀缺资产灵活配置混合型证券投资基金A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69</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002079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前海开源中国稀缺资产灵活配置混合型证券投资基金C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70</w:t>
            </w:r>
          </w:p>
        </w:tc>
        <w:tc>
          <w:tcPr>
            <w:tcW w:w="683" w:type="dxa"/>
            <w:shd w:val="clear" w:color="auto" w:fill="auto"/>
            <w:vAlign w:val="center"/>
          </w:tcPr>
          <w:p w:rsidR="004D35D1" w:rsidRDefault="004D35D1" w:rsidP="00CA53AE">
            <w:pPr>
              <w:jc w:val="center"/>
            </w:pPr>
            <w:r>
              <w:rPr>
                <w:rFonts w:ascii="宋体" w:hAnsi="宋体" w:cs="宋体"/>
                <w:color w:val="000000"/>
                <w:position w:val="-1"/>
              </w:rPr>
              <w:t>001027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前海开源中证大农业指数增强型证券投资基金A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71</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000596</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前海开源中证军工指数型证券投资基金A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lastRenderedPageBreak/>
              <w:t>72</w:t>
            </w:r>
          </w:p>
        </w:tc>
        <w:tc>
          <w:tcPr>
            <w:tcW w:w="683" w:type="dxa"/>
            <w:shd w:val="clear" w:color="auto" w:fill="auto"/>
            <w:vAlign w:val="center"/>
          </w:tcPr>
          <w:p w:rsidR="004D35D1" w:rsidRDefault="004D35D1" w:rsidP="00CA53AE">
            <w:pPr>
              <w:jc w:val="center"/>
            </w:pPr>
            <w:r>
              <w:rPr>
                <w:rFonts w:ascii="宋体" w:hAnsi="宋体" w:cs="宋体"/>
                <w:color w:val="000000"/>
                <w:position w:val="-1"/>
              </w:rPr>
              <w:t>002199</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前海开源中证军工指数型证券投资基金C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73</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003857</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前海开源周期优选灵活配置混合型证券投资基金A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74</w:t>
            </w:r>
          </w:p>
        </w:tc>
        <w:tc>
          <w:tcPr>
            <w:tcW w:w="683" w:type="dxa"/>
            <w:shd w:val="clear" w:color="auto" w:fill="auto"/>
            <w:vAlign w:val="center"/>
          </w:tcPr>
          <w:p w:rsidR="004D35D1" w:rsidRDefault="004D35D1" w:rsidP="00CA53AE">
            <w:pPr>
              <w:jc w:val="center"/>
            </w:pPr>
            <w:r>
              <w:rPr>
                <w:rFonts w:ascii="宋体" w:hAnsi="宋体" w:cs="宋体"/>
                <w:color w:val="000000"/>
                <w:position w:val="-1"/>
              </w:rPr>
              <w:t>003858</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前海开源周期优选灵活配置混合型证券投资基金C</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75</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000932</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前海开源睿远稳健增利混合型证券投资基金A</w:t>
            </w:r>
          </w:p>
        </w:tc>
      </w:tr>
      <w:tr w:rsidR="004D35D1" w:rsidTr="004D35D1">
        <w:trPr>
          <w:trHeight w:val="270"/>
        </w:trPr>
        <w:tc>
          <w:tcPr>
            <w:tcW w:w="339" w:type="dxa"/>
            <w:shd w:val="clear" w:color="auto" w:fill="auto"/>
            <w:vAlign w:val="center"/>
          </w:tcPr>
          <w:p w:rsidR="004D35D1" w:rsidRDefault="004D35D1" w:rsidP="00CA53AE">
            <w:pPr>
              <w:jc w:val="center"/>
            </w:pPr>
            <w:r>
              <w:rPr>
                <w:rFonts w:ascii="宋体" w:hAnsi="宋体" w:cs="宋体"/>
                <w:color w:val="000000"/>
                <w:position w:val="-1"/>
              </w:rPr>
              <w:t>76</w:t>
            </w:r>
          </w:p>
        </w:tc>
        <w:tc>
          <w:tcPr>
            <w:tcW w:w="683" w:type="dxa"/>
            <w:shd w:val="clear" w:color="auto" w:fill="auto"/>
            <w:vAlign w:val="center"/>
          </w:tcPr>
          <w:p w:rsidR="004D35D1" w:rsidRDefault="004D35D1" w:rsidP="00CA53AE">
            <w:pPr>
              <w:jc w:val="center"/>
            </w:pPr>
            <w:r>
              <w:rPr>
                <w:rFonts w:ascii="宋体" w:hAnsi="宋体" w:cs="宋体"/>
                <w:color w:val="000000"/>
                <w:position w:val="-1"/>
              </w:rPr>
              <w:t>000933</w:t>
            </w:r>
          </w:p>
        </w:tc>
        <w:tc>
          <w:tcPr>
            <w:tcW w:w="3978" w:type="dxa"/>
            <w:shd w:val="clear" w:color="auto" w:fill="auto"/>
            <w:vAlign w:val="center"/>
          </w:tcPr>
          <w:p w:rsidR="004D35D1" w:rsidRDefault="004D35D1" w:rsidP="00CA53AE">
            <w:pPr>
              <w:jc w:val="center"/>
            </w:pPr>
            <w:r>
              <w:rPr>
                <w:rFonts w:ascii="宋体" w:hAnsi="宋体" w:cs="宋体"/>
                <w:color w:val="000000"/>
                <w:position w:val="-1"/>
              </w:rPr>
              <w:t>前海开源睿远稳健增利混合型证券投资基金C</w:t>
            </w:r>
          </w:p>
        </w:tc>
      </w:tr>
    </w:tbl>
    <w:p w:rsidR="00F303B3" w:rsidRPr="004D35D1" w:rsidRDefault="00F303B3" w:rsidP="00F303B3">
      <w:pPr>
        <w:widowControl/>
        <w:shd w:val="clear" w:color="auto" w:fill="FFFFFF"/>
        <w:adjustRightInd w:val="0"/>
        <w:snapToGrid w:val="0"/>
        <w:spacing w:line="360" w:lineRule="auto"/>
        <w:ind w:firstLineChars="200" w:firstLine="480"/>
        <w:rPr>
          <w:rFonts w:ascii="宋体" w:hAnsi="宋体" w:cs="Arial"/>
          <w:kern w:val="0"/>
          <w:sz w:val="24"/>
          <w:szCs w:val="24"/>
        </w:rPr>
      </w:pPr>
    </w:p>
    <w:p w:rsidR="00F303B3" w:rsidRPr="00F303B3" w:rsidRDefault="00F303B3" w:rsidP="00F303B3">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sidRPr="004524F1">
        <w:rPr>
          <w:rFonts w:ascii="宋体" w:hAnsi="宋体" w:cs="Arial" w:hint="eastAsia"/>
          <w:kern w:val="0"/>
          <w:sz w:val="24"/>
          <w:szCs w:val="24"/>
        </w:rPr>
        <w:t>自</w:t>
      </w:r>
      <w:r w:rsidRPr="004524F1">
        <w:rPr>
          <w:rFonts w:ascii="宋体" w:hAnsi="宋体" w:cs="Arial"/>
          <w:kern w:val="0"/>
          <w:sz w:val="24"/>
          <w:szCs w:val="24"/>
        </w:rPr>
        <w:t>2024年9月</w:t>
      </w:r>
      <w:r w:rsidR="004524F1" w:rsidRPr="004524F1">
        <w:rPr>
          <w:rFonts w:ascii="宋体" w:hAnsi="宋体" w:cs="Arial"/>
          <w:kern w:val="0"/>
          <w:sz w:val="24"/>
          <w:szCs w:val="24"/>
        </w:rPr>
        <w:t>27</w:t>
      </w:r>
      <w:r w:rsidRPr="004524F1">
        <w:rPr>
          <w:rFonts w:ascii="宋体" w:hAnsi="宋体" w:cs="Arial"/>
          <w:kern w:val="0"/>
          <w:sz w:val="24"/>
          <w:szCs w:val="24"/>
        </w:rPr>
        <w:t>日</w:t>
      </w:r>
      <w:r w:rsidRPr="004524F1">
        <w:rPr>
          <w:rFonts w:ascii="宋体" w:hAnsi="宋体" w:cs="Arial" w:hint="eastAsia"/>
          <w:kern w:val="0"/>
          <w:sz w:val="24"/>
          <w:szCs w:val="24"/>
        </w:rPr>
        <w:t>起</w:t>
      </w:r>
      <w:r w:rsidR="005A4999">
        <w:rPr>
          <w:rFonts w:ascii="宋体" w:hAnsi="宋体" w:cs="Arial" w:hint="eastAsia"/>
          <w:kern w:val="0"/>
          <w:sz w:val="24"/>
          <w:szCs w:val="24"/>
        </w:rPr>
        <w:t>，投资者可通过国信嘉利基金办理上述适用基金的申购</w:t>
      </w:r>
      <w:r w:rsidRPr="00F303B3">
        <w:rPr>
          <w:rFonts w:ascii="宋体" w:hAnsi="宋体" w:cs="Arial" w:hint="eastAsia"/>
          <w:kern w:val="0"/>
          <w:sz w:val="24"/>
          <w:szCs w:val="24"/>
        </w:rPr>
        <w:t>、赎回、转换等业务，业务开始或结束办理的具体时间及具体程序、规则以国信嘉利基金的有关规定为准。</w:t>
      </w:r>
    </w:p>
    <w:p w:rsidR="005623FC" w:rsidRPr="0021203A" w:rsidRDefault="00076CB4" w:rsidP="006642A1">
      <w:pPr>
        <w:pStyle w:val="ac"/>
        <w:widowControl/>
        <w:numPr>
          <w:ilvl w:val="0"/>
          <w:numId w:val="1"/>
        </w:numPr>
        <w:shd w:val="clear" w:color="auto" w:fill="FFFFFF"/>
        <w:adjustRightInd w:val="0"/>
        <w:snapToGrid w:val="0"/>
        <w:spacing w:beforeLines="50" w:line="360" w:lineRule="auto"/>
        <w:ind w:firstLineChars="0"/>
        <w:rPr>
          <w:rFonts w:ascii="宋体" w:hAnsi="宋体" w:cs="Arial"/>
          <w:b/>
          <w:color w:val="000000"/>
          <w:kern w:val="0"/>
          <w:sz w:val="24"/>
          <w:szCs w:val="24"/>
        </w:rPr>
      </w:pPr>
      <w:r w:rsidRPr="0021203A">
        <w:rPr>
          <w:rFonts w:ascii="宋体" w:hAnsi="宋体" w:cs="Arial" w:hint="eastAsia"/>
          <w:b/>
          <w:color w:val="000000"/>
          <w:kern w:val="0"/>
          <w:sz w:val="24"/>
          <w:szCs w:val="24"/>
        </w:rPr>
        <w:t>费率优惠及业务办理最低限额</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1、费率优惠</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投资者通过</w:t>
      </w:r>
      <w:r>
        <w:rPr>
          <w:rFonts w:ascii="宋体" w:hAnsi="宋体" w:cs="Arial"/>
          <w:color w:val="000000" w:themeColor="text1"/>
          <w:kern w:val="0"/>
          <w:sz w:val="24"/>
          <w:szCs w:val="24"/>
        </w:rPr>
        <w:t>国信嘉利基金</w:t>
      </w:r>
      <w:r w:rsidR="0021203A">
        <w:rPr>
          <w:rFonts w:ascii="宋体" w:hAnsi="宋体" w:cs="Arial" w:hint="eastAsia"/>
          <w:color w:val="000000"/>
          <w:kern w:val="0"/>
          <w:sz w:val="24"/>
          <w:szCs w:val="24"/>
        </w:rPr>
        <w:t>办理</w:t>
      </w:r>
      <w:r w:rsidR="0080648E">
        <w:rPr>
          <w:rFonts w:ascii="宋体" w:hAnsi="宋体" w:cs="Arial" w:hint="eastAsia"/>
          <w:color w:val="000000"/>
          <w:kern w:val="0"/>
          <w:sz w:val="24"/>
          <w:szCs w:val="24"/>
        </w:rPr>
        <w:t>上述适用</w:t>
      </w:r>
      <w:r w:rsidR="005A4999">
        <w:rPr>
          <w:rFonts w:ascii="宋体" w:hAnsi="宋体" w:cs="Arial" w:hint="eastAsia"/>
          <w:color w:val="000000"/>
          <w:kern w:val="0"/>
          <w:sz w:val="24"/>
          <w:szCs w:val="24"/>
        </w:rPr>
        <w:t>基金的申购业务，其申购</w:t>
      </w:r>
      <w:r>
        <w:rPr>
          <w:rFonts w:ascii="宋体" w:hAnsi="宋体" w:cs="Arial" w:hint="eastAsia"/>
          <w:color w:val="000000"/>
          <w:kern w:val="0"/>
          <w:sz w:val="24"/>
          <w:szCs w:val="24"/>
        </w:rPr>
        <w:t>费率</w:t>
      </w:r>
      <w:r w:rsidR="009417D4">
        <w:rPr>
          <w:rFonts w:ascii="宋体" w:hAnsi="宋体" w:cs="Arial"/>
          <w:color w:val="000000" w:themeColor="text1"/>
          <w:kern w:val="0"/>
          <w:sz w:val="24"/>
          <w:szCs w:val="24"/>
        </w:rPr>
        <w:t>不设折扣限制</w:t>
      </w:r>
      <w:r w:rsidR="005A4999">
        <w:rPr>
          <w:rFonts w:ascii="宋体" w:hAnsi="宋体" w:cs="Arial" w:hint="eastAsia"/>
          <w:color w:val="000000"/>
          <w:kern w:val="0"/>
          <w:sz w:val="24"/>
          <w:szCs w:val="24"/>
        </w:rPr>
        <w:t>（包含</w:t>
      </w:r>
      <w:r>
        <w:rPr>
          <w:rFonts w:ascii="宋体" w:hAnsi="宋体" w:cs="Arial" w:hint="eastAsia"/>
          <w:color w:val="000000"/>
          <w:kern w:val="0"/>
          <w:sz w:val="24"/>
          <w:szCs w:val="24"/>
        </w:rPr>
        <w:t>固定费用</w:t>
      </w:r>
      <w:r w:rsidR="005A4999">
        <w:rPr>
          <w:rFonts w:ascii="宋体" w:hAnsi="宋体" w:cs="Arial" w:hint="eastAsia"/>
          <w:color w:val="000000"/>
          <w:kern w:val="0"/>
          <w:sz w:val="24"/>
          <w:szCs w:val="24"/>
        </w:rPr>
        <w:t>）</w:t>
      </w:r>
      <w:r>
        <w:rPr>
          <w:rFonts w:ascii="宋体" w:hAnsi="宋体" w:cs="Arial" w:hint="eastAsia"/>
          <w:color w:val="000000"/>
          <w:kern w:val="0"/>
          <w:sz w:val="24"/>
          <w:szCs w:val="24"/>
        </w:rPr>
        <w:t>。具体折扣费率以</w:t>
      </w:r>
      <w:r>
        <w:rPr>
          <w:rFonts w:ascii="宋体" w:hAnsi="宋体" w:cs="Arial"/>
          <w:color w:val="000000" w:themeColor="text1"/>
          <w:kern w:val="0"/>
          <w:sz w:val="24"/>
          <w:szCs w:val="24"/>
        </w:rPr>
        <w:t>国信嘉利基金</w:t>
      </w:r>
      <w:r>
        <w:rPr>
          <w:rFonts w:ascii="宋体" w:hAnsi="宋体" w:cs="Arial" w:hint="eastAsia"/>
          <w:color w:val="000000"/>
          <w:kern w:val="0"/>
          <w:sz w:val="24"/>
          <w:szCs w:val="24"/>
        </w:rPr>
        <w:t>活动为准。基金原费率请详见基金合同、招募说明书、基金产品资料概要及其更新等法律文件，以及本公司发布的最新业务公告。</w:t>
      </w:r>
    </w:p>
    <w:p w:rsidR="005623FC" w:rsidRDefault="005A4999">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2</w:t>
      </w:r>
      <w:r w:rsidR="00076CB4">
        <w:rPr>
          <w:rFonts w:ascii="宋体" w:hAnsi="宋体" w:cs="Arial" w:hint="eastAsia"/>
          <w:color w:val="000000"/>
          <w:kern w:val="0"/>
          <w:sz w:val="24"/>
          <w:szCs w:val="24"/>
        </w:rPr>
        <w:t>、</w:t>
      </w:r>
      <w:r w:rsidR="00725D1D">
        <w:rPr>
          <w:rFonts w:ascii="宋体" w:hAnsi="宋体" w:cs="Arial" w:hint="eastAsia"/>
          <w:color w:val="000000"/>
          <w:kern w:val="0"/>
          <w:sz w:val="24"/>
          <w:szCs w:val="24"/>
        </w:rPr>
        <w:t>后续本公司新增通过</w:t>
      </w:r>
      <w:r w:rsidR="005405A9">
        <w:rPr>
          <w:rFonts w:ascii="宋体" w:hAnsi="宋体" w:cs="Arial"/>
          <w:color w:val="000000" w:themeColor="text1"/>
          <w:kern w:val="0"/>
          <w:sz w:val="24"/>
          <w:szCs w:val="24"/>
        </w:rPr>
        <w:t>国信嘉利基金</w:t>
      </w:r>
      <w:r w:rsidR="00725D1D">
        <w:rPr>
          <w:rFonts w:ascii="宋体" w:hAnsi="宋体" w:cs="Arial" w:hint="eastAsia"/>
          <w:color w:val="000000"/>
          <w:kern w:val="0"/>
          <w:sz w:val="24"/>
          <w:szCs w:val="24"/>
        </w:rPr>
        <w:t>销售的基金产品</w:t>
      </w:r>
      <w:r>
        <w:rPr>
          <w:rFonts w:ascii="宋体" w:hAnsi="宋体" w:cs="Arial" w:hint="eastAsia"/>
          <w:color w:val="000000"/>
          <w:kern w:val="0"/>
          <w:sz w:val="24"/>
          <w:szCs w:val="24"/>
        </w:rPr>
        <w:t>除基金法律文件或产品相关公告有特殊规定外，适用上述费率优惠</w:t>
      </w:r>
      <w:r w:rsidR="00725D1D">
        <w:rPr>
          <w:rFonts w:ascii="宋体" w:hAnsi="宋体" w:cs="Arial" w:hint="eastAsia"/>
          <w:color w:val="000000"/>
          <w:kern w:val="0"/>
          <w:sz w:val="24"/>
          <w:szCs w:val="24"/>
        </w:rPr>
        <w:t>，本公司不再另行公告</w:t>
      </w:r>
      <w:r w:rsidR="00076CB4">
        <w:rPr>
          <w:rFonts w:ascii="宋体" w:hAnsi="宋体" w:cs="Arial" w:hint="eastAsia"/>
          <w:color w:val="000000"/>
          <w:kern w:val="0"/>
          <w:sz w:val="24"/>
          <w:szCs w:val="24"/>
        </w:rPr>
        <w:t>。</w:t>
      </w:r>
    </w:p>
    <w:p w:rsidR="005623FC" w:rsidRDefault="005A4999">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3</w:t>
      </w:r>
      <w:r w:rsidR="00076CB4">
        <w:rPr>
          <w:rFonts w:ascii="宋体" w:hAnsi="宋体" w:cs="Arial" w:hint="eastAsia"/>
          <w:color w:val="000000"/>
          <w:kern w:val="0"/>
          <w:sz w:val="24"/>
          <w:szCs w:val="24"/>
        </w:rPr>
        <w:t>、</w:t>
      </w:r>
      <w:r w:rsidR="00725D1D">
        <w:rPr>
          <w:rFonts w:ascii="宋体" w:hAnsi="宋体" w:cs="Arial" w:hint="eastAsia"/>
          <w:color w:val="000000"/>
          <w:kern w:val="0"/>
          <w:sz w:val="24"/>
          <w:szCs w:val="24"/>
        </w:rPr>
        <w:t>处于封闭期的产品，自开放申购、赎回业务之日起，适用于上述费率优惠，本公司不再另行公告</w:t>
      </w:r>
      <w:r w:rsidR="00076CB4">
        <w:rPr>
          <w:rFonts w:ascii="宋体" w:hAnsi="宋体" w:cs="Arial" w:hint="eastAsia"/>
          <w:color w:val="000000"/>
          <w:kern w:val="0"/>
          <w:sz w:val="24"/>
          <w:szCs w:val="24"/>
        </w:rPr>
        <w:t>。</w:t>
      </w:r>
    </w:p>
    <w:p w:rsidR="005623FC" w:rsidRDefault="005A4999">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4</w:t>
      </w:r>
      <w:r w:rsidR="00076CB4">
        <w:rPr>
          <w:rFonts w:ascii="宋体" w:hAnsi="宋体" w:cs="Arial"/>
          <w:color w:val="000000"/>
          <w:kern w:val="0"/>
          <w:sz w:val="24"/>
          <w:szCs w:val="24"/>
        </w:rPr>
        <w:t>、</w:t>
      </w:r>
      <w:r w:rsidR="00076CB4">
        <w:rPr>
          <w:rFonts w:ascii="宋体" w:hAnsi="宋体" w:cs="Arial" w:hint="eastAsia"/>
          <w:color w:val="000000"/>
          <w:kern w:val="0"/>
          <w:sz w:val="24"/>
          <w:szCs w:val="24"/>
        </w:rPr>
        <w:t>LOF基金的相关规则以中国证券登记结算有限责任公司的具体业务规定为准。</w:t>
      </w:r>
    </w:p>
    <w:p w:rsidR="005623FC" w:rsidRDefault="0021203A" w:rsidP="006642A1">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三</w:t>
      </w:r>
      <w:r w:rsidR="00076CB4">
        <w:rPr>
          <w:rFonts w:ascii="宋体" w:hAnsi="宋体" w:cs="Arial" w:hint="eastAsia"/>
          <w:b/>
          <w:color w:val="000000"/>
          <w:kern w:val="0"/>
          <w:sz w:val="24"/>
          <w:szCs w:val="24"/>
        </w:rPr>
        <w:t>、</w:t>
      </w:r>
      <w:r w:rsidR="00076CB4">
        <w:rPr>
          <w:rFonts w:ascii="宋体" w:hAnsi="宋体" w:cs="Arial"/>
          <w:b/>
          <w:color w:val="000000"/>
          <w:kern w:val="0"/>
          <w:sz w:val="24"/>
          <w:szCs w:val="24"/>
        </w:rPr>
        <w:t>重要提示</w:t>
      </w:r>
    </w:p>
    <w:p w:rsidR="00AC3EF9"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1、</w:t>
      </w:r>
      <w:r w:rsidR="00AC3EF9" w:rsidRPr="00F303B3">
        <w:rPr>
          <w:rFonts w:ascii="宋体" w:hAnsi="宋体" w:cs="Arial" w:hint="eastAsia"/>
          <w:color w:val="000000"/>
          <w:kern w:val="0"/>
          <w:sz w:val="24"/>
          <w:szCs w:val="24"/>
        </w:rPr>
        <w:t>上海国信嘉利基金销售有限公司</w:t>
      </w:r>
      <w:r w:rsidR="00AC3EF9" w:rsidRPr="00F303B3">
        <w:rPr>
          <w:rFonts w:ascii="宋体" w:hAnsi="宋体" w:cs="Arial"/>
          <w:color w:val="000000"/>
          <w:kern w:val="0"/>
          <w:sz w:val="24"/>
          <w:szCs w:val="24"/>
        </w:rPr>
        <w:t>为</w:t>
      </w:r>
      <w:r w:rsidR="00B84507" w:rsidRPr="00B84507">
        <w:rPr>
          <w:rFonts w:ascii="宋体" w:hAnsi="宋体" w:cs="Arial" w:hint="eastAsia"/>
          <w:color w:val="000000"/>
          <w:kern w:val="0"/>
          <w:sz w:val="24"/>
          <w:szCs w:val="24"/>
        </w:rPr>
        <w:t>扬州国信嘉利基金销售有限</w:t>
      </w:r>
      <w:r w:rsidR="00483698">
        <w:rPr>
          <w:rFonts w:ascii="宋体" w:hAnsi="宋体" w:cs="Arial" w:hint="eastAsia"/>
          <w:color w:val="000000"/>
          <w:kern w:val="0"/>
          <w:sz w:val="24"/>
          <w:szCs w:val="24"/>
        </w:rPr>
        <w:t>公司</w:t>
      </w:r>
      <w:r w:rsidR="00AC3EF9" w:rsidRPr="00F303B3">
        <w:rPr>
          <w:rFonts w:ascii="宋体" w:hAnsi="宋体" w:cs="Arial"/>
          <w:color w:val="000000"/>
          <w:kern w:val="0"/>
          <w:sz w:val="24"/>
          <w:szCs w:val="24"/>
        </w:rPr>
        <w:t>更名而来。</w:t>
      </w:r>
      <w:r w:rsidR="00AC3EF9" w:rsidRPr="00F303B3">
        <w:rPr>
          <w:rFonts w:ascii="宋体" w:hAnsi="宋体" w:cs="Arial" w:hint="eastAsia"/>
          <w:color w:val="000000"/>
          <w:kern w:val="0"/>
          <w:sz w:val="24"/>
          <w:szCs w:val="24"/>
        </w:rPr>
        <w:t>原2020年5月28日刊登的《前海开源基金管理有限公司关于暂停扬州国信嘉利基金销</w:t>
      </w:r>
      <w:r w:rsidR="00AC3EF9" w:rsidRPr="004524F1">
        <w:rPr>
          <w:rFonts w:ascii="宋体" w:hAnsi="宋体" w:cs="Arial" w:hint="eastAsia"/>
          <w:kern w:val="0"/>
          <w:sz w:val="24"/>
          <w:szCs w:val="24"/>
        </w:rPr>
        <w:t>售有限公司办理旗下基金相关销售业务的公告》自</w:t>
      </w:r>
      <w:r w:rsidR="00AC3EF9" w:rsidRPr="004524F1">
        <w:rPr>
          <w:rFonts w:ascii="宋体" w:hAnsi="宋体" w:cs="Arial"/>
          <w:kern w:val="0"/>
          <w:sz w:val="24"/>
          <w:szCs w:val="24"/>
        </w:rPr>
        <w:t>20</w:t>
      </w:r>
      <w:bookmarkStart w:id="0" w:name="_GoBack"/>
      <w:bookmarkEnd w:id="0"/>
      <w:r w:rsidR="00AC3EF9" w:rsidRPr="004524F1">
        <w:rPr>
          <w:rFonts w:ascii="宋体" w:hAnsi="宋体" w:cs="Arial"/>
          <w:kern w:val="0"/>
          <w:sz w:val="24"/>
          <w:szCs w:val="24"/>
        </w:rPr>
        <w:t>24年9月</w:t>
      </w:r>
      <w:r w:rsidR="004524F1" w:rsidRPr="004524F1">
        <w:rPr>
          <w:rFonts w:ascii="宋体" w:hAnsi="宋体" w:cs="Arial"/>
          <w:kern w:val="0"/>
          <w:sz w:val="24"/>
          <w:szCs w:val="24"/>
        </w:rPr>
        <w:t>27</w:t>
      </w:r>
      <w:r w:rsidR="00AC3EF9" w:rsidRPr="004524F1">
        <w:rPr>
          <w:rFonts w:ascii="宋体" w:hAnsi="宋体" w:cs="Arial"/>
          <w:kern w:val="0"/>
          <w:sz w:val="24"/>
          <w:szCs w:val="24"/>
        </w:rPr>
        <w:t>日</w:t>
      </w:r>
      <w:r w:rsidR="00AC3EF9" w:rsidRPr="004524F1">
        <w:rPr>
          <w:rFonts w:ascii="宋体" w:hAnsi="宋体" w:cs="Arial" w:hint="eastAsia"/>
          <w:kern w:val="0"/>
          <w:sz w:val="24"/>
          <w:szCs w:val="24"/>
        </w:rPr>
        <w:t>起不再执行</w:t>
      </w:r>
      <w:r w:rsidR="00AC3EF9" w:rsidRPr="00F303B3">
        <w:rPr>
          <w:rFonts w:ascii="宋体" w:hAnsi="宋体" w:cs="Arial" w:hint="eastAsia"/>
          <w:color w:val="000000"/>
          <w:kern w:val="0"/>
          <w:sz w:val="24"/>
          <w:szCs w:val="24"/>
        </w:rPr>
        <w:t>。</w:t>
      </w:r>
    </w:p>
    <w:p w:rsidR="005623FC" w:rsidRDefault="00AC3EF9">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2、</w:t>
      </w:r>
      <w:r w:rsidR="00076CB4">
        <w:rPr>
          <w:rFonts w:ascii="宋体" w:hAnsi="宋体" w:cs="Arial"/>
          <w:color w:val="000000"/>
          <w:kern w:val="0"/>
          <w:sz w:val="24"/>
          <w:szCs w:val="24"/>
        </w:rPr>
        <w:t>上述申购</w:t>
      </w:r>
      <w:r w:rsidR="00076CB4">
        <w:rPr>
          <w:rFonts w:ascii="宋体" w:hAnsi="宋体" w:cs="Arial" w:hint="eastAsia"/>
          <w:color w:val="000000"/>
          <w:kern w:val="0"/>
          <w:sz w:val="24"/>
          <w:szCs w:val="24"/>
        </w:rPr>
        <w:t>及</w:t>
      </w:r>
      <w:r w:rsidR="00076CB4">
        <w:rPr>
          <w:rFonts w:ascii="宋体" w:hAnsi="宋体" w:cs="Arial"/>
          <w:color w:val="000000"/>
          <w:kern w:val="0"/>
          <w:sz w:val="24"/>
          <w:szCs w:val="24"/>
        </w:rPr>
        <w:t>赎回业务仅适用于处于正常申购赎回期及处于特定开放日和开放时间的基金。基金</w:t>
      </w:r>
      <w:r w:rsidR="00076CB4">
        <w:rPr>
          <w:rFonts w:ascii="宋体" w:hAnsi="宋体" w:cs="Arial" w:hint="eastAsia"/>
          <w:color w:val="000000"/>
          <w:kern w:val="0"/>
          <w:sz w:val="24"/>
          <w:szCs w:val="24"/>
        </w:rPr>
        <w:t>认购期、</w:t>
      </w:r>
      <w:r w:rsidR="00076CB4">
        <w:rPr>
          <w:rFonts w:ascii="宋体" w:hAnsi="宋体" w:cs="Arial"/>
          <w:color w:val="000000"/>
          <w:kern w:val="0"/>
          <w:sz w:val="24"/>
          <w:szCs w:val="24"/>
        </w:rPr>
        <w:t>封闭期等特殊期间的有关规定详见对应基金的基金合同</w:t>
      </w:r>
      <w:r w:rsidR="00076CB4">
        <w:rPr>
          <w:rFonts w:ascii="宋体" w:hAnsi="宋体" w:cs="Arial" w:hint="eastAsia"/>
          <w:color w:val="000000"/>
          <w:kern w:val="0"/>
          <w:sz w:val="24"/>
          <w:szCs w:val="24"/>
        </w:rPr>
        <w:t>、</w:t>
      </w:r>
      <w:r w:rsidR="00076CB4">
        <w:rPr>
          <w:rFonts w:ascii="宋体" w:hAnsi="宋体" w:cs="Arial"/>
          <w:color w:val="000000"/>
          <w:kern w:val="0"/>
          <w:sz w:val="24"/>
          <w:szCs w:val="24"/>
        </w:rPr>
        <w:t>招募说明书</w:t>
      </w:r>
      <w:r w:rsidR="00076CB4">
        <w:rPr>
          <w:rFonts w:ascii="宋体" w:hAnsi="宋体" w:cs="Arial" w:hint="eastAsia"/>
          <w:color w:val="000000"/>
          <w:kern w:val="0"/>
          <w:sz w:val="24"/>
          <w:szCs w:val="24"/>
        </w:rPr>
        <w:t>、基金产品资料概要及其更新</w:t>
      </w:r>
      <w:r w:rsidR="00076CB4">
        <w:rPr>
          <w:rFonts w:ascii="宋体" w:hAnsi="宋体" w:cs="Arial"/>
          <w:color w:val="000000"/>
          <w:kern w:val="0"/>
          <w:sz w:val="24"/>
          <w:szCs w:val="24"/>
        </w:rPr>
        <w:t>等相关法律文件</w:t>
      </w:r>
      <w:r w:rsidR="00076CB4">
        <w:rPr>
          <w:rFonts w:ascii="宋体" w:hAnsi="宋体" w:cs="Arial" w:hint="eastAsia"/>
          <w:color w:val="000000"/>
          <w:kern w:val="0"/>
          <w:sz w:val="24"/>
          <w:szCs w:val="24"/>
        </w:rPr>
        <w:t>和</w:t>
      </w:r>
      <w:r w:rsidR="00076CB4">
        <w:rPr>
          <w:rFonts w:ascii="宋体" w:hAnsi="宋体" w:cs="Arial"/>
          <w:color w:val="000000"/>
          <w:kern w:val="0"/>
          <w:sz w:val="24"/>
          <w:szCs w:val="24"/>
        </w:rPr>
        <w:t>本公司发布的最新业务公告。</w:t>
      </w:r>
    </w:p>
    <w:p w:rsidR="005623FC" w:rsidRDefault="00AC3EF9" w:rsidP="006642A1">
      <w:pPr>
        <w:widowControl/>
        <w:shd w:val="clear" w:color="auto" w:fill="FFFFFF"/>
        <w:adjustRightInd w:val="0"/>
        <w:snapToGrid w:val="0"/>
        <w:spacing w:beforeLines="50"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3</w:t>
      </w:r>
      <w:r w:rsidR="00076CB4">
        <w:rPr>
          <w:rFonts w:ascii="宋体" w:hAnsi="宋体" w:cs="Arial" w:hint="eastAsia"/>
          <w:color w:val="000000"/>
          <w:kern w:val="0"/>
          <w:sz w:val="24"/>
          <w:szCs w:val="24"/>
        </w:rPr>
        <w:t>、基金转换是指投资者可将其通过销售机构购买并持有的本公司旗下某只开放式基金的全部或部分基金份额转换为本公司管理的其他开放式基金的基金份额。转换的两只基金必须都是由同一销售机构销售、同一基金管理人管理、并在同一登记机构处登记的基金。同一基金不同份额之间暂不开通转换。基金转换费用与转换业务规则可参照本公司发布的《前海开源基金管理有限公司关于旗下基金开通转换业务并在直销机构实行申购补差费率优惠的公告》、《前海开源基金管理有限公司关于调整旗下部分开放式证券投资基金转换业务补差费用计算方法的公告》等相关公告。</w:t>
      </w:r>
    </w:p>
    <w:p w:rsidR="005623FC" w:rsidRDefault="005A4999" w:rsidP="006642A1">
      <w:pPr>
        <w:widowControl/>
        <w:shd w:val="clear" w:color="auto" w:fill="FFFFFF"/>
        <w:adjustRightInd w:val="0"/>
        <w:snapToGrid w:val="0"/>
        <w:spacing w:beforeLines="50"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4</w:t>
      </w:r>
      <w:r w:rsidR="00076CB4">
        <w:rPr>
          <w:rFonts w:ascii="宋体" w:hAnsi="宋体" w:cs="Arial"/>
          <w:color w:val="000000"/>
          <w:kern w:val="0"/>
          <w:sz w:val="24"/>
          <w:szCs w:val="24"/>
        </w:rPr>
        <w:t>、</w:t>
      </w:r>
      <w:r w:rsidR="00076CB4">
        <w:rPr>
          <w:rFonts w:ascii="宋体" w:hAnsi="宋体" w:cs="Arial" w:hint="eastAsia"/>
          <w:color w:val="000000"/>
          <w:kern w:val="0"/>
          <w:sz w:val="24"/>
          <w:szCs w:val="24"/>
        </w:rPr>
        <w:t>本公告解释权归本公司所有。</w:t>
      </w:r>
    </w:p>
    <w:p w:rsidR="005623FC" w:rsidRDefault="0021203A" w:rsidP="006642A1">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四</w:t>
      </w:r>
      <w:r w:rsidR="00076CB4">
        <w:rPr>
          <w:rFonts w:ascii="宋体" w:hAnsi="宋体" w:cs="Arial" w:hint="eastAsia"/>
          <w:b/>
          <w:color w:val="000000"/>
          <w:kern w:val="0"/>
          <w:sz w:val="24"/>
          <w:szCs w:val="24"/>
        </w:rPr>
        <w:t>、</w:t>
      </w:r>
      <w:r w:rsidR="00076CB4">
        <w:rPr>
          <w:rFonts w:ascii="宋体" w:hAnsi="宋体" w:cs="Arial"/>
          <w:b/>
          <w:color w:val="000000"/>
          <w:kern w:val="0"/>
          <w:sz w:val="24"/>
          <w:szCs w:val="24"/>
        </w:rPr>
        <w:t>投资者可通过以下途径咨询有关详情</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1、</w:t>
      </w:r>
      <w:r>
        <w:rPr>
          <w:rFonts w:ascii="宋体" w:hAnsi="宋体" w:cs="Arial"/>
          <w:color w:val="000000" w:themeColor="text1"/>
          <w:kern w:val="0"/>
          <w:sz w:val="24"/>
          <w:szCs w:val="24"/>
        </w:rPr>
        <w:t>上海国信嘉利基金销售有限公司</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客服电话：</w:t>
      </w:r>
      <w:r>
        <w:rPr>
          <w:rFonts w:ascii="宋体" w:hAnsi="宋体" w:cs="Arial"/>
          <w:color w:val="000000" w:themeColor="text1"/>
          <w:kern w:val="0"/>
          <w:sz w:val="24"/>
          <w:szCs w:val="24"/>
        </w:rPr>
        <w:t>021-68809999</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网址：</w:t>
      </w:r>
      <w:bookmarkStart w:id="1" w:name="_Hlk119053644"/>
      <w:r>
        <w:rPr>
          <w:rFonts w:ascii="宋体" w:hAnsi="宋体" w:cs="Arial"/>
          <w:color w:val="000000" w:themeColor="text1"/>
          <w:kern w:val="0"/>
          <w:sz w:val="24"/>
          <w:szCs w:val="24"/>
        </w:rPr>
        <w:t>www.gxjlcn.com</w:t>
      </w:r>
      <w:bookmarkEnd w:id="1"/>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color w:val="000000"/>
          <w:kern w:val="0"/>
          <w:sz w:val="24"/>
          <w:szCs w:val="24"/>
        </w:rPr>
        <w:t>前海开源基金管理有限公司</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客服电话：4001-666-998</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网址：www.qhkyfund.com</w:t>
      </w:r>
    </w:p>
    <w:p w:rsidR="005623FC" w:rsidRDefault="0021203A" w:rsidP="006642A1">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五</w:t>
      </w:r>
      <w:r w:rsidR="00076CB4">
        <w:rPr>
          <w:rFonts w:ascii="宋体" w:hAnsi="宋体" w:cs="Arial"/>
          <w:b/>
          <w:color w:val="000000"/>
          <w:kern w:val="0"/>
          <w:sz w:val="24"/>
          <w:szCs w:val="24"/>
        </w:rPr>
        <w:t>、风险提示</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对于设定最短持有期的基金的每份基金份额，在最短持有期到期日（含该日）前，基金份额持有人不能对该基金份额提出赎回或转换转出申请；自最短持有期到期日的下一工作日（含该日）起，基金份额持有人可对该基金份额提出赎回或转换转出申请；基金份额持有人将面临在最短持有期到期前不能赎回基金份额的风险。</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投资者投资于货币市场基金并不等于将资金作为存款存放在银行或存款类金融机构，基金的过往业绩并不预示其未来表现，基金管理人管理的其他基金的业绩并不构成对货币市场基金表现的保证。</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沪港深系列基金的</w:t>
      </w:r>
      <w:r w:rsidR="00725D1D">
        <w:rPr>
          <w:rFonts w:ascii="宋体" w:hAnsi="宋体" w:cs="Arial" w:hint="eastAsia"/>
          <w:color w:val="000000"/>
          <w:kern w:val="0"/>
          <w:sz w:val="24"/>
          <w:szCs w:val="24"/>
        </w:rPr>
        <w:t>基金</w:t>
      </w:r>
      <w:r>
        <w:rPr>
          <w:rFonts w:ascii="宋体" w:hAnsi="宋体" w:cs="Arial" w:hint="eastAsia"/>
          <w:color w:val="000000"/>
          <w:kern w:val="0"/>
          <w:sz w:val="24"/>
          <w:szCs w:val="24"/>
        </w:rPr>
        <w:t>名称仅表明基金可以通过港股通机制投资港股，基金资产对港股标的投资比例会根据市场情况、投资策略等发生较大的调整，存在不对港股进行投资的可能。</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养老目标基金的</w:t>
      </w:r>
      <w:r w:rsidR="00725D1D">
        <w:rPr>
          <w:rFonts w:ascii="宋体" w:hAnsi="宋体" w:cs="Arial" w:hint="eastAsia"/>
          <w:color w:val="000000"/>
          <w:kern w:val="0"/>
          <w:sz w:val="24"/>
          <w:szCs w:val="24"/>
        </w:rPr>
        <w:t>基金</w:t>
      </w:r>
      <w:r>
        <w:rPr>
          <w:rFonts w:ascii="宋体" w:hAnsi="宋体" w:cs="Arial" w:hint="eastAsia"/>
          <w:color w:val="000000"/>
          <w:kern w:val="0"/>
          <w:sz w:val="24"/>
          <w:szCs w:val="24"/>
        </w:rPr>
        <w:t>名称中包含“养老目标”字样，不代表基金收益保障或其他任何形式的收益承诺，基金管理人在此特别提示投资者：投资者投资于养老目标基金不保本，可能发生亏损。</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基金管理人承诺以诚实信用、勤勉尽责的原则管理和运用基金资产，但不保证基金一定盈利，也不保证最低收益。投资者投资于本公司旗下基金前应认真阅读各基金的基金合同、招募说明书、基金产品资料概要及其更新等文件，了解所投资基金的风险收益特征，并根据自身风险承受能力选择适合自己的基金产品。敬请投资者注意投资风险。</w:t>
      </w:r>
    </w:p>
    <w:p w:rsidR="005623FC" w:rsidRDefault="005623FC">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特此公告</w:t>
      </w:r>
    </w:p>
    <w:p w:rsidR="005623FC" w:rsidRDefault="005623FC">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p>
    <w:p w:rsidR="005623FC" w:rsidRDefault="005623FC">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p>
    <w:p w:rsidR="005623FC" w:rsidRPr="004524F1" w:rsidRDefault="00076CB4">
      <w:pPr>
        <w:widowControl/>
        <w:shd w:val="clear" w:color="auto" w:fill="FFFFFF"/>
        <w:adjustRightInd w:val="0"/>
        <w:snapToGrid w:val="0"/>
        <w:spacing w:line="360" w:lineRule="auto"/>
        <w:ind w:firstLineChars="200" w:firstLine="480"/>
        <w:jc w:val="right"/>
        <w:rPr>
          <w:rFonts w:ascii="宋体" w:hAnsi="宋体" w:cs="Arial"/>
          <w:kern w:val="0"/>
          <w:sz w:val="24"/>
          <w:szCs w:val="24"/>
        </w:rPr>
      </w:pPr>
      <w:r w:rsidRPr="004524F1">
        <w:rPr>
          <w:rFonts w:ascii="宋体" w:hAnsi="宋体" w:cs="Arial"/>
          <w:kern w:val="0"/>
          <w:sz w:val="24"/>
          <w:szCs w:val="24"/>
        </w:rPr>
        <w:t>前海开源基金管理有限公司</w:t>
      </w:r>
    </w:p>
    <w:p w:rsidR="005623FC" w:rsidRPr="004524F1" w:rsidRDefault="00F303B3">
      <w:pPr>
        <w:widowControl/>
        <w:shd w:val="clear" w:color="auto" w:fill="FFFFFF"/>
        <w:adjustRightInd w:val="0"/>
        <w:snapToGrid w:val="0"/>
        <w:spacing w:line="360" w:lineRule="auto"/>
        <w:ind w:firstLineChars="200" w:firstLine="480"/>
        <w:jc w:val="right"/>
      </w:pPr>
      <w:r w:rsidRPr="004524F1">
        <w:rPr>
          <w:rFonts w:ascii="宋体" w:hAnsi="宋体" w:cs="Arial"/>
          <w:kern w:val="0"/>
          <w:sz w:val="24"/>
          <w:szCs w:val="24"/>
        </w:rPr>
        <w:t>2024年9月</w:t>
      </w:r>
      <w:r w:rsidR="004524F1" w:rsidRPr="004524F1">
        <w:rPr>
          <w:rFonts w:ascii="宋体" w:hAnsi="宋体" w:cs="Arial"/>
          <w:kern w:val="0"/>
          <w:sz w:val="24"/>
          <w:szCs w:val="24"/>
        </w:rPr>
        <w:t>27</w:t>
      </w:r>
      <w:r w:rsidRPr="004524F1">
        <w:rPr>
          <w:rFonts w:ascii="宋体" w:hAnsi="宋体" w:cs="Arial"/>
          <w:kern w:val="0"/>
          <w:sz w:val="24"/>
          <w:szCs w:val="24"/>
        </w:rPr>
        <w:t xml:space="preserve"> 日</w:t>
      </w:r>
    </w:p>
    <w:sectPr w:rsidR="005623FC" w:rsidRPr="004524F1" w:rsidSect="0091350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B0" w:rsidRDefault="002408B0">
      <w:r>
        <w:separator/>
      </w:r>
    </w:p>
  </w:endnote>
  <w:endnote w:type="continuationSeparator" w:id="0">
    <w:p w:rsidR="002408B0" w:rsidRDefault="00240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B0" w:rsidRDefault="002408B0">
      <w:r>
        <w:separator/>
      </w:r>
    </w:p>
  </w:footnote>
  <w:footnote w:type="continuationSeparator" w:id="0">
    <w:p w:rsidR="002408B0" w:rsidRDefault="00240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FC" w:rsidRDefault="00076CB4">
    <w:pPr>
      <w:pStyle w:val="a6"/>
      <w:jc w:val="left"/>
    </w:pPr>
    <w:r>
      <w:rPr>
        <w:noProof/>
      </w:rPr>
      <w:drawing>
        <wp:inline distT="0" distB="0" distL="0" distR="0">
          <wp:extent cx="1129030" cy="278130"/>
          <wp:effectExtent l="0" t="0" r="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29030" cy="278130"/>
                  </a:xfrm>
                  <a:prstGeom prst="rect">
                    <a:avLst/>
                  </a:prstGeom>
                  <a:noFill/>
                  <a:ln>
                    <a:noFill/>
                  </a:ln>
                </pic:spPr>
              </pic:pic>
            </a:graphicData>
          </a:graphic>
        </wp:inline>
      </w:drawing>
    </w:r>
    <w:r>
      <w:rPr>
        <w:rFonts w:hint="eastAsia"/>
      </w:rPr>
      <w:tab/>
    </w:r>
    <w:r>
      <w:rPr>
        <w:rFonts w:hint="eastAsia"/>
      </w:rPr>
      <w:tab/>
    </w:r>
    <w:r>
      <w:rPr>
        <w:rFonts w:hint="eastAsia"/>
      </w:rPr>
      <w:t>临时公告</w:t>
    </w:r>
  </w:p>
  <w:p w:rsidR="005623FC" w:rsidRDefault="005623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087B"/>
    <w:multiLevelType w:val="hybridMultilevel"/>
    <w:tmpl w:val="4F3624CA"/>
    <w:lvl w:ilvl="0" w:tplc="7A28EE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RiZmVmMzFjYzU4NTNkNmYxNWI3NDdmMGI1MmIxMmEifQ=="/>
  </w:docVars>
  <w:rsids>
    <w:rsidRoot w:val="00D934B3"/>
    <w:rsid w:val="00002698"/>
    <w:rsid w:val="00022584"/>
    <w:rsid w:val="00044F7B"/>
    <w:rsid w:val="00052A23"/>
    <w:rsid w:val="000539B9"/>
    <w:rsid w:val="00054FD3"/>
    <w:rsid w:val="00060C4F"/>
    <w:rsid w:val="000641E8"/>
    <w:rsid w:val="00064A4A"/>
    <w:rsid w:val="00066B51"/>
    <w:rsid w:val="000709A2"/>
    <w:rsid w:val="0007546E"/>
    <w:rsid w:val="00076CB4"/>
    <w:rsid w:val="000865AE"/>
    <w:rsid w:val="00094A1B"/>
    <w:rsid w:val="000C0F62"/>
    <w:rsid w:val="000C3565"/>
    <w:rsid w:val="000D052F"/>
    <w:rsid w:val="000D7634"/>
    <w:rsid w:val="000E3C6B"/>
    <w:rsid w:val="000F6002"/>
    <w:rsid w:val="0010344B"/>
    <w:rsid w:val="00111219"/>
    <w:rsid w:val="0011704F"/>
    <w:rsid w:val="00133541"/>
    <w:rsid w:val="00134461"/>
    <w:rsid w:val="0013797C"/>
    <w:rsid w:val="00145A86"/>
    <w:rsid w:val="001524EF"/>
    <w:rsid w:val="0016423F"/>
    <w:rsid w:val="00164F2D"/>
    <w:rsid w:val="00165B09"/>
    <w:rsid w:val="001724E1"/>
    <w:rsid w:val="00180C14"/>
    <w:rsid w:val="0018732B"/>
    <w:rsid w:val="00192CEF"/>
    <w:rsid w:val="00193408"/>
    <w:rsid w:val="00194C79"/>
    <w:rsid w:val="001A3F03"/>
    <w:rsid w:val="001C7636"/>
    <w:rsid w:val="001D19F8"/>
    <w:rsid w:val="001E508F"/>
    <w:rsid w:val="001E60F3"/>
    <w:rsid w:val="0021203A"/>
    <w:rsid w:val="00220AE5"/>
    <w:rsid w:val="00223811"/>
    <w:rsid w:val="00230F4C"/>
    <w:rsid w:val="0023169F"/>
    <w:rsid w:val="002351B7"/>
    <w:rsid w:val="002408B0"/>
    <w:rsid w:val="00244B57"/>
    <w:rsid w:val="00246411"/>
    <w:rsid w:val="002507A7"/>
    <w:rsid w:val="00251B16"/>
    <w:rsid w:val="00252FA3"/>
    <w:rsid w:val="0025317B"/>
    <w:rsid w:val="002631CC"/>
    <w:rsid w:val="00264431"/>
    <w:rsid w:val="002654C8"/>
    <w:rsid w:val="00275BCF"/>
    <w:rsid w:val="0027615F"/>
    <w:rsid w:val="00276DA4"/>
    <w:rsid w:val="0027790A"/>
    <w:rsid w:val="00277F66"/>
    <w:rsid w:val="00287A3A"/>
    <w:rsid w:val="002A0758"/>
    <w:rsid w:val="002A1C3A"/>
    <w:rsid w:val="002A2122"/>
    <w:rsid w:val="002A4AB8"/>
    <w:rsid w:val="002A689C"/>
    <w:rsid w:val="002A7C4B"/>
    <w:rsid w:val="002D0661"/>
    <w:rsid w:val="002E2BD6"/>
    <w:rsid w:val="002E44D1"/>
    <w:rsid w:val="002F2F12"/>
    <w:rsid w:val="00315AE9"/>
    <w:rsid w:val="00316026"/>
    <w:rsid w:val="00317AAF"/>
    <w:rsid w:val="00320126"/>
    <w:rsid w:val="00324AA8"/>
    <w:rsid w:val="00331565"/>
    <w:rsid w:val="00332F1A"/>
    <w:rsid w:val="00333522"/>
    <w:rsid w:val="003359E5"/>
    <w:rsid w:val="0034459C"/>
    <w:rsid w:val="0035640E"/>
    <w:rsid w:val="003623A8"/>
    <w:rsid w:val="00364202"/>
    <w:rsid w:val="00370FF9"/>
    <w:rsid w:val="00374625"/>
    <w:rsid w:val="00377EBD"/>
    <w:rsid w:val="00382BE7"/>
    <w:rsid w:val="00391168"/>
    <w:rsid w:val="00394297"/>
    <w:rsid w:val="003973E8"/>
    <w:rsid w:val="003A1DE1"/>
    <w:rsid w:val="003A3E4F"/>
    <w:rsid w:val="003A7615"/>
    <w:rsid w:val="003B6C01"/>
    <w:rsid w:val="003C07C7"/>
    <w:rsid w:val="003C5684"/>
    <w:rsid w:val="003C6164"/>
    <w:rsid w:val="003C6B15"/>
    <w:rsid w:val="003C6CAC"/>
    <w:rsid w:val="003E0C9F"/>
    <w:rsid w:val="003E4F67"/>
    <w:rsid w:val="003E61C3"/>
    <w:rsid w:val="003E643B"/>
    <w:rsid w:val="003F1E78"/>
    <w:rsid w:val="003F3CB7"/>
    <w:rsid w:val="004008CA"/>
    <w:rsid w:val="00400FE1"/>
    <w:rsid w:val="00411C1D"/>
    <w:rsid w:val="00415C1E"/>
    <w:rsid w:val="00417B47"/>
    <w:rsid w:val="0042669A"/>
    <w:rsid w:val="0042703D"/>
    <w:rsid w:val="00437F1E"/>
    <w:rsid w:val="00450E23"/>
    <w:rsid w:val="0045209F"/>
    <w:rsid w:val="004524F1"/>
    <w:rsid w:val="00472375"/>
    <w:rsid w:val="00476140"/>
    <w:rsid w:val="00481ADC"/>
    <w:rsid w:val="00481B4F"/>
    <w:rsid w:val="00483698"/>
    <w:rsid w:val="00486B91"/>
    <w:rsid w:val="0048736C"/>
    <w:rsid w:val="00495BA6"/>
    <w:rsid w:val="00495E06"/>
    <w:rsid w:val="004A0555"/>
    <w:rsid w:val="004A5152"/>
    <w:rsid w:val="004B5811"/>
    <w:rsid w:val="004B65CB"/>
    <w:rsid w:val="004C5705"/>
    <w:rsid w:val="004D35D1"/>
    <w:rsid w:val="004D60B4"/>
    <w:rsid w:val="004E1667"/>
    <w:rsid w:val="004F1566"/>
    <w:rsid w:val="00510964"/>
    <w:rsid w:val="00514512"/>
    <w:rsid w:val="00534E48"/>
    <w:rsid w:val="005405A9"/>
    <w:rsid w:val="00546F39"/>
    <w:rsid w:val="00556031"/>
    <w:rsid w:val="00561A24"/>
    <w:rsid w:val="005623FC"/>
    <w:rsid w:val="00563288"/>
    <w:rsid w:val="0057602C"/>
    <w:rsid w:val="005766B6"/>
    <w:rsid w:val="0058162C"/>
    <w:rsid w:val="0058355D"/>
    <w:rsid w:val="00583B13"/>
    <w:rsid w:val="00590F6B"/>
    <w:rsid w:val="00594DC3"/>
    <w:rsid w:val="00596990"/>
    <w:rsid w:val="005A2EAF"/>
    <w:rsid w:val="005A45B3"/>
    <w:rsid w:val="005A4999"/>
    <w:rsid w:val="005A5B42"/>
    <w:rsid w:val="005D703A"/>
    <w:rsid w:val="005E6727"/>
    <w:rsid w:val="005F0A1F"/>
    <w:rsid w:val="005F6D69"/>
    <w:rsid w:val="005F6E56"/>
    <w:rsid w:val="00602E55"/>
    <w:rsid w:val="00611081"/>
    <w:rsid w:val="00611AE3"/>
    <w:rsid w:val="00613F45"/>
    <w:rsid w:val="00632D12"/>
    <w:rsid w:val="00633137"/>
    <w:rsid w:val="00634868"/>
    <w:rsid w:val="00642546"/>
    <w:rsid w:val="00642777"/>
    <w:rsid w:val="00653AC9"/>
    <w:rsid w:val="00655CBA"/>
    <w:rsid w:val="00661079"/>
    <w:rsid w:val="006642A1"/>
    <w:rsid w:val="006642FC"/>
    <w:rsid w:val="00673C1B"/>
    <w:rsid w:val="00673F4A"/>
    <w:rsid w:val="006768EF"/>
    <w:rsid w:val="0067712A"/>
    <w:rsid w:val="0068271D"/>
    <w:rsid w:val="00686A5B"/>
    <w:rsid w:val="00686EC9"/>
    <w:rsid w:val="006A58C4"/>
    <w:rsid w:val="006B17C8"/>
    <w:rsid w:val="006B5AB5"/>
    <w:rsid w:val="006B782F"/>
    <w:rsid w:val="006B7D76"/>
    <w:rsid w:val="006C0D45"/>
    <w:rsid w:val="006C3340"/>
    <w:rsid w:val="006C3DC5"/>
    <w:rsid w:val="006C55A5"/>
    <w:rsid w:val="006D5682"/>
    <w:rsid w:val="006D771F"/>
    <w:rsid w:val="006E00F9"/>
    <w:rsid w:val="006E1994"/>
    <w:rsid w:val="006E340B"/>
    <w:rsid w:val="006F3AD5"/>
    <w:rsid w:val="00700DC4"/>
    <w:rsid w:val="00713F26"/>
    <w:rsid w:val="00715251"/>
    <w:rsid w:val="00724962"/>
    <w:rsid w:val="00725D1D"/>
    <w:rsid w:val="00725D59"/>
    <w:rsid w:val="00732AFC"/>
    <w:rsid w:val="00734075"/>
    <w:rsid w:val="00734C29"/>
    <w:rsid w:val="00734E0D"/>
    <w:rsid w:val="00735F1E"/>
    <w:rsid w:val="00736252"/>
    <w:rsid w:val="0074395D"/>
    <w:rsid w:val="00743987"/>
    <w:rsid w:val="0075461B"/>
    <w:rsid w:val="007604AF"/>
    <w:rsid w:val="007634EF"/>
    <w:rsid w:val="00763A7B"/>
    <w:rsid w:val="00782A1C"/>
    <w:rsid w:val="00782DF4"/>
    <w:rsid w:val="00783DF8"/>
    <w:rsid w:val="007A03B7"/>
    <w:rsid w:val="007A53B4"/>
    <w:rsid w:val="007A5BAB"/>
    <w:rsid w:val="007D0D95"/>
    <w:rsid w:val="007D7350"/>
    <w:rsid w:val="007E42E4"/>
    <w:rsid w:val="007E4357"/>
    <w:rsid w:val="007E450F"/>
    <w:rsid w:val="007E5E75"/>
    <w:rsid w:val="00800130"/>
    <w:rsid w:val="00802CD7"/>
    <w:rsid w:val="008058B2"/>
    <w:rsid w:val="008059F6"/>
    <w:rsid w:val="0080648E"/>
    <w:rsid w:val="00813BCB"/>
    <w:rsid w:val="008164FD"/>
    <w:rsid w:val="00835FBF"/>
    <w:rsid w:val="00836C06"/>
    <w:rsid w:val="00843FAC"/>
    <w:rsid w:val="008448A8"/>
    <w:rsid w:val="00853D84"/>
    <w:rsid w:val="0085488E"/>
    <w:rsid w:val="00864A5B"/>
    <w:rsid w:val="008677FD"/>
    <w:rsid w:val="00872AEE"/>
    <w:rsid w:val="008747AC"/>
    <w:rsid w:val="00881592"/>
    <w:rsid w:val="00885D35"/>
    <w:rsid w:val="00886478"/>
    <w:rsid w:val="00894FF6"/>
    <w:rsid w:val="00896E04"/>
    <w:rsid w:val="008A42AA"/>
    <w:rsid w:val="008A5539"/>
    <w:rsid w:val="008B7A92"/>
    <w:rsid w:val="008B7AAC"/>
    <w:rsid w:val="008C0A1F"/>
    <w:rsid w:val="008C50E4"/>
    <w:rsid w:val="008C736A"/>
    <w:rsid w:val="008D08DC"/>
    <w:rsid w:val="008D48DC"/>
    <w:rsid w:val="008E2115"/>
    <w:rsid w:val="008E5164"/>
    <w:rsid w:val="008F2B6D"/>
    <w:rsid w:val="008F619D"/>
    <w:rsid w:val="008F6C7D"/>
    <w:rsid w:val="008F6F2E"/>
    <w:rsid w:val="00900648"/>
    <w:rsid w:val="00905C70"/>
    <w:rsid w:val="00907F19"/>
    <w:rsid w:val="00913012"/>
    <w:rsid w:val="0091350F"/>
    <w:rsid w:val="0091779F"/>
    <w:rsid w:val="00923D64"/>
    <w:rsid w:val="009417D4"/>
    <w:rsid w:val="00947A68"/>
    <w:rsid w:val="00964DE5"/>
    <w:rsid w:val="00966456"/>
    <w:rsid w:val="00970BC8"/>
    <w:rsid w:val="00980236"/>
    <w:rsid w:val="0098596F"/>
    <w:rsid w:val="00990D58"/>
    <w:rsid w:val="0099744D"/>
    <w:rsid w:val="009A1C2A"/>
    <w:rsid w:val="009B0C50"/>
    <w:rsid w:val="009B1E7A"/>
    <w:rsid w:val="009B32A9"/>
    <w:rsid w:val="009C17EC"/>
    <w:rsid w:val="009C614A"/>
    <w:rsid w:val="009D2854"/>
    <w:rsid w:val="009D4CF3"/>
    <w:rsid w:val="009D7041"/>
    <w:rsid w:val="009E2862"/>
    <w:rsid w:val="009E40F3"/>
    <w:rsid w:val="009E43B1"/>
    <w:rsid w:val="009F4195"/>
    <w:rsid w:val="00A05C9D"/>
    <w:rsid w:val="00A05F48"/>
    <w:rsid w:val="00A100D9"/>
    <w:rsid w:val="00A15244"/>
    <w:rsid w:val="00A229FB"/>
    <w:rsid w:val="00A2591A"/>
    <w:rsid w:val="00A30ADD"/>
    <w:rsid w:val="00A32256"/>
    <w:rsid w:val="00A337A9"/>
    <w:rsid w:val="00A33A50"/>
    <w:rsid w:val="00A35000"/>
    <w:rsid w:val="00A375AA"/>
    <w:rsid w:val="00A40C14"/>
    <w:rsid w:val="00A40D20"/>
    <w:rsid w:val="00A44C24"/>
    <w:rsid w:val="00A45BD9"/>
    <w:rsid w:val="00A47686"/>
    <w:rsid w:val="00A5268D"/>
    <w:rsid w:val="00A54D88"/>
    <w:rsid w:val="00A625F9"/>
    <w:rsid w:val="00A6429A"/>
    <w:rsid w:val="00A713B3"/>
    <w:rsid w:val="00A718C2"/>
    <w:rsid w:val="00A7435E"/>
    <w:rsid w:val="00A838AA"/>
    <w:rsid w:val="00A85258"/>
    <w:rsid w:val="00A90BFC"/>
    <w:rsid w:val="00A97198"/>
    <w:rsid w:val="00AA0810"/>
    <w:rsid w:val="00AA16C7"/>
    <w:rsid w:val="00AA30D0"/>
    <w:rsid w:val="00AA570C"/>
    <w:rsid w:val="00AA69BD"/>
    <w:rsid w:val="00AA79CF"/>
    <w:rsid w:val="00AB76B4"/>
    <w:rsid w:val="00AC156B"/>
    <w:rsid w:val="00AC3EF9"/>
    <w:rsid w:val="00AC74EA"/>
    <w:rsid w:val="00AD542E"/>
    <w:rsid w:val="00AE49C7"/>
    <w:rsid w:val="00AE711A"/>
    <w:rsid w:val="00AF4FBA"/>
    <w:rsid w:val="00B06B60"/>
    <w:rsid w:val="00B1348E"/>
    <w:rsid w:val="00B22243"/>
    <w:rsid w:val="00B23D5B"/>
    <w:rsid w:val="00B25CB2"/>
    <w:rsid w:val="00B42CF7"/>
    <w:rsid w:val="00B5208C"/>
    <w:rsid w:val="00B52B67"/>
    <w:rsid w:val="00B65D19"/>
    <w:rsid w:val="00B71624"/>
    <w:rsid w:val="00B738DD"/>
    <w:rsid w:val="00B81897"/>
    <w:rsid w:val="00B82604"/>
    <w:rsid w:val="00B83136"/>
    <w:rsid w:val="00B84507"/>
    <w:rsid w:val="00B90161"/>
    <w:rsid w:val="00B90609"/>
    <w:rsid w:val="00B92782"/>
    <w:rsid w:val="00B97ABE"/>
    <w:rsid w:val="00BA0C0A"/>
    <w:rsid w:val="00BA4E3E"/>
    <w:rsid w:val="00BA5F5B"/>
    <w:rsid w:val="00BB287E"/>
    <w:rsid w:val="00BC1132"/>
    <w:rsid w:val="00BC39F3"/>
    <w:rsid w:val="00BD5248"/>
    <w:rsid w:val="00BE05F5"/>
    <w:rsid w:val="00BE0E90"/>
    <w:rsid w:val="00BE66E9"/>
    <w:rsid w:val="00BE7C68"/>
    <w:rsid w:val="00BF5482"/>
    <w:rsid w:val="00C025A7"/>
    <w:rsid w:val="00C052D3"/>
    <w:rsid w:val="00C12883"/>
    <w:rsid w:val="00C227BF"/>
    <w:rsid w:val="00C24838"/>
    <w:rsid w:val="00C32923"/>
    <w:rsid w:val="00C33566"/>
    <w:rsid w:val="00C378D0"/>
    <w:rsid w:val="00C50F93"/>
    <w:rsid w:val="00C53ADA"/>
    <w:rsid w:val="00C573F5"/>
    <w:rsid w:val="00C66731"/>
    <w:rsid w:val="00C7148E"/>
    <w:rsid w:val="00C74AC7"/>
    <w:rsid w:val="00C77D88"/>
    <w:rsid w:val="00C81D4E"/>
    <w:rsid w:val="00C86CBA"/>
    <w:rsid w:val="00C946F8"/>
    <w:rsid w:val="00CA01F6"/>
    <w:rsid w:val="00CA1DDD"/>
    <w:rsid w:val="00CA66D8"/>
    <w:rsid w:val="00CA762E"/>
    <w:rsid w:val="00CB3BC8"/>
    <w:rsid w:val="00CC03CF"/>
    <w:rsid w:val="00CC0FE3"/>
    <w:rsid w:val="00CC738F"/>
    <w:rsid w:val="00CD59FC"/>
    <w:rsid w:val="00CE08B1"/>
    <w:rsid w:val="00CE13EA"/>
    <w:rsid w:val="00CE3BEA"/>
    <w:rsid w:val="00CF20E5"/>
    <w:rsid w:val="00CF6A30"/>
    <w:rsid w:val="00D04615"/>
    <w:rsid w:val="00D12686"/>
    <w:rsid w:val="00D13312"/>
    <w:rsid w:val="00D16BB1"/>
    <w:rsid w:val="00D16DF3"/>
    <w:rsid w:val="00D22912"/>
    <w:rsid w:val="00D239E3"/>
    <w:rsid w:val="00D27127"/>
    <w:rsid w:val="00D35109"/>
    <w:rsid w:val="00D3777B"/>
    <w:rsid w:val="00D41492"/>
    <w:rsid w:val="00D41900"/>
    <w:rsid w:val="00D41D86"/>
    <w:rsid w:val="00D445E3"/>
    <w:rsid w:val="00D47FC4"/>
    <w:rsid w:val="00D5610B"/>
    <w:rsid w:val="00D66112"/>
    <w:rsid w:val="00D722C3"/>
    <w:rsid w:val="00D72850"/>
    <w:rsid w:val="00D72B0E"/>
    <w:rsid w:val="00D7489D"/>
    <w:rsid w:val="00D74B5E"/>
    <w:rsid w:val="00D934B3"/>
    <w:rsid w:val="00DA2791"/>
    <w:rsid w:val="00DB09E6"/>
    <w:rsid w:val="00DB2986"/>
    <w:rsid w:val="00DB399F"/>
    <w:rsid w:val="00DB558F"/>
    <w:rsid w:val="00DB7254"/>
    <w:rsid w:val="00DC2B13"/>
    <w:rsid w:val="00DD3AB3"/>
    <w:rsid w:val="00DD5705"/>
    <w:rsid w:val="00DE2BF2"/>
    <w:rsid w:val="00DE6B99"/>
    <w:rsid w:val="00DF2143"/>
    <w:rsid w:val="00DF48FA"/>
    <w:rsid w:val="00DF6686"/>
    <w:rsid w:val="00E061F2"/>
    <w:rsid w:val="00E14F4A"/>
    <w:rsid w:val="00E21D66"/>
    <w:rsid w:val="00E22214"/>
    <w:rsid w:val="00E23AC4"/>
    <w:rsid w:val="00E242D6"/>
    <w:rsid w:val="00E2727F"/>
    <w:rsid w:val="00E32857"/>
    <w:rsid w:val="00E37E87"/>
    <w:rsid w:val="00E41286"/>
    <w:rsid w:val="00E46108"/>
    <w:rsid w:val="00E477E6"/>
    <w:rsid w:val="00E5745E"/>
    <w:rsid w:val="00E62DD7"/>
    <w:rsid w:val="00E6625E"/>
    <w:rsid w:val="00E6688A"/>
    <w:rsid w:val="00E70629"/>
    <w:rsid w:val="00E73104"/>
    <w:rsid w:val="00E739EE"/>
    <w:rsid w:val="00E74F00"/>
    <w:rsid w:val="00E755BE"/>
    <w:rsid w:val="00E857FC"/>
    <w:rsid w:val="00E87068"/>
    <w:rsid w:val="00E941D7"/>
    <w:rsid w:val="00EA5AC5"/>
    <w:rsid w:val="00EB7957"/>
    <w:rsid w:val="00EC1D60"/>
    <w:rsid w:val="00EC50FF"/>
    <w:rsid w:val="00EC6506"/>
    <w:rsid w:val="00EE0C05"/>
    <w:rsid w:val="00EE6288"/>
    <w:rsid w:val="00EF3B08"/>
    <w:rsid w:val="00F01D0B"/>
    <w:rsid w:val="00F056E0"/>
    <w:rsid w:val="00F1335E"/>
    <w:rsid w:val="00F15AED"/>
    <w:rsid w:val="00F15E6D"/>
    <w:rsid w:val="00F16D58"/>
    <w:rsid w:val="00F176E8"/>
    <w:rsid w:val="00F17E42"/>
    <w:rsid w:val="00F20554"/>
    <w:rsid w:val="00F23429"/>
    <w:rsid w:val="00F26CC7"/>
    <w:rsid w:val="00F303B3"/>
    <w:rsid w:val="00F30D08"/>
    <w:rsid w:val="00F3349F"/>
    <w:rsid w:val="00F356D9"/>
    <w:rsid w:val="00F40494"/>
    <w:rsid w:val="00F4108E"/>
    <w:rsid w:val="00F415D5"/>
    <w:rsid w:val="00F41FCE"/>
    <w:rsid w:val="00F44155"/>
    <w:rsid w:val="00F519EF"/>
    <w:rsid w:val="00F57090"/>
    <w:rsid w:val="00F61419"/>
    <w:rsid w:val="00F66659"/>
    <w:rsid w:val="00F70345"/>
    <w:rsid w:val="00F81557"/>
    <w:rsid w:val="00F83C33"/>
    <w:rsid w:val="00FB22D4"/>
    <w:rsid w:val="00FB2C5E"/>
    <w:rsid w:val="00FB55C5"/>
    <w:rsid w:val="00FC244C"/>
    <w:rsid w:val="00FD160D"/>
    <w:rsid w:val="00FD245D"/>
    <w:rsid w:val="00FD3787"/>
    <w:rsid w:val="00FF0A80"/>
    <w:rsid w:val="00FF787E"/>
    <w:rsid w:val="0119388B"/>
    <w:rsid w:val="0D295F98"/>
    <w:rsid w:val="345B262C"/>
    <w:rsid w:val="6D19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0F"/>
    <w:pPr>
      <w:widowControl w:val="0"/>
      <w:jc w:val="both"/>
    </w:pPr>
    <w:rPr>
      <w:kern w:val="2"/>
      <w:sz w:val="21"/>
      <w:szCs w:val="22"/>
    </w:rPr>
  </w:style>
  <w:style w:type="paragraph" w:styleId="2">
    <w:name w:val="heading 2"/>
    <w:basedOn w:val="a"/>
    <w:next w:val="a"/>
    <w:link w:val="2Char"/>
    <w:uiPriority w:val="9"/>
    <w:qFormat/>
    <w:rsid w:val="0091350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1350F"/>
    <w:pPr>
      <w:jc w:val="left"/>
    </w:pPr>
  </w:style>
  <w:style w:type="paragraph" w:styleId="a4">
    <w:name w:val="Balloon Text"/>
    <w:basedOn w:val="a"/>
    <w:link w:val="Char0"/>
    <w:uiPriority w:val="99"/>
    <w:semiHidden/>
    <w:unhideWhenUsed/>
    <w:rsid w:val="0091350F"/>
    <w:rPr>
      <w:sz w:val="18"/>
      <w:szCs w:val="18"/>
    </w:rPr>
  </w:style>
  <w:style w:type="paragraph" w:styleId="a5">
    <w:name w:val="footer"/>
    <w:basedOn w:val="a"/>
    <w:link w:val="Char1"/>
    <w:uiPriority w:val="99"/>
    <w:unhideWhenUsed/>
    <w:rsid w:val="0091350F"/>
    <w:pPr>
      <w:tabs>
        <w:tab w:val="center" w:pos="4153"/>
        <w:tab w:val="right" w:pos="8306"/>
      </w:tabs>
      <w:snapToGrid w:val="0"/>
      <w:jc w:val="left"/>
    </w:pPr>
    <w:rPr>
      <w:sz w:val="18"/>
      <w:szCs w:val="18"/>
    </w:rPr>
  </w:style>
  <w:style w:type="paragraph" w:styleId="a6">
    <w:name w:val="header"/>
    <w:basedOn w:val="a"/>
    <w:link w:val="Char2"/>
    <w:uiPriority w:val="99"/>
    <w:unhideWhenUsed/>
    <w:rsid w:val="0091350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1350F"/>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91350F"/>
    <w:rPr>
      <w:b/>
      <w:bCs/>
    </w:rPr>
  </w:style>
  <w:style w:type="table" w:styleId="a9">
    <w:name w:val="Table Grid"/>
    <w:basedOn w:val="a1"/>
    <w:uiPriority w:val="59"/>
    <w:qFormat/>
    <w:rsid w:val="0091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sid w:val="0091350F"/>
    <w:rPr>
      <w:color w:val="0000FF"/>
      <w:u w:val="single"/>
    </w:rPr>
  </w:style>
  <w:style w:type="character" w:styleId="ab">
    <w:name w:val="annotation reference"/>
    <w:uiPriority w:val="99"/>
    <w:semiHidden/>
    <w:unhideWhenUsed/>
    <w:rsid w:val="0091350F"/>
    <w:rPr>
      <w:sz w:val="21"/>
      <w:szCs w:val="21"/>
    </w:rPr>
  </w:style>
  <w:style w:type="character" w:customStyle="1" w:styleId="Char2">
    <w:name w:val="页眉 Char"/>
    <w:link w:val="a6"/>
    <w:uiPriority w:val="99"/>
    <w:rsid w:val="0091350F"/>
    <w:rPr>
      <w:rFonts w:ascii="Calibri" w:eastAsia="宋体" w:hAnsi="Calibri" w:cs="Times New Roman"/>
      <w:sz w:val="18"/>
      <w:szCs w:val="18"/>
    </w:rPr>
  </w:style>
  <w:style w:type="character" w:customStyle="1" w:styleId="Char0">
    <w:name w:val="批注框文本 Char"/>
    <w:link w:val="a4"/>
    <w:uiPriority w:val="99"/>
    <w:semiHidden/>
    <w:qFormat/>
    <w:rsid w:val="0091350F"/>
    <w:rPr>
      <w:sz w:val="18"/>
      <w:szCs w:val="18"/>
    </w:rPr>
  </w:style>
  <w:style w:type="character" w:customStyle="1" w:styleId="Char1">
    <w:name w:val="页脚 Char"/>
    <w:link w:val="a5"/>
    <w:uiPriority w:val="99"/>
    <w:qFormat/>
    <w:rsid w:val="0091350F"/>
    <w:rPr>
      <w:kern w:val="2"/>
      <w:sz w:val="18"/>
      <w:szCs w:val="18"/>
    </w:rPr>
  </w:style>
  <w:style w:type="character" w:customStyle="1" w:styleId="Char">
    <w:name w:val="批注文字 Char"/>
    <w:link w:val="a3"/>
    <w:uiPriority w:val="99"/>
    <w:semiHidden/>
    <w:rsid w:val="0091350F"/>
    <w:rPr>
      <w:kern w:val="2"/>
      <w:sz w:val="21"/>
      <w:szCs w:val="22"/>
    </w:rPr>
  </w:style>
  <w:style w:type="character" w:customStyle="1" w:styleId="Char3">
    <w:name w:val="批注主题 Char"/>
    <w:link w:val="a8"/>
    <w:uiPriority w:val="99"/>
    <w:semiHidden/>
    <w:rsid w:val="0091350F"/>
    <w:rPr>
      <w:b/>
      <w:bCs/>
      <w:kern w:val="2"/>
      <w:sz w:val="21"/>
      <w:szCs w:val="22"/>
    </w:rPr>
  </w:style>
  <w:style w:type="character" w:customStyle="1" w:styleId="2Char">
    <w:name w:val="标题 2 Char"/>
    <w:link w:val="2"/>
    <w:uiPriority w:val="9"/>
    <w:rsid w:val="0091350F"/>
    <w:rPr>
      <w:rFonts w:ascii="宋体" w:hAnsi="宋体" w:cs="宋体"/>
      <w:b/>
      <w:bCs/>
      <w:sz w:val="36"/>
      <w:szCs w:val="36"/>
    </w:rPr>
  </w:style>
  <w:style w:type="paragraph" w:styleId="ac">
    <w:name w:val="List Paragraph"/>
    <w:basedOn w:val="a"/>
    <w:uiPriority w:val="34"/>
    <w:qFormat/>
    <w:rsid w:val="0091350F"/>
    <w:pPr>
      <w:ind w:firstLineChars="200" w:firstLine="420"/>
    </w:pPr>
  </w:style>
  <w:style w:type="paragraph" w:customStyle="1" w:styleId="1">
    <w:name w:val="修订1"/>
    <w:hidden/>
    <w:uiPriority w:val="99"/>
    <w:semiHidden/>
    <w:qFormat/>
    <w:rsid w:val="0091350F"/>
    <w:rPr>
      <w:kern w:val="2"/>
      <w:sz w:val="21"/>
      <w:szCs w:val="22"/>
    </w:rPr>
  </w:style>
  <w:style w:type="character" w:customStyle="1" w:styleId="awspan">
    <w:name w:val="awspan"/>
    <w:basedOn w:val="a0"/>
    <w:rsid w:val="00F303B3"/>
  </w:style>
  <w:style w:type="paragraph" w:styleId="ad">
    <w:name w:val="Revision"/>
    <w:hidden/>
    <w:uiPriority w:val="99"/>
    <w:semiHidden/>
    <w:rsid w:val="007D7350"/>
    <w:rPr>
      <w:kern w:val="2"/>
      <w:sz w:val="21"/>
      <w:szCs w:val="22"/>
    </w:rPr>
  </w:style>
</w:styles>
</file>

<file path=word/webSettings.xml><?xml version="1.0" encoding="utf-8"?>
<w:webSettings xmlns:r="http://schemas.openxmlformats.org/officeDocument/2006/relationships" xmlns:w="http://schemas.openxmlformats.org/wordprocessingml/2006/main">
  <w:divs>
    <w:div w:id="110252495">
      <w:bodyDiv w:val="1"/>
      <w:marLeft w:val="0"/>
      <w:marRight w:val="0"/>
      <w:marTop w:val="0"/>
      <w:marBottom w:val="0"/>
      <w:divBdr>
        <w:top w:val="none" w:sz="0" w:space="0" w:color="auto"/>
        <w:left w:val="none" w:sz="0" w:space="0" w:color="auto"/>
        <w:bottom w:val="none" w:sz="0" w:space="0" w:color="auto"/>
        <w:right w:val="none" w:sz="0" w:space="0" w:color="auto"/>
      </w:divBdr>
    </w:div>
    <w:div w:id="360404420">
      <w:bodyDiv w:val="1"/>
      <w:marLeft w:val="0"/>
      <w:marRight w:val="0"/>
      <w:marTop w:val="0"/>
      <w:marBottom w:val="0"/>
      <w:divBdr>
        <w:top w:val="none" w:sz="0" w:space="0" w:color="auto"/>
        <w:left w:val="none" w:sz="0" w:space="0" w:color="auto"/>
        <w:bottom w:val="none" w:sz="0" w:space="0" w:color="auto"/>
        <w:right w:val="none" w:sz="0" w:space="0" w:color="auto"/>
      </w:divBdr>
    </w:div>
    <w:div w:id="473135364">
      <w:bodyDiv w:val="1"/>
      <w:marLeft w:val="0"/>
      <w:marRight w:val="0"/>
      <w:marTop w:val="0"/>
      <w:marBottom w:val="0"/>
      <w:divBdr>
        <w:top w:val="none" w:sz="0" w:space="0" w:color="auto"/>
        <w:left w:val="none" w:sz="0" w:space="0" w:color="auto"/>
        <w:bottom w:val="none" w:sz="0" w:space="0" w:color="auto"/>
        <w:right w:val="none" w:sz="0" w:space="0" w:color="auto"/>
      </w:divBdr>
      <w:divsChild>
        <w:div w:id="1195731769">
          <w:marLeft w:val="0"/>
          <w:marRight w:val="0"/>
          <w:marTop w:val="0"/>
          <w:marBottom w:val="0"/>
          <w:divBdr>
            <w:top w:val="none" w:sz="0" w:space="0" w:color="auto"/>
            <w:left w:val="none" w:sz="0" w:space="0" w:color="auto"/>
            <w:bottom w:val="none" w:sz="0" w:space="0" w:color="auto"/>
            <w:right w:val="none" w:sz="0" w:space="0" w:color="auto"/>
          </w:divBdr>
        </w:div>
      </w:divsChild>
    </w:div>
    <w:div w:id="99799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0FBDFB-0BCF-4953-B03F-192097A2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3666</Characters>
  <Application>Microsoft Office Word</Application>
  <DocSecurity>4</DocSecurity>
  <Lines>30</Lines>
  <Paragraphs>8</Paragraphs>
  <ScaleCrop>false</ScaleCrop>
  <Company>Lenovo</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唐研然</dc:creator>
  <cp:lastModifiedBy>ZHONGM</cp:lastModifiedBy>
  <cp:revision>2</cp:revision>
  <dcterms:created xsi:type="dcterms:W3CDTF">2024-09-26T16:01:00Z</dcterms:created>
  <dcterms:modified xsi:type="dcterms:W3CDTF">2024-09-26T16:01:00Z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E68EC10FF4D54C6BB49D17BC4EDA031D</vt:lpwstr>
  </property>
</Properties>
</file>