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5CCC" w:rsidRDefault="00C65CCC">
      <w:pPr>
        <w:pStyle w:val="XBRL2"/>
        <w:spacing w:before="156"/>
        <w:rPr>
          <w:lang w:eastAsia="zh-CN"/>
        </w:rPr>
      </w:pPr>
      <w:bookmarkStart w:id="0" w:name="_Toc510201001"/>
      <w:bookmarkEnd w:id="0"/>
      <w:r>
        <w:rPr>
          <w:lang w:eastAsia="zh-CN"/>
        </w:rPr>
        <w:t xml:space="preserve">　</w:t>
      </w:r>
      <w:r>
        <w:rPr>
          <w:lang w:eastAsia="zh-CN"/>
        </w:rPr>
        <w:t xml:space="preserve"> </w:t>
      </w:r>
    </w:p>
    <w:p w:rsidR="00C65CCC" w:rsidRDefault="00C65CCC">
      <w:pPr>
        <w:jc w:val="center"/>
      </w:pPr>
      <w:r>
        <w:rPr>
          <w:rFonts w:cs="Times New Roman" w:hint="eastAsia"/>
          <w:b/>
          <w:color w:val="000000"/>
          <w:sz w:val="48"/>
          <w:szCs w:val="48"/>
        </w:rPr>
        <w:t>兴全稳泰债券型证券投资基金分红公告</w:t>
      </w:r>
    </w:p>
    <w:p w:rsidR="00C65CCC" w:rsidRDefault="00C65CCC">
      <w:pPr>
        <w:spacing w:line="560" w:lineRule="exact"/>
        <w:jc w:val="center"/>
        <w:divId w:val="1660189867"/>
        <w:rPr>
          <w:rFonts w:hint="eastAsia"/>
          <w:color w:val="000000"/>
          <w:kern w:val="0"/>
          <w:sz w:val="18"/>
        </w:rPr>
      </w:pPr>
      <w:r>
        <w:rPr>
          <w:rFonts w:hint="eastAsia"/>
          <w:color w:val="000000"/>
          <w:kern w:val="0"/>
          <w:sz w:val="18"/>
        </w:rPr>
        <w:t xml:space="preserve">　 </w:t>
      </w:r>
    </w:p>
    <w:p w:rsidR="00C65CCC" w:rsidRDefault="00C65CCC">
      <w:pPr>
        <w:spacing w:line="560" w:lineRule="exact"/>
        <w:jc w:val="center"/>
        <w:divId w:val="1660189867"/>
        <w:rPr>
          <w:rFonts w:hint="eastAsia"/>
          <w:color w:val="000000"/>
          <w:kern w:val="0"/>
          <w:sz w:val="18"/>
        </w:rPr>
      </w:pPr>
      <w:r>
        <w:rPr>
          <w:rFonts w:hint="eastAsia"/>
          <w:color w:val="000000"/>
          <w:kern w:val="0"/>
          <w:sz w:val="18"/>
        </w:rPr>
        <w:t xml:space="preserve">　 </w:t>
      </w:r>
    </w:p>
    <w:p w:rsidR="00C65CCC" w:rsidRDefault="00C65CCC">
      <w:pPr>
        <w:spacing w:line="560" w:lineRule="exact"/>
        <w:jc w:val="center"/>
        <w:divId w:val="1741709576"/>
        <w:rPr>
          <w:rFonts w:hint="eastAsia"/>
          <w:color w:val="000000"/>
          <w:kern w:val="0"/>
          <w:sz w:val="18"/>
        </w:rPr>
      </w:pPr>
      <w:r>
        <w:rPr>
          <w:rFonts w:hint="eastAsia"/>
          <w:color w:val="000000"/>
          <w:kern w:val="0"/>
          <w:sz w:val="18"/>
        </w:rPr>
        <w:t xml:space="preserve">　 </w:t>
      </w:r>
    </w:p>
    <w:p w:rsidR="00C65CCC" w:rsidRDefault="00C65CCC">
      <w:pPr>
        <w:spacing w:line="560" w:lineRule="exact"/>
        <w:jc w:val="center"/>
        <w:divId w:val="1741709576"/>
        <w:rPr>
          <w:rFonts w:hint="eastAsia"/>
          <w:color w:val="000000"/>
          <w:kern w:val="0"/>
          <w:sz w:val="18"/>
        </w:rPr>
      </w:pPr>
      <w:r>
        <w:rPr>
          <w:rFonts w:hint="eastAsia"/>
          <w:color w:val="000000"/>
          <w:kern w:val="0"/>
          <w:sz w:val="18"/>
        </w:rPr>
        <w:t xml:space="preserve">　 </w:t>
      </w:r>
    </w:p>
    <w:p w:rsidR="00C65CCC" w:rsidRDefault="00C65CCC">
      <w:pPr>
        <w:spacing w:line="560" w:lineRule="exact"/>
        <w:jc w:val="center"/>
        <w:divId w:val="1741709576"/>
        <w:rPr>
          <w:rFonts w:hint="eastAsia"/>
          <w:color w:val="000000"/>
          <w:kern w:val="0"/>
          <w:sz w:val="18"/>
        </w:rPr>
      </w:pPr>
      <w:r>
        <w:rPr>
          <w:rFonts w:hint="eastAsia"/>
          <w:color w:val="000000"/>
          <w:kern w:val="0"/>
          <w:sz w:val="18"/>
        </w:rPr>
        <w:t xml:space="preserve">　 </w:t>
      </w:r>
    </w:p>
    <w:p w:rsidR="00C65CCC" w:rsidRDefault="00C65CCC">
      <w:pPr>
        <w:spacing w:line="560" w:lineRule="exact"/>
        <w:jc w:val="center"/>
        <w:divId w:val="1741709576"/>
        <w:rPr>
          <w:rFonts w:hint="eastAsia"/>
          <w:color w:val="000000"/>
          <w:kern w:val="0"/>
          <w:sz w:val="18"/>
        </w:rPr>
      </w:pPr>
      <w:r>
        <w:rPr>
          <w:rFonts w:hint="eastAsia"/>
          <w:color w:val="000000"/>
          <w:kern w:val="0"/>
          <w:sz w:val="18"/>
        </w:rPr>
        <w:t xml:space="preserve">　 </w:t>
      </w:r>
    </w:p>
    <w:p w:rsidR="00C65CCC" w:rsidRDefault="00C65CCC">
      <w:pPr>
        <w:spacing w:line="560" w:lineRule="exact"/>
        <w:jc w:val="center"/>
        <w:divId w:val="1741709576"/>
        <w:rPr>
          <w:rFonts w:hint="eastAsia"/>
          <w:color w:val="000000"/>
          <w:kern w:val="0"/>
          <w:sz w:val="18"/>
        </w:rPr>
      </w:pPr>
      <w:r>
        <w:rPr>
          <w:rFonts w:hint="eastAsia"/>
          <w:color w:val="000000"/>
          <w:kern w:val="0"/>
          <w:sz w:val="18"/>
        </w:rPr>
        <w:t xml:space="preserve">　 </w:t>
      </w:r>
    </w:p>
    <w:p w:rsidR="00C65CCC" w:rsidRDefault="00C65CCC">
      <w:pPr>
        <w:spacing w:line="560" w:lineRule="exact"/>
        <w:jc w:val="center"/>
        <w:divId w:val="1741709576"/>
        <w:rPr>
          <w:rFonts w:hint="eastAsia"/>
          <w:color w:val="000000"/>
          <w:kern w:val="0"/>
          <w:sz w:val="18"/>
        </w:rPr>
      </w:pPr>
      <w:r>
        <w:rPr>
          <w:rFonts w:hint="eastAsia"/>
          <w:color w:val="000000"/>
          <w:kern w:val="0"/>
          <w:sz w:val="18"/>
        </w:rPr>
        <w:t xml:space="preserve">　 </w:t>
      </w:r>
    </w:p>
    <w:p w:rsidR="00C65CCC" w:rsidRDefault="00C65CCC">
      <w:pPr>
        <w:spacing w:line="560" w:lineRule="exact"/>
        <w:jc w:val="center"/>
        <w:divId w:val="1741709576"/>
        <w:rPr>
          <w:rFonts w:hint="eastAsia"/>
          <w:color w:val="000000"/>
          <w:kern w:val="0"/>
          <w:sz w:val="18"/>
        </w:rPr>
      </w:pPr>
      <w:r>
        <w:rPr>
          <w:rFonts w:hint="eastAsia"/>
          <w:color w:val="000000"/>
          <w:kern w:val="0"/>
          <w:sz w:val="18"/>
        </w:rPr>
        <w:t xml:space="preserve">　 </w:t>
      </w:r>
    </w:p>
    <w:p w:rsidR="00C65CCC" w:rsidRDefault="00C65CCC">
      <w:pPr>
        <w:spacing w:line="560" w:lineRule="exact"/>
        <w:jc w:val="center"/>
        <w:divId w:val="1741709576"/>
        <w:rPr>
          <w:rFonts w:hint="eastAsia"/>
          <w:color w:val="000000"/>
          <w:kern w:val="0"/>
          <w:sz w:val="18"/>
        </w:rPr>
      </w:pPr>
      <w:r>
        <w:rPr>
          <w:rFonts w:hint="eastAsia"/>
          <w:color w:val="000000"/>
          <w:kern w:val="0"/>
          <w:sz w:val="18"/>
        </w:rPr>
        <w:t xml:space="preserve">　 </w:t>
      </w:r>
    </w:p>
    <w:p w:rsidR="00C65CCC" w:rsidRDefault="00C65CCC">
      <w:pPr>
        <w:spacing w:line="560" w:lineRule="exact"/>
        <w:jc w:val="center"/>
        <w:divId w:val="1741709576"/>
        <w:rPr>
          <w:rFonts w:hint="eastAsia"/>
          <w:color w:val="000000"/>
          <w:kern w:val="0"/>
          <w:sz w:val="18"/>
        </w:rPr>
      </w:pPr>
      <w:r>
        <w:rPr>
          <w:rFonts w:hint="eastAsia"/>
          <w:color w:val="000000"/>
          <w:kern w:val="0"/>
          <w:sz w:val="18"/>
        </w:rPr>
        <w:t xml:space="preserve">　 </w:t>
      </w:r>
    </w:p>
    <w:p w:rsidR="00C65CCC" w:rsidRDefault="00C65CCC">
      <w:pPr>
        <w:spacing w:line="560" w:lineRule="exact"/>
        <w:jc w:val="center"/>
        <w:divId w:val="1741709576"/>
        <w:rPr>
          <w:rFonts w:hint="eastAsia"/>
          <w:color w:val="000000"/>
          <w:kern w:val="0"/>
          <w:sz w:val="18"/>
        </w:rPr>
      </w:pPr>
      <w:r>
        <w:rPr>
          <w:rFonts w:hint="eastAsia"/>
          <w:color w:val="000000"/>
          <w:kern w:val="0"/>
          <w:sz w:val="18"/>
        </w:rPr>
        <w:t xml:space="preserve">　 </w:t>
      </w:r>
    </w:p>
    <w:p w:rsidR="00C65CCC" w:rsidRDefault="00C65CCC">
      <w:pPr>
        <w:spacing w:line="560" w:lineRule="exact"/>
        <w:jc w:val="center"/>
        <w:divId w:val="1741709576"/>
        <w:rPr>
          <w:rFonts w:hint="eastAsia"/>
          <w:color w:val="000000"/>
          <w:kern w:val="0"/>
          <w:sz w:val="18"/>
        </w:rPr>
      </w:pPr>
      <w:r>
        <w:rPr>
          <w:rFonts w:hint="eastAsia"/>
          <w:color w:val="000000"/>
          <w:kern w:val="0"/>
          <w:sz w:val="18"/>
        </w:rPr>
        <w:t xml:space="preserve">　 </w:t>
      </w:r>
    </w:p>
    <w:p w:rsidR="00C65CCC" w:rsidRDefault="00C65CCC">
      <w:pPr>
        <w:spacing w:line="360" w:lineRule="auto"/>
        <w:jc w:val="center"/>
        <w:rPr>
          <w:rFonts w:hint="eastAsia"/>
        </w:rPr>
      </w:pPr>
      <w:r>
        <w:rPr>
          <w:rFonts w:hint="eastAsia"/>
          <w:b/>
          <w:bCs/>
          <w:sz w:val="24"/>
          <w:szCs w:val="30"/>
        </w:rPr>
        <w:t>公告送出日期：2024年9月25日</w:t>
      </w:r>
    </w:p>
    <w:p w:rsidR="00C65CCC" w:rsidRDefault="00C65CCC">
      <w:pPr>
        <w:pStyle w:val="XBRLTitle1"/>
        <w:spacing w:before="156"/>
        <w:jc w:val="left"/>
        <w:rPr>
          <w:rFonts w:hint="eastAsia"/>
        </w:rPr>
      </w:pPr>
      <w:r>
        <w:rPr>
          <w:rFonts w:hint="eastAsia"/>
          <w:b w:val="0"/>
          <w:bCs w:val="0"/>
          <w:color w:val="404040"/>
          <w:kern w:val="0"/>
        </w:rPr>
        <w:br w:type="page"/>
      </w:r>
      <w:bookmarkStart w:id="1" w:name="_Toc34322059"/>
      <w:bookmarkStart w:id="2" w:name="_Toc513295892"/>
      <w:bookmarkStart w:id="3" w:name="_Toc513295846"/>
      <w:bookmarkStart w:id="4" w:name="_Toc490050000"/>
      <w:bookmarkStart w:id="5" w:name="_Toc438646451"/>
      <w:bookmarkStart w:id="6" w:name="_Toc481075046"/>
      <w:bookmarkStart w:id="7" w:name="_Toc512519480"/>
      <w:bookmarkStart w:id="8" w:name="_Toc17897936"/>
      <w:bookmarkStart w:id="9" w:name="_Toc17898178"/>
      <w:bookmarkStart w:id="10" w:name="m101"/>
      <w:bookmarkStart w:id="11" w:name="_Toc194311890"/>
      <w:bookmarkStart w:id="12" w:name="m01_01"/>
      <w:r>
        <w:rPr>
          <w:rFonts w:hint="eastAsia"/>
          <w:szCs w:val="24"/>
        </w:rPr>
        <w:t>公告基本信息</w:t>
      </w:r>
      <w:bookmarkEnd w:id="1"/>
      <w:bookmarkEnd w:id="2"/>
      <w:bookmarkEnd w:id="3"/>
      <w:bookmarkEnd w:id="4"/>
      <w:bookmarkEnd w:id="5"/>
      <w:bookmarkEnd w:id="6"/>
      <w:bookmarkEnd w:id="7"/>
      <w:bookmarkEnd w:id="8"/>
      <w:bookmarkEnd w:id="9"/>
      <w:r>
        <w:rPr>
          <w:rFonts w:hint="eastAsia"/>
          <w:szCs w:val="24"/>
        </w:rPr>
        <w:t xml:space="preserve"> </w:t>
      </w:r>
    </w:p>
    <w:tbl>
      <w:tblPr>
        <w:tblW w:w="8520" w:type="dxa"/>
        <w:tblBorders>
          <w:top w:val="single" w:sz="4" w:space="0" w:color="000000"/>
          <w:left w:val="single" w:sz="4" w:space="0" w:color="000000"/>
          <w:bottom w:val="single" w:sz="4" w:space="0" w:color="000000"/>
          <w:right w:val="single" w:sz="4" w:space="0" w:color="000000"/>
        </w:tblBorders>
        <w:tblLayout w:type="fixed"/>
        <w:tblLook w:val="04A0"/>
      </w:tblPr>
      <w:tblGrid>
        <w:gridCol w:w="896"/>
        <w:gridCol w:w="998"/>
        <w:gridCol w:w="3313"/>
        <w:gridCol w:w="3313"/>
      </w:tblGrid>
      <w:tr w:rsidR="00C65CCC" w:rsidTr="002F65A4">
        <w:trPr>
          <w:divId w:val="113407621"/>
        </w:trPr>
        <w:tc>
          <w:tcPr>
            <w:tcW w:w="2942" w:type="dxa"/>
            <w:gridSpan w:val="2"/>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 xml:space="preserve">基金名称 </w:t>
            </w:r>
          </w:p>
        </w:tc>
        <w:tc>
          <w:tcPr>
            <w:tcW w:w="5578" w:type="dxa"/>
            <w:gridSpan w:val="2"/>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兴全稳泰债券型证券投资基金</w:t>
            </w:r>
          </w:p>
        </w:tc>
      </w:tr>
      <w:tr w:rsidR="00C65CCC" w:rsidTr="002F65A4">
        <w:trPr>
          <w:divId w:val="113407621"/>
        </w:trPr>
        <w:tc>
          <w:tcPr>
            <w:tcW w:w="2942" w:type="dxa"/>
            <w:gridSpan w:val="2"/>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 xml:space="preserve">基金简称 </w:t>
            </w:r>
          </w:p>
        </w:tc>
        <w:tc>
          <w:tcPr>
            <w:tcW w:w="5578" w:type="dxa"/>
            <w:gridSpan w:val="2"/>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兴全稳泰债券</w:t>
            </w:r>
          </w:p>
        </w:tc>
      </w:tr>
      <w:tr w:rsidR="00C65CCC" w:rsidTr="002F65A4">
        <w:trPr>
          <w:divId w:val="113407621"/>
        </w:trPr>
        <w:tc>
          <w:tcPr>
            <w:tcW w:w="2942" w:type="dxa"/>
            <w:gridSpan w:val="2"/>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 xml:space="preserve">基金主代码 </w:t>
            </w:r>
          </w:p>
        </w:tc>
        <w:tc>
          <w:tcPr>
            <w:tcW w:w="5578" w:type="dxa"/>
            <w:gridSpan w:val="2"/>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003949</w:t>
            </w:r>
          </w:p>
        </w:tc>
      </w:tr>
      <w:tr w:rsidR="00C65CCC" w:rsidTr="002F65A4">
        <w:trPr>
          <w:divId w:val="113407621"/>
        </w:trPr>
        <w:tc>
          <w:tcPr>
            <w:tcW w:w="2942" w:type="dxa"/>
            <w:gridSpan w:val="2"/>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 xml:space="preserve">基金合同生效日 </w:t>
            </w:r>
          </w:p>
        </w:tc>
        <w:tc>
          <w:tcPr>
            <w:tcW w:w="5578" w:type="dxa"/>
            <w:gridSpan w:val="2"/>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2016年12月16日</w:t>
            </w:r>
          </w:p>
        </w:tc>
      </w:tr>
      <w:tr w:rsidR="00C65CCC" w:rsidTr="002F65A4">
        <w:trPr>
          <w:divId w:val="113407621"/>
        </w:trPr>
        <w:tc>
          <w:tcPr>
            <w:tcW w:w="2942" w:type="dxa"/>
            <w:gridSpan w:val="2"/>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 xml:space="preserve">基金管理人名称 </w:t>
            </w:r>
          </w:p>
        </w:tc>
        <w:tc>
          <w:tcPr>
            <w:tcW w:w="5578" w:type="dxa"/>
            <w:gridSpan w:val="2"/>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兴证全球基金管理有限公司</w:t>
            </w:r>
          </w:p>
        </w:tc>
      </w:tr>
      <w:tr w:rsidR="00C65CCC" w:rsidTr="002F65A4">
        <w:trPr>
          <w:divId w:val="113407621"/>
        </w:trPr>
        <w:tc>
          <w:tcPr>
            <w:tcW w:w="2942" w:type="dxa"/>
            <w:gridSpan w:val="2"/>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 xml:space="preserve">基金托管人名称 </w:t>
            </w:r>
          </w:p>
        </w:tc>
        <w:tc>
          <w:tcPr>
            <w:tcW w:w="5578" w:type="dxa"/>
            <w:gridSpan w:val="2"/>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交通银行股份有限公司</w:t>
            </w:r>
          </w:p>
        </w:tc>
      </w:tr>
      <w:tr w:rsidR="00C65CCC" w:rsidTr="002F65A4">
        <w:trPr>
          <w:divId w:val="113407621"/>
        </w:trPr>
        <w:tc>
          <w:tcPr>
            <w:tcW w:w="2942" w:type="dxa"/>
            <w:gridSpan w:val="2"/>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 xml:space="preserve">公告依据 </w:t>
            </w:r>
          </w:p>
        </w:tc>
        <w:tc>
          <w:tcPr>
            <w:tcW w:w="5578" w:type="dxa"/>
            <w:gridSpan w:val="2"/>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《兴全稳泰债券型证券投资基金基金合同》和《兴全稳泰债券型证券投资基金招募说明书》等的规定</w:t>
            </w:r>
          </w:p>
        </w:tc>
      </w:tr>
      <w:tr w:rsidR="00C65CCC" w:rsidTr="002F65A4">
        <w:trPr>
          <w:divId w:val="113407621"/>
        </w:trPr>
        <w:tc>
          <w:tcPr>
            <w:tcW w:w="2942" w:type="dxa"/>
            <w:gridSpan w:val="2"/>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 xml:space="preserve">收益分配基准日 </w:t>
            </w:r>
          </w:p>
        </w:tc>
        <w:tc>
          <w:tcPr>
            <w:tcW w:w="5578" w:type="dxa"/>
            <w:gridSpan w:val="2"/>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2024年9月20日</w:t>
            </w:r>
          </w:p>
        </w:tc>
      </w:tr>
      <w:tr w:rsidR="00C65CCC" w:rsidTr="002F65A4">
        <w:trPr>
          <w:divId w:val="113407621"/>
        </w:trPr>
        <w:tc>
          <w:tcPr>
            <w:tcW w:w="2942" w:type="dxa"/>
            <w:gridSpan w:val="2"/>
            <w:tcBorders>
              <w:top w:val="single" w:sz="4" w:space="0" w:color="000000"/>
              <w:left w:val="single" w:sz="4" w:space="0" w:color="000000"/>
              <w:bottom w:val="single" w:sz="4" w:space="0" w:color="000000"/>
              <w:right w:val="single" w:sz="4" w:space="0" w:color="000000"/>
            </w:tcBorders>
            <w:vAlign w:val="center"/>
            <w:hideMark/>
          </w:tcPr>
          <w:p w:rsidR="00C65CCC" w:rsidRDefault="00C65CCC">
            <w:pPr>
              <w:rPr>
                <w:rFonts w:hint="eastAsia"/>
              </w:rPr>
            </w:pPr>
            <w:r>
              <w:rPr>
                <w:rFonts w:hint="eastAsia"/>
                <w:szCs w:val="21"/>
              </w:rPr>
              <w:t xml:space="preserve">有关年度分红次数的说明 </w:t>
            </w:r>
          </w:p>
        </w:tc>
        <w:tc>
          <w:tcPr>
            <w:tcW w:w="5578" w:type="dxa"/>
            <w:gridSpan w:val="2"/>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2024年第1次</w:t>
            </w:r>
          </w:p>
        </w:tc>
      </w:tr>
      <w:tr w:rsidR="00C65CCC" w:rsidTr="002F65A4">
        <w:trPr>
          <w:divId w:val="113407621"/>
        </w:trPr>
        <w:tc>
          <w:tcPr>
            <w:tcW w:w="2942" w:type="dxa"/>
            <w:gridSpan w:val="2"/>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 xml:space="preserve">下属分级基金的基金简称 </w:t>
            </w:r>
          </w:p>
        </w:tc>
        <w:tc>
          <w:tcPr>
            <w:tcW w:w="5578" w:type="dxa"/>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兴全稳泰债券A</w:t>
            </w:r>
          </w:p>
        </w:tc>
        <w:tc>
          <w:tcPr>
            <w:tcW w:w="5578" w:type="dxa"/>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兴全稳泰债券C</w:t>
            </w:r>
          </w:p>
        </w:tc>
      </w:tr>
      <w:tr w:rsidR="00C65CCC" w:rsidTr="002F65A4">
        <w:trPr>
          <w:divId w:val="113407621"/>
        </w:trPr>
        <w:tc>
          <w:tcPr>
            <w:tcW w:w="2942" w:type="dxa"/>
            <w:gridSpan w:val="2"/>
            <w:tcBorders>
              <w:top w:val="single" w:sz="4" w:space="0" w:color="000000"/>
              <w:left w:val="single" w:sz="4" w:space="0" w:color="000000"/>
              <w:bottom w:val="single" w:sz="4" w:space="0" w:color="000000"/>
              <w:right w:val="single" w:sz="4" w:space="0" w:color="000000"/>
            </w:tcBorders>
            <w:vAlign w:val="center"/>
            <w:hideMark/>
          </w:tcPr>
          <w:p w:rsidR="00C65CCC" w:rsidRDefault="00C65CCC">
            <w:pPr>
              <w:rPr>
                <w:rFonts w:hint="eastAsia"/>
              </w:rPr>
            </w:pPr>
            <w:r>
              <w:rPr>
                <w:rFonts w:hint="eastAsia"/>
                <w:szCs w:val="21"/>
              </w:rPr>
              <w:t xml:space="preserve">下属分级基金的交易代码 </w:t>
            </w:r>
          </w:p>
        </w:tc>
        <w:tc>
          <w:tcPr>
            <w:tcW w:w="5578" w:type="dxa"/>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003949</w:t>
            </w:r>
          </w:p>
        </w:tc>
        <w:tc>
          <w:tcPr>
            <w:tcW w:w="5578" w:type="dxa"/>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008173</w:t>
            </w:r>
          </w:p>
        </w:tc>
      </w:tr>
      <w:tr w:rsidR="00C65CCC" w:rsidTr="002F65A4">
        <w:trPr>
          <w:divId w:val="113407621"/>
        </w:trPr>
        <w:tc>
          <w:tcPr>
            <w:tcW w:w="1383" w:type="dxa"/>
            <w:vMerge w:val="restart"/>
            <w:tcBorders>
              <w:top w:val="single" w:sz="4" w:space="0" w:color="000000"/>
              <w:left w:val="single" w:sz="4" w:space="0" w:color="000000"/>
              <w:bottom w:val="single" w:sz="4" w:space="0" w:color="000000"/>
              <w:right w:val="single" w:sz="4" w:space="0" w:color="000000"/>
            </w:tcBorders>
            <w:vAlign w:val="center"/>
            <w:hideMark/>
          </w:tcPr>
          <w:p w:rsidR="00C65CCC" w:rsidRDefault="00C65CCC">
            <w:pPr>
              <w:rPr>
                <w:rFonts w:hint="eastAsia"/>
              </w:rPr>
            </w:pPr>
            <w:r>
              <w:rPr>
                <w:rFonts w:hint="eastAsia"/>
                <w:szCs w:val="21"/>
              </w:rPr>
              <w:t xml:space="preserve">截止基准日下属分级基金的相关指标 </w:t>
            </w:r>
          </w:p>
        </w:tc>
        <w:tc>
          <w:tcPr>
            <w:tcW w:w="1559" w:type="dxa"/>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 xml:space="preserve">基准日下属分级基金份额净值（单位： 人民币元） </w:t>
            </w:r>
          </w:p>
        </w:tc>
        <w:tc>
          <w:tcPr>
            <w:tcW w:w="5578" w:type="dxa"/>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1.1842</w:t>
            </w:r>
          </w:p>
        </w:tc>
        <w:tc>
          <w:tcPr>
            <w:tcW w:w="5578" w:type="dxa"/>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1.1722</w:t>
            </w:r>
          </w:p>
        </w:tc>
      </w:tr>
      <w:tr w:rsidR="00C65CCC" w:rsidTr="002F65A4">
        <w:trPr>
          <w:divId w:val="113407621"/>
        </w:trPr>
        <w:tc>
          <w:tcPr>
            <w:tcW w:w="2942" w:type="dxa"/>
            <w:vMerge/>
            <w:tcBorders>
              <w:top w:val="single" w:sz="4" w:space="0" w:color="000000"/>
              <w:left w:val="single" w:sz="4" w:space="0" w:color="000000"/>
              <w:bottom w:val="single" w:sz="4" w:space="0" w:color="000000"/>
              <w:right w:val="single" w:sz="4" w:space="0" w:color="000000"/>
            </w:tcBorders>
            <w:vAlign w:val="center"/>
            <w:hideMark/>
          </w:tcPr>
          <w:p w:rsidR="00C65CCC" w:rsidRDefault="00C65CCC">
            <w:pPr>
              <w:widowControl/>
              <w:jc w:val="left"/>
            </w:pPr>
          </w:p>
        </w:tc>
        <w:tc>
          <w:tcPr>
            <w:tcW w:w="1559" w:type="dxa"/>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 xml:space="preserve">基准日下属分级基金可供分配利润（单位:人民币元） </w:t>
            </w:r>
          </w:p>
        </w:tc>
        <w:tc>
          <w:tcPr>
            <w:tcW w:w="5578" w:type="dxa"/>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1,296,467,023.64</w:t>
            </w:r>
          </w:p>
        </w:tc>
        <w:tc>
          <w:tcPr>
            <w:tcW w:w="5578" w:type="dxa"/>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559,137,132.79</w:t>
            </w:r>
          </w:p>
        </w:tc>
      </w:tr>
      <w:tr w:rsidR="00C65CCC" w:rsidTr="002F65A4">
        <w:trPr>
          <w:divId w:val="113407621"/>
        </w:trPr>
        <w:tc>
          <w:tcPr>
            <w:tcW w:w="2942" w:type="dxa"/>
            <w:vMerge/>
            <w:tcBorders>
              <w:top w:val="single" w:sz="4" w:space="0" w:color="000000"/>
              <w:left w:val="single" w:sz="4" w:space="0" w:color="000000"/>
              <w:bottom w:val="single" w:sz="4" w:space="0" w:color="000000"/>
              <w:right w:val="single" w:sz="4" w:space="0" w:color="000000"/>
            </w:tcBorders>
            <w:vAlign w:val="center"/>
            <w:hideMark/>
          </w:tcPr>
          <w:p w:rsidR="00C65CCC" w:rsidRDefault="00C65CCC">
            <w:pPr>
              <w:widowControl/>
              <w:jc w:val="left"/>
            </w:pPr>
          </w:p>
        </w:tc>
        <w:tc>
          <w:tcPr>
            <w:tcW w:w="1559" w:type="dxa"/>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截止基准日按照基金合同约定的分红比例计算的应分配金额（单位： 人民币元）</w:t>
            </w:r>
          </w:p>
        </w:tc>
        <w:tc>
          <w:tcPr>
            <w:tcW w:w="5578" w:type="dxa"/>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91,701,709.73</w:t>
            </w:r>
          </w:p>
        </w:tc>
        <w:tc>
          <w:tcPr>
            <w:tcW w:w="5578" w:type="dxa"/>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38,463,350.20</w:t>
            </w:r>
          </w:p>
        </w:tc>
      </w:tr>
      <w:tr w:rsidR="00C65CCC" w:rsidTr="002F65A4">
        <w:trPr>
          <w:divId w:val="113407621"/>
        </w:trPr>
        <w:tc>
          <w:tcPr>
            <w:tcW w:w="2942" w:type="dxa"/>
            <w:gridSpan w:val="2"/>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 xml:space="preserve">本次下属分级基金分红方案（单位：元/10份基金份额） </w:t>
            </w:r>
          </w:p>
        </w:tc>
        <w:tc>
          <w:tcPr>
            <w:tcW w:w="5578" w:type="dxa"/>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0.1200</w:t>
            </w:r>
          </w:p>
        </w:tc>
        <w:tc>
          <w:tcPr>
            <w:tcW w:w="5578" w:type="dxa"/>
            <w:tcBorders>
              <w:top w:val="single" w:sz="4" w:space="0" w:color="000000"/>
              <w:left w:val="single" w:sz="4" w:space="0" w:color="000000"/>
              <w:bottom w:val="single" w:sz="4" w:space="0" w:color="000000"/>
              <w:right w:val="single" w:sz="4" w:space="0" w:color="000000"/>
            </w:tcBorders>
            <w:hideMark/>
          </w:tcPr>
          <w:p w:rsidR="00C65CCC" w:rsidRDefault="00C65CCC">
            <w:pPr>
              <w:rPr>
                <w:rFonts w:hint="eastAsia"/>
              </w:rPr>
            </w:pPr>
            <w:r>
              <w:rPr>
                <w:rFonts w:hint="eastAsia"/>
                <w:szCs w:val="21"/>
              </w:rPr>
              <w:t>0.1100</w:t>
            </w:r>
          </w:p>
        </w:tc>
      </w:tr>
    </w:tbl>
    <w:p w:rsidR="00C65CCC" w:rsidRDefault="00C65CCC">
      <w:pPr>
        <w:adjustRightInd w:val="0"/>
        <w:snapToGrid w:val="0"/>
        <w:spacing w:beforeLines="50" w:line="360" w:lineRule="auto"/>
        <w:jc w:val="left"/>
        <w:divId w:val="113407621"/>
        <w:rPr>
          <w:rFonts w:hint="eastAsia"/>
        </w:rPr>
      </w:pPr>
      <w:r>
        <w:rPr>
          <w:rFonts w:hint="eastAsia"/>
        </w:rPr>
        <w:t>注：</w:t>
      </w:r>
      <w:r>
        <w:rPr>
          <w:rFonts w:hint="eastAsia"/>
          <w:szCs w:val="24"/>
          <w:lang/>
        </w:rPr>
        <w:t>1、按照《兴全稳泰债券型证券投资基金基金合同》的规定，基金可供分配利润指截至收益分配基准日基金未分配利润与未分配利润中已实现收益的孰低数。上表中“截止基准日按照基金合同约定的分红比例计算的应分配金额”指由管理人拟定，托管人复核的本次收益分配总金额，计算结果保留两位小数。</w:t>
      </w:r>
      <w:r>
        <w:rPr>
          <w:rFonts w:hint="eastAsia"/>
          <w:szCs w:val="24"/>
          <w:lang/>
        </w:rPr>
        <w:br/>
        <w:t xml:space="preserve">　　2、由于本基金A类基金份额不收取销售服务费，而C类基金份额收取销售服务费，各基金份额类别对应的可分配收益有所不同。</w:t>
      </w:r>
      <w:r>
        <w:rPr>
          <w:rFonts w:hint="eastAsia"/>
          <w:szCs w:val="24"/>
          <w:lang/>
        </w:rPr>
        <w:br/>
        <w:t xml:space="preserve">　　3、因大额申购赎回等客观原因导致截至基准日按照基金合同约定的分红比例计算的应分配金额或每10份基金份额所分配金额等与本次分红相关事项不符的，本基金管理人可及时公告调整本次分红相关事项。</w:t>
      </w:r>
      <w:r>
        <w:rPr>
          <w:rFonts w:hint="eastAsia"/>
          <w:szCs w:val="24"/>
        </w:rPr>
        <w:t xml:space="preserve"> </w:t>
      </w:r>
    </w:p>
    <w:p w:rsidR="00C65CCC" w:rsidRDefault="00C65CCC">
      <w:pPr>
        <w:pStyle w:val="XBRLTitle1"/>
        <w:spacing w:before="156" w:line="360" w:lineRule="auto"/>
        <w:jc w:val="left"/>
        <w:divId w:val="1206791781"/>
        <w:rPr>
          <w:rFonts w:hint="eastAsia"/>
        </w:rPr>
      </w:pPr>
      <w:bookmarkStart w:id="13" w:name="_Toc34322060"/>
      <w:bookmarkStart w:id="14" w:name="_Toc513295893"/>
      <w:bookmarkStart w:id="15" w:name="_Toc513295847"/>
      <w:bookmarkStart w:id="16" w:name="_Toc490050001"/>
      <w:bookmarkStart w:id="17" w:name="_Toc438646452"/>
      <w:bookmarkStart w:id="18" w:name="_Toc481075047"/>
      <w:bookmarkStart w:id="19" w:name="_Toc512519481"/>
      <w:bookmarkStart w:id="20" w:name="_Toc17897937"/>
      <w:bookmarkStart w:id="21" w:name="_Toc17898179"/>
      <w:r>
        <w:rPr>
          <w:rFonts w:hAnsi="宋体" w:hint="eastAsia"/>
          <w:szCs w:val="24"/>
        </w:rPr>
        <w:t>与分红相关的其他信息</w:t>
      </w:r>
      <w:bookmarkEnd w:id="10"/>
      <w:bookmarkEnd w:id="13"/>
      <w:bookmarkEnd w:id="14"/>
      <w:bookmarkEnd w:id="15"/>
      <w:bookmarkEnd w:id="16"/>
      <w:bookmarkEnd w:id="17"/>
      <w:bookmarkEnd w:id="18"/>
      <w:bookmarkEnd w:id="19"/>
      <w:bookmarkEnd w:id="20"/>
      <w:bookmarkEnd w:id="21"/>
      <w:r>
        <w:rPr>
          <w:rFonts w:hAnsi="宋体" w:hint="eastAsia"/>
          <w:szCs w:val="24"/>
        </w:rPr>
        <w:t xml:space="preserve"> </w:t>
      </w:r>
      <w:bookmarkEnd w:id="11"/>
      <w:bookmarkEnd w:id="12"/>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8"/>
        <w:gridCol w:w="4817"/>
      </w:tblGrid>
      <w:tr w:rsidR="00C65CCC">
        <w:trPr>
          <w:divId w:val="1316177009"/>
        </w:trPr>
        <w:tc>
          <w:tcPr>
            <w:tcW w:w="3927" w:type="dxa"/>
            <w:tcBorders>
              <w:top w:val="single" w:sz="4" w:space="0" w:color="auto"/>
              <w:left w:val="single" w:sz="4" w:space="0" w:color="auto"/>
              <w:bottom w:val="single" w:sz="4" w:space="0" w:color="auto"/>
              <w:right w:val="single" w:sz="4" w:space="0" w:color="auto"/>
            </w:tcBorders>
            <w:hideMark/>
          </w:tcPr>
          <w:p w:rsidR="00C65CCC" w:rsidRDefault="00C65CCC">
            <w:pPr>
              <w:rPr>
                <w:rFonts w:hint="eastAsia"/>
              </w:rPr>
            </w:pPr>
            <w:r>
              <w:rPr>
                <w:rFonts w:hint="eastAsia"/>
                <w:szCs w:val="21"/>
              </w:rPr>
              <w:t xml:space="preserve">权益登记日 </w:t>
            </w:r>
          </w:p>
        </w:tc>
        <w:tc>
          <w:tcPr>
            <w:tcW w:w="4815" w:type="dxa"/>
            <w:tcBorders>
              <w:top w:val="single" w:sz="4" w:space="0" w:color="auto"/>
              <w:left w:val="single" w:sz="4" w:space="0" w:color="auto"/>
              <w:bottom w:val="single" w:sz="4" w:space="0" w:color="auto"/>
              <w:right w:val="single" w:sz="4" w:space="0" w:color="auto"/>
            </w:tcBorders>
            <w:hideMark/>
          </w:tcPr>
          <w:p w:rsidR="00C65CCC" w:rsidRDefault="00C65CCC">
            <w:pPr>
              <w:rPr>
                <w:rFonts w:hint="eastAsia"/>
              </w:rPr>
            </w:pPr>
            <w:r>
              <w:rPr>
                <w:rFonts w:hint="eastAsia"/>
                <w:szCs w:val="21"/>
              </w:rPr>
              <w:t>2024年9月27日</w:t>
            </w:r>
          </w:p>
        </w:tc>
      </w:tr>
      <w:tr w:rsidR="00C65CCC">
        <w:trPr>
          <w:divId w:val="1316177009"/>
        </w:trPr>
        <w:tc>
          <w:tcPr>
            <w:tcW w:w="3927" w:type="dxa"/>
            <w:tcBorders>
              <w:top w:val="single" w:sz="4" w:space="0" w:color="auto"/>
              <w:left w:val="single" w:sz="4" w:space="0" w:color="auto"/>
              <w:bottom w:val="single" w:sz="4" w:space="0" w:color="auto"/>
              <w:right w:val="single" w:sz="4" w:space="0" w:color="auto"/>
            </w:tcBorders>
            <w:hideMark/>
          </w:tcPr>
          <w:p w:rsidR="00C65CCC" w:rsidRDefault="00C65CCC">
            <w:pPr>
              <w:rPr>
                <w:rFonts w:hint="eastAsia"/>
              </w:rPr>
            </w:pPr>
            <w:r>
              <w:rPr>
                <w:rFonts w:hint="eastAsia"/>
                <w:szCs w:val="21"/>
              </w:rPr>
              <w:t xml:space="preserve">除息日 </w:t>
            </w:r>
          </w:p>
        </w:tc>
        <w:tc>
          <w:tcPr>
            <w:tcW w:w="4815" w:type="dxa"/>
            <w:tcBorders>
              <w:top w:val="single" w:sz="4" w:space="0" w:color="auto"/>
              <w:left w:val="single" w:sz="4" w:space="0" w:color="auto"/>
              <w:bottom w:val="single" w:sz="4" w:space="0" w:color="auto"/>
              <w:right w:val="single" w:sz="4" w:space="0" w:color="auto"/>
            </w:tcBorders>
            <w:hideMark/>
          </w:tcPr>
          <w:p w:rsidR="00C65CCC" w:rsidRDefault="00C65CCC">
            <w:pPr>
              <w:rPr>
                <w:rFonts w:hint="eastAsia"/>
              </w:rPr>
            </w:pPr>
            <w:r>
              <w:rPr>
                <w:rFonts w:hint="eastAsia"/>
                <w:szCs w:val="21"/>
              </w:rPr>
              <w:t>2024年9月27日</w:t>
            </w:r>
          </w:p>
        </w:tc>
      </w:tr>
      <w:tr w:rsidR="00C65CCC">
        <w:trPr>
          <w:divId w:val="1316177009"/>
        </w:trPr>
        <w:tc>
          <w:tcPr>
            <w:tcW w:w="3927" w:type="dxa"/>
            <w:tcBorders>
              <w:top w:val="single" w:sz="4" w:space="0" w:color="auto"/>
              <w:left w:val="single" w:sz="4" w:space="0" w:color="auto"/>
              <w:bottom w:val="single" w:sz="4" w:space="0" w:color="auto"/>
              <w:right w:val="single" w:sz="4" w:space="0" w:color="auto"/>
            </w:tcBorders>
            <w:hideMark/>
          </w:tcPr>
          <w:p w:rsidR="00C65CCC" w:rsidRDefault="00C65CCC">
            <w:pPr>
              <w:rPr>
                <w:rFonts w:hint="eastAsia"/>
              </w:rPr>
            </w:pPr>
            <w:r>
              <w:rPr>
                <w:rFonts w:hint="eastAsia"/>
                <w:szCs w:val="21"/>
              </w:rPr>
              <w:t xml:space="preserve">现金红利发放日 </w:t>
            </w:r>
          </w:p>
        </w:tc>
        <w:tc>
          <w:tcPr>
            <w:tcW w:w="4815" w:type="dxa"/>
            <w:tcBorders>
              <w:top w:val="single" w:sz="4" w:space="0" w:color="auto"/>
              <w:left w:val="single" w:sz="4" w:space="0" w:color="auto"/>
              <w:bottom w:val="single" w:sz="4" w:space="0" w:color="auto"/>
              <w:right w:val="single" w:sz="4" w:space="0" w:color="auto"/>
            </w:tcBorders>
            <w:hideMark/>
          </w:tcPr>
          <w:p w:rsidR="00C65CCC" w:rsidRDefault="00C65CCC">
            <w:pPr>
              <w:rPr>
                <w:rFonts w:hint="eastAsia"/>
              </w:rPr>
            </w:pPr>
            <w:r>
              <w:rPr>
                <w:rFonts w:hint="eastAsia"/>
                <w:szCs w:val="21"/>
              </w:rPr>
              <w:t>2024年9月30日</w:t>
            </w:r>
          </w:p>
        </w:tc>
      </w:tr>
      <w:tr w:rsidR="00C65CCC">
        <w:trPr>
          <w:divId w:val="1316177009"/>
        </w:trPr>
        <w:tc>
          <w:tcPr>
            <w:tcW w:w="3927" w:type="dxa"/>
            <w:tcBorders>
              <w:top w:val="single" w:sz="4" w:space="0" w:color="auto"/>
              <w:left w:val="single" w:sz="4" w:space="0" w:color="auto"/>
              <w:bottom w:val="single" w:sz="4" w:space="0" w:color="auto"/>
              <w:right w:val="single" w:sz="4" w:space="0" w:color="auto"/>
            </w:tcBorders>
            <w:hideMark/>
          </w:tcPr>
          <w:p w:rsidR="00C65CCC" w:rsidRDefault="00C65CCC">
            <w:pPr>
              <w:rPr>
                <w:rFonts w:hint="eastAsia"/>
              </w:rPr>
            </w:pPr>
            <w:r>
              <w:rPr>
                <w:rFonts w:hint="eastAsia"/>
                <w:szCs w:val="21"/>
              </w:rPr>
              <w:t xml:space="preserve">分红对象 </w:t>
            </w:r>
          </w:p>
        </w:tc>
        <w:tc>
          <w:tcPr>
            <w:tcW w:w="4815" w:type="dxa"/>
            <w:tcBorders>
              <w:top w:val="single" w:sz="4" w:space="0" w:color="auto"/>
              <w:left w:val="single" w:sz="4" w:space="0" w:color="auto"/>
              <w:bottom w:val="single" w:sz="4" w:space="0" w:color="auto"/>
              <w:right w:val="single" w:sz="4" w:space="0" w:color="auto"/>
            </w:tcBorders>
            <w:hideMark/>
          </w:tcPr>
          <w:p w:rsidR="00C65CCC" w:rsidRDefault="00C65CCC">
            <w:pPr>
              <w:rPr>
                <w:rFonts w:hint="eastAsia"/>
              </w:rPr>
            </w:pPr>
            <w:r>
              <w:rPr>
                <w:rFonts w:hint="eastAsia"/>
                <w:szCs w:val="21"/>
              </w:rPr>
              <w:t>权益登记日在注册登记机构兴证全球基金管理有限公司登记在册的本基金全体基金份额持有人。</w:t>
            </w:r>
          </w:p>
        </w:tc>
      </w:tr>
      <w:tr w:rsidR="00C65CCC">
        <w:trPr>
          <w:divId w:val="1316177009"/>
        </w:trPr>
        <w:tc>
          <w:tcPr>
            <w:tcW w:w="3927" w:type="dxa"/>
            <w:tcBorders>
              <w:top w:val="single" w:sz="4" w:space="0" w:color="auto"/>
              <w:left w:val="single" w:sz="4" w:space="0" w:color="auto"/>
              <w:bottom w:val="single" w:sz="4" w:space="0" w:color="auto"/>
              <w:right w:val="single" w:sz="4" w:space="0" w:color="auto"/>
            </w:tcBorders>
            <w:vAlign w:val="center"/>
            <w:hideMark/>
          </w:tcPr>
          <w:p w:rsidR="00C65CCC" w:rsidRDefault="00C65CCC">
            <w:pPr>
              <w:rPr>
                <w:rFonts w:hint="eastAsia"/>
              </w:rPr>
            </w:pPr>
            <w:r>
              <w:rPr>
                <w:rFonts w:hint="eastAsia"/>
                <w:szCs w:val="21"/>
              </w:rPr>
              <w:t xml:space="preserve">红利再投资相关事项的说明 </w:t>
            </w:r>
          </w:p>
        </w:tc>
        <w:tc>
          <w:tcPr>
            <w:tcW w:w="4815" w:type="dxa"/>
            <w:tcBorders>
              <w:top w:val="single" w:sz="4" w:space="0" w:color="auto"/>
              <w:left w:val="single" w:sz="4" w:space="0" w:color="auto"/>
              <w:bottom w:val="single" w:sz="4" w:space="0" w:color="auto"/>
              <w:right w:val="single" w:sz="4" w:space="0" w:color="auto"/>
            </w:tcBorders>
            <w:hideMark/>
          </w:tcPr>
          <w:p w:rsidR="00C65CCC" w:rsidRDefault="00C65CCC">
            <w:pPr>
              <w:rPr>
                <w:rFonts w:hint="eastAsia"/>
              </w:rPr>
            </w:pPr>
            <w:r>
              <w:rPr>
                <w:rFonts w:hint="eastAsia"/>
                <w:szCs w:val="21"/>
              </w:rPr>
              <w:t>选择红利再投资方式的投资者由红利所得的基金份额将以2024年9月27日除权后的基金份额净值为计算基准确定再投资份额，本公司对红利再投资所产生的基金份额进行确认并通知各销售机构。2024年10月8日起投资者可以查询、赎回。</w:t>
            </w:r>
          </w:p>
        </w:tc>
      </w:tr>
      <w:tr w:rsidR="00C65CCC">
        <w:trPr>
          <w:divId w:val="1316177009"/>
        </w:trPr>
        <w:tc>
          <w:tcPr>
            <w:tcW w:w="3927" w:type="dxa"/>
            <w:tcBorders>
              <w:top w:val="single" w:sz="4" w:space="0" w:color="auto"/>
              <w:left w:val="single" w:sz="4" w:space="0" w:color="auto"/>
              <w:bottom w:val="single" w:sz="4" w:space="0" w:color="auto"/>
              <w:right w:val="single" w:sz="4" w:space="0" w:color="auto"/>
            </w:tcBorders>
            <w:hideMark/>
          </w:tcPr>
          <w:p w:rsidR="00C65CCC" w:rsidRDefault="00C65CCC">
            <w:pPr>
              <w:rPr>
                <w:rFonts w:hint="eastAsia"/>
              </w:rPr>
            </w:pPr>
            <w:r>
              <w:rPr>
                <w:rFonts w:hint="eastAsia"/>
                <w:szCs w:val="21"/>
              </w:rPr>
              <w:t xml:space="preserve">税收相关事项的说明 </w:t>
            </w:r>
          </w:p>
        </w:tc>
        <w:tc>
          <w:tcPr>
            <w:tcW w:w="4815" w:type="dxa"/>
            <w:tcBorders>
              <w:top w:val="single" w:sz="4" w:space="0" w:color="auto"/>
              <w:left w:val="single" w:sz="4" w:space="0" w:color="auto"/>
              <w:bottom w:val="single" w:sz="4" w:space="0" w:color="auto"/>
              <w:right w:val="single" w:sz="4" w:space="0" w:color="auto"/>
            </w:tcBorders>
            <w:hideMark/>
          </w:tcPr>
          <w:p w:rsidR="00C65CCC" w:rsidRDefault="00C65CCC">
            <w:pPr>
              <w:rPr>
                <w:rFonts w:hint="eastAsia"/>
              </w:rPr>
            </w:pPr>
            <w:r>
              <w:rPr>
                <w:rFonts w:hint="eastAsia"/>
                <w:szCs w:val="21"/>
              </w:rPr>
              <w:t>根据相关法律法规的规定，基金向投资者分配的基金收益，暂免征收所得税。</w:t>
            </w:r>
          </w:p>
        </w:tc>
      </w:tr>
      <w:tr w:rsidR="00C65CCC">
        <w:trPr>
          <w:divId w:val="1316177009"/>
        </w:trPr>
        <w:tc>
          <w:tcPr>
            <w:tcW w:w="3927" w:type="dxa"/>
            <w:tcBorders>
              <w:top w:val="single" w:sz="4" w:space="0" w:color="auto"/>
              <w:left w:val="single" w:sz="4" w:space="0" w:color="auto"/>
              <w:bottom w:val="single" w:sz="4" w:space="0" w:color="auto"/>
              <w:right w:val="single" w:sz="4" w:space="0" w:color="auto"/>
            </w:tcBorders>
            <w:hideMark/>
          </w:tcPr>
          <w:p w:rsidR="00C65CCC" w:rsidRDefault="00C65CCC">
            <w:pPr>
              <w:rPr>
                <w:rFonts w:hint="eastAsia"/>
              </w:rPr>
            </w:pPr>
            <w:r>
              <w:rPr>
                <w:rFonts w:hint="eastAsia"/>
                <w:szCs w:val="21"/>
              </w:rPr>
              <w:t xml:space="preserve">费用相关事项的说明 </w:t>
            </w:r>
          </w:p>
        </w:tc>
        <w:tc>
          <w:tcPr>
            <w:tcW w:w="4815" w:type="dxa"/>
            <w:tcBorders>
              <w:top w:val="single" w:sz="4" w:space="0" w:color="auto"/>
              <w:left w:val="single" w:sz="4" w:space="0" w:color="auto"/>
              <w:bottom w:val="single" w:sz="4" w:space="0" w:color="auto"/>
              <w:right w:val="single" w:sz="4" w:space="0" w:color="auto"/>
            </w:tcBorders>
            <w:hideMark/>
          </w:tcPr>
          <w:p w:rsidR="00C65CCC" w:rsidRDefault="00C65CCC">
            <w:pPr>
              <w:rPr>
                <w:rFonts w:hint="eastAsia"/>
              </w:rPr>
            </w:pPr>
            <w:r>
              <w:rPr>
                <w:rFonts w:hint="eastAsia"/>
                <w:szCs w:val="21"/>
              </w:rPr>
              <w:t>本基金本次分红免收分红手续费。选择红利再投资方式的投资者其由红利所得的基金份额免收申购费用。</w:t>
            </w:r>
          </w:p>
        </w:tc>
      </w:tr>
    </w:tbl>
    <w:p w:rsidR="00C65CCC" w:rsidRDefault="00C65CCC">
      <w:pPr>
        <w:adjustRightInd w:val="0"/>
        <w:snapToGrid w:val="0"/>
        <w:spacing w:beforeLines="50" w:line="360" w:lineRule="auto"/>
        <w:jc w:val="left"/>
        <w:divId w:val="1316177009"/>
        <w:rPr>
          <w:rFonts w:hint="eastAsia"/>
        </w:rPr>
      </w:pPr>
      <w:r>
        <w:rPr>
          <w:rFonts w:hint="eastAsia"/>
        </w:rPr>
        <w:t>注：</w:t>
      </w:r>
      <w:r>
        <w:rPr>
          <w:rFonts w:hint="eastAsia"/>
          <w:szCs w:val="24"/>
          <w:lang/>
        </w:rPr>
        <w:t>1、“现金红利发放日”是指选择现金红利方式的投资者的红利款将于该日划入销售机构账户。</w:t>
      </w:r>
      <w:r>
        <w:rPr>
          <w:rFonts w:hint="eastAsia"/>
          <w:szCs w:val="24"/>
          <w:lang/>
        </w:rPr>
        <w:br/>
        <w:t xml:space="preserve">　　2、红利再投资所确认的基金份额，持有期将自再投资确认日起计。</w:t>
      </w:r>
      <w:r>
        <w:rPr>
          <w:rFonts w:hint="eastAsia"/>
          <w:szCs w:val="24"/>
        </w:rPr>
        <w:t xml:space="preserve"> </w:t>
      </w:r>
    </w:p>
    <w:p w:rsidR="00C65CCC" w:rsidRDefault="00C65CCC">
      <w:pPr>
        <w:pStyle w:val="XBRLTitle1"/>
        <w:spacing w:before="156" w:line="360" w:lineRule="auto"/>
        <w:jc w:val="left"/>
        <w:divId w:val="1645237783"/>
        <w:rPr>
          <w:rFonts w:hint="eastAsia"/>
        </w:rPr>
      </w:pPr>
      <w:bookmarkStart w:id="22" w:name="_Toc34322063"/>
      <w:bookmarkStart w:id="23" w:name="_Toc513295941"/>
      <w:bookmarkStart w:id="24" w:name="_Toc513295878"/>
      <w:bookmarkStart w:id="25" w:name="_Toc438646481"/>
      <w:bookmarkStart w:id="26" w:name="_Toc481075097"/>
      <w:bookmarkStart w:id="27" w:name="_Toc490050049"/>
      <w:bookmarkStart w:id="28" w:name="_Toc512519529"/>
      <w:bookmarkStart w:id="29" w:name="_Toc17897969"/>
      <w:bookmarkStart w:id="30" w:name="_Toc17898228"/>
      <w:bookmarkStart w:id="31" w:name="m201_01"/>
      <w:r>
        <w:rPr>
          <w:rFonts w:hAnsi="宋体" w:hint="eastAsia"/>
          <w:szCs w:val="24"/>
        </w:rPr>
        <w:t>其他需要提示的事项</w:t>
      </w:r>
      <w:bookmarkEnd w:id="22"/>
      <w:bookmarkEnd w:id="23"/>
      <w:bookmarkEnd w:id="24"/>
      <w:bookmarkEnd w:id="25"/>
      <w:bookmarkEnd w:id="26"/>
      <w:bookmarkEnd w:id="27"/>
      <w:bookmarkEnd w:id="28"/>
      <w:bookmarkEnd w:id="29"/>
      <w:bookmarkEnd w:id="30"/>
      <w:r>
        <w:rPr>
          <w:rFonts w:hAnsi="宋体" w:hint="eastAsia"/>
          <w:szCs w:val="24"/>
        </w:rPr>
        <w:t xml:space="preserve"> </w:t>
      </w:r>
    </w:p>
    <w:p w:rsidR="00C65CCC" w:rsidRDefault="00C65CCC">
      <w:pPr>
        <w:spacing w:line="360" w:lineRule="auto"/>
        <w:ind w:firstLineChars="200" w:firstLine="420"/>
        <w:jc w:val="left"/>
        <w:divId w:val="1645237783"/>
        <w:rPr>
          <w:rFonts w:hint="eastAsia"/>
        </w:rPr>
      </w:pPr>
      <w:r>
        <w:rPr>
          <w:rFonts w:hint="eastAsia"/>
          <w:szCs w:val="21"/>
        </w:rPr>
        <w:t>3.1　权益登记日申请申购的基金份额不享有本次分红权益，权益登记日申请赎回的基金份额享有本次分红权益。</w:t>
      </w:r>
      <w:r>
        <w:rPr>
          <w:rFonts w:hint="eastAsia"/>
          <w:szCs w:val="21"/>
        </w:rPr>
        <w:br/>
        <w:t xml:space="preserve">　　3.2　　本基金收益分配方式分为现金分红与红利再投资。本次分红确认的方式将按照投资者在权益登记日之前（不含2024年9月27日）最后一次选择的分红方式为准。看好后市的投资者可选择红利再投资。对于未选择具体分红方式的投资者，本基金默认的分红方式为现金方式。</w:t>
      </w:r>
      <w:r>
        <w:rPr>
          <w:rFonts w:hint="eastAsia"/>
          <w:szCs w:val="21"/>
        </w:rPr>
        <w:br/>
        <w:t xml:space="preserve">　　本公司提请投资人及时确认所设定的分红方式，投资人对不同销售机构的交易账户可设置不同的分红方式。欲修改分红方式的基金份额持有人，在2024年9月26日下午3点前尽早到销售机构修改分红方式。投资者同一日多次申报分红方式变更的，系统按照申请单编号先后顺序，以最后一次申报的分红方式为准。投资者在基金权益登记日当天申报的分红方式变更申请，对当次基金分红无效，在下次基金分红时有效。</w:t>
      </w:r>
      <w:r>
        <w:rPr>
          <w:rFonts w:hint="eastAsia"/>
          <w:szCs w:val="21"/>
        </w:rPr>
        <w:br/>
        <w:t xml:space="preserve">　　投资者可于修改申请提交2个工作日后通过兴证全球基金管理有限公司营销服务部电话确认或登录我司网站查询分红方式是否正确，如不正确或希望修改分红方式的，请务必在规定时间前通过相关销售机构办理变更手续。　</w:t>
      </w:r>
      <w:r>
        <w:rPr>
          <w:rFonts w:hint="eastAsia"/>
          <w:szCs w:val="21"/>
        </w:rPr>
        <w:br/>
        <w:t xml:space="preserve">　　3.3　　根据本基金的基金合同、招募说明书（更新）及相关公告规定，基金收益分配时所发生的银行转账或其他手续费用由投资者自行承担。　</w:t>
      </w:r>
      <w:r>
        <w:rPr>
          <w:rFonts w:hint="eastAsia"/>
          <w:szCs w:val="21"/>
        </w:rPr>
        <w:br/>
        <w:t xml:space="preserve">　　3.4　　因分红导致的基金净值变化，不会改变基金的风险收益特征，也不会降低基金投资风险或提高基金投资收益。</w:t>
      </w:r>
      <w:r>
        <w:rPr>
          <w:rFonts w:hint="eastAsia"/>
          <w:szCs w:val="21"/>
        </w:rPr>
        <w:br/>
        <w:t xml:space="preserve">　　3.5　本基金份额持有人及希望了解本基金其他有关信息的投资者，可以登录本基金管理人网站（http://www.xqfunds.com）或拨打客户服务电话（400-678-0099、021-38824536），或通过在线客服直接咨询或转人工咨询相关事宜。　</w:t>
      </w:r>
      <w:r>
        <w:rPr>
          <w:rFonts w:hint="eastAsia"/>
          <w:szCs w:val="21"/>
        </w:rPr>
        <w:br/>
        <w:t xml:space="preserve">　　特此公告。</w:t>
      </w:r>
    </w:p>
    <w:p w:rsidR="00C65CCC" w:rsidRDefault="00C65CCC">
      <w:pPr>
        <w:spacing w:line="360" w:lineRule="auto"/>
        <w:ind w:firstLineChars="600" w:firstLine="1446"/>
        <w:jc w:val="right"/>
        <w:rPr>
          <w:rFonts w:hint="eastAsia"/>
          <w:b/>
          <w:bCs/>
          <w:sz w:val="24"/>
          <w:szCs w:val="30"/>
        </w:rPr>
      </w:pPr>
      <w:r>
        <w:rPr>
          <w:rFonts w:hint="eastAsia"/>
          <w:b/>
          <w:bCs/>
          <w:sz w:val="24"/>
          <w:szCs w:val="30"/>
        </w:rPr>
        <w:t xml:space="preserve">　 </w:t>
      </w:r>
    </w:p>
    <w:p w:rsidR="00C65CCC" w:rsidRDefault="00C65CCC">
      <w:pPr>
        <w:spacing w:line="360" w:lineRule="auto"/>
        <w:ind w:firstLineChars="600" w:firstLine="1446"/>
        <w:jc w:val="right"/>
        <w:rPr>
          <w:rFonts w:hint="eastAsia"/>
          <w:b/>
          <w:bCs/>
          <w:sz w:val="24"/>
          <w:szCs w:val="30"/>
        </w:rPr>
      </w:pPr>
      <w:r>
        <w:rPr>
          <w:rFonts w:hint="eastAsia"/>
          <w:b/>
          <w:bCs/>
          <w:sz w:val="24"/>
          <w:szCs w:val="30"/>
        </w:rPr>
        <w:t xml:space="preserve">　 </w:t>
      </w:r>
    </w:p>
    <w:p w:rsidR="00C65CCC" w:rsidRDefault="00C65CCC">
      <w:pPr>
        <w:spacing w:line="360" w:lineRule="auto"/>
        <w:ind w:firstLineChars="600" w:firstLine="1446"/>
        <w:jc w:val="right"/>
        <w:rPr>
          <w:rFonts w:hint="eastAsia"/>
        </w:rPr>
      </w:pPr>
      <w:r>
        <w:rPr>
          <w:rFonts w:hint="eastAsia"/>
          <w:b/>
          <w:bCs/>
          <w:sz w:val="24"/>
          <w:szCs w:val="24"/>
        </w:rPr>
        <w:t>兴证全球基金管理有限公司</w:t>
      </w:r>
    </w:p>
    <w:p w:rsidR="00C65CCC" w:rsidRDefault="00C65CCC">
      <w:pPr>
        <w:spacing w:line="360" w:lineRule="auto"/>
        <w:ind w:firstLineChars="600" w:firstLine="1446"/>
        <w:jc w:val="right"/>
        <w:rPr>
          <w:rFonts w:hint="eastAsia"/>
        </w:rPr>
      </w:pPr>
      <w:r>
        <w:rPr>
          <w:rFonts w:hint="eastAsia"/>
          <w:b/>
          <w:bCs/>
          <w:sz w:val="24"/>
          <w:szCs w:val="24"/>
        </w:rPr>
        <w:t>2024年9月25日</w:t>
      </w:r>
      <w:bookmarkEnd w:id="31"/>
      <w:r>
        <w:rPr>
          <w:rFonts w:hint="eastAsia"/>
          <w:b/>
          <w:bCs/>
          <w:sz w:val="24"/>
          <w:szCs w:val="24"/>
        </w:rPr>
        <w:t xml:space="preserve"> </w:t>
      </w:r>
    </w:p>
    <w:sectPr w:rsidR="00C65CCC">
      <w:headerReference w:type="default" r:id="rId8"/>
      <w:footerReference w:type="default" r:id="rId9"/>
      <w:headerReference w:type="first" r:id="rId10"/>
      <w:footerReference w:type="firs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CCC" w:rsidRDefault="00C65CCC">
      <w:pPr>
        <w:rPr>
          <w:rFonts w:ascii="Times New Roman" w:hAnsi="Times New Roman" w:cs="Times New Roman"/>
          <w:szCs w:val="21"/>
        </w:rPr>
      </w:pPr>
      <w:r>
        <w:rPr>
          <w:rFonts w:ascii="Times New Roman" w:hAnsi="Times New Roman" w:cs="Times New Roman"/>
          <w:szCs w:val="21"/>
        </w:rPr>
        <w:separator/>
      </w:r>
      <w:r>
        <w:rPr>
          <w:rFonts w:ascii="Times New Roman" w:hAnsi="Times New Roman" w:cs="Times New Roman"/>
          <w:szCs w:val="21"/>
        </w:rPr>
        <w:t xml:space="preserve"> </w:t>
      </w:r>
    </w:p>
  </w:endnote>
  <w:endnote w:type="continuationSeparator" w:id="0">
    <w:p w:rsidR="00C65CCC" w:rsidRDefault="00C65CCC">
      <w:pPr>
        <w:rPr>
          <w:rFonts w:ascii="Times New Roman" w:hAnsi="Times New Roman" w:cs="Times New Roman"/>
          <w:szCs w:val="21"/>
        </w:rPr>
      </w:pPr>
      <w:r>
        <w:rPr>
          <w:rFonts w:ascii="Times New Roman" w:hAnsi="Times New Roman" w:cs="Times New Roman"/>
          <w:szCs w:val="21"/>
        </w:rPr>
        <w:continuationSeparator/>
      </w:r>
      <w:r>
        <w:rPr>
          <w:rFonts w:ascii="Times New Roman" w:hAnsi="Times New Roman" w:cs="Times New Roman"/>
          <w:szCs w:val="21"/>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icrosoft YaHei UI">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仿宋">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CCC" w:rsidRDefault="00C65CCC">
    <w:pPr>
      <w:jc w:val="center"/>
      <w:rPr>
        <w:rFonts w:hint="eastAsia"/>
      </w:rPr>
    </w:pPr>
    <w:r>
      <w:rPr>
        <w:rFonts w:hint="eastAsia"/>
        <w:sz w:val="18"/>
        <w:szCs w:val="18"/>
      </w:rPr>
      <w:t>第</w:t>
    </w:r>
    <w:r>
      <w:rPr>
        <w:rFonts w:hint="eastAsia"/>
      </w:rPr>
      <w:t xml:space="preserve"> </w:t>
    </w:r>
    <w:r>
      <w:rPr>
        <w:rFonts w:hint="eastAsia"/>
        <w:sz w:val="18"/>
        <w:szCs w:val="18"/>
      </w:rPr>
      <w:fldChar w:fldCharType="begin"/>
    </w:r>
    <w:r>
      <w:rPr>
        <w:rFonts w:hint="eastAsia"/>
        <w:sz w:val="18"/>
        <w:szCs w:val="18"/>
      </w:rPr>
      <w:instrText xml:space="preserve"> PAGE </w:instrText>
    </w:r>
    <w:r>
      <w:rPr>
        <w:sz w:val="18"/>
        <w:szCs w:val="18"/>
      </w:rPr>
      <w:fldChar w:fldCharType="separate"/>
    </w:r>
    <w:r w:rsidR="002F65A4">
      <w:rPr>
        <w:noProof/>
        <w:sz w:val="18"/>
        <w:szCs w:val="18"/>
      </w:rPr>
      <w:t>2</w:t>
    </w:r>
    <w:r>
      <w:rPr>
        <w:rFonts w:hint="eastAsia"/>
        <w:sz w:val="18"/>
        <w:szCs w:val="18"/>
      </w:rPr>
      <w:fldChar w:fldCharType="end"/>
    </w:r>
    <w:r>
      <w:rPr>
        <w:rFonts w:hint="eastAsia"/>
        <w:sz w:val="18"/>
        <w:szCs w:val="18"/>
        <w:lang w:val="zh-CN"/>
      </w:rPr>
      <w:t>页 共</w:t>
    </w:r>
    <w:r>
      <w:rPr>
        <w:rFonts w:hint="eastAsia"/>
      </w:rPr>
      <w:t xml:space="preserve"> </w:t>
    </w:r>
    <w:r>
      <w:rPr>
        <w:rFonts w:hint="eastAsia"/>
        <w:sz w:val="18"/>
        <w:szCs w:val="18"/>
      </w:rPr>
      <w:fldChar w:fldCharType="begin"/>
    </w:r>
    <w:r>
      <w:rPr>
        <w:rFonts w:hint="eastAsia"/>
        <w:sz w:val="18"/>
        <w:szCs w:val="18"/>
      </w:rPr>
      <w:instrText xml:space="preserve"> NUMPAGES  </w:instrText>
    </w:r>
    <w:r>
      <w:rPr>
        <w:sz w:val="18"/>
        <w:szCs w:val="18"/>
      </w:rPr>
      <w:fldChar w:fldCharType="separate"/>
    </w:r>
    <w:r w:rsidR="002F65A4">
      <w:rPr>
        <w:noProof/>
        <w:sz w:val="18"/>
        <w:szCs w:val="18"/>
      </w:rPr>
      <w:t>2</w:t>
    </w:r>
    <w:r>
      <w:rPr>
        <w:rFonts w:hint="eastAsia"/>
        <w:sz w:val="18"/>
        <w:szCs w:val="18"/>
      </w:rPr>
      <w:fldChar w:fldCharType="end"/>
    </w:r>
    <w:r>
      <w:rPr>
        <w:rFonts w:hint="eastAsia"/>
        <w:sz w:val="18"/>
        <w:szCs w:val="18"/>
      </w:rPr>
      <w:t>页</w:t>
    </w:r>
    <w:r>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CCC" w:rsidRDefault="00C65CCC">
    <w:pPr>
      <w:pStyle w:val="aa"/>
      <w:rPr>
        <w:rFonts w:hint="eastAsia"/>
      </w:rPr>
    </w:pPr>
  </w:p>
  <w:p w:rsidR="00C65CCC" w:rsidRDefault="00C65CCC">
    <w:pPr>
      <w:jc w:val="center"/>
      <w:rPr>
        <w:rFonts w:hint="eastAsia"/>
      </w:rPr>
    </w:pPr>
    <w:r>
      <w:rPr>
        <w:rFonts w:hint="eastAsia"/>
        <w:sz w:val="18"/>
        <w:szCs w:val="18"/>
      </w:rPr>
      <w:t>第</w:t>
    </w:r>
    <w:r>
      <w:rPr>
        <w:rFonts w:hint="eastAsia"/>
      </w:rPr>
      <w:t xml:space="preserve"> </w:t>
    </w:r>
    <w:r>
      <w:rPr>
        <w:rFonts w:hint="eastAsia"/>
        <w:sz w:val="18"/>
        <w:szCs w:val="18"/>
      </w:rPr>
      <w:fldChar w:fldCharType="begin"/>
    </w:r>
    <w:r>
      <w:rPr>
        <w:rFonts w:hint="eastAsia"/>
        <w:sz w:val="18"/>
        <w:szCs w:val="18"/>
      </w:rPr>
      <w:instrText xml:space="preserve"> PAGE </w:instrText>
    </w:r>
    <w:r>
      <w:rPr>
        <w:sz w:val="18"/>
        <w:szCs w:val="18"/>
      </w:rPr>
      <w:fldChar w:fldCharType="separate"/>
    </w:r>
    <w:r w:rsidR="002F65A4">
      <w:rPr>
        <w:noProof/>
        <w:sz w:val="18"/>
        <w:szCs w:val="18"/>
      </w:rPr>
      <w:t>1</w:t>
    </w:r>
    <w:r>
      <w:rPr>
        <w:rFonts w:hint="eastAsia"/>
        <w:sz w:val="18"/>
        <w:szCs w:val="18"/>
      </w:rPr>
      <w:fldChar w:fldCharType="end"/>
    </w:r>
    <w:r>
      <w:rPr>
        <w:rFonts w:hint="eastAsia"/>
        <w:sz w:val="18"/>
        <w:szCs w:val="18"/>
        <w:lang w:val="zh-CN"/>
      </w:rPr>
      <w:t>页 共</w:t>
    </w:r>
    <w:r>
      <w:rPr>
        <w:rFonts w:hint="eastAsia"/>
      </w:rPr>
      <w:t xml:space="preserve"> </w:t>
    </w:r>
    <w:r>
      <w:rPr>
        <w:rFonts w:hint="eastAsia"/>
        <w:sz w:val="18"/>
        <w:szCs w:val="18"/>
      </w:rPr>
      <w:fldChar w:fldCharType="begin"/>
    </w:r>
    <w:r>
      <w:rPr>
        <w:rFonts w:hint="eastAsia"/>
        <w:sz w:val="18"/>
        <w:szCs w:val="18"/>
      </w:rPr>
      <w:instrText xml:space="preserve"> NUMPAGES  </w:instrText>
    </w:r>
    <w:r>
      <w:rPr>
        <w:sz w:val="18"/>
        <w:szCs w:val="18"/>
      </w:rPr>
      <w:fldChar w:fldCharType="separate"/>
    </w:r>
    <w:r w:rsidR="002F65A4">
      <w:rPr>
        <w:noProof/>
        <w:sz w:val="18"/>
        <w:szCs w:val="18"/>
      </w:rPr>
      <w:t>1</w:t>
    </w:r>
    <w:r>
      <w:rPr>
        <w:rFonts w:hint="eastAsia"/>
        <w:sz w:val="18"/>
        <w:szCs w:val="18"/>
      </w:rPr>
      <w:fldChar w:fldCharType="end"/>
    </w:r>
    <w:r>
      <w:rPr>
        <w:rFonts w:hint="eastAsia"/>
        <w:sz w:val="18"/>
        <w:szCs w:val="18"/>
      </w:rPr>
      <w:t>页</w:t>
    </w:r>
    <w:r>
      <w:rPr>
        <w:rFonts w:hint="eastAsia"/>
      </w:rPr>
      <w:t xml:space="preserve"> </w:t>
    </w:r>
  </w:p>
  <w:p w:rsidR="00C65CCC" w:rsidRDefault="00C65CCC">
    <w:pPr>
      <w:pStyle w:val="aa"/>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CCC" w:rsidRDefault="00C65CCC">
      <w:pPr>
        <w:rPr>
          <w:rFonts w:ascii="Times New Roman" w:hAnsi="Times New Roman" w:cs="Times New Roman"/>
          <w:szCs w:val="21"/>
        </w:rPr>
      </w:pPr>
      <w:r>
        <w:rPr>
          <w:rFonts w:ascii="Times New Roman" w:hAnsi="Times New Roman" w:cs="Times New Roman"/>
          <w:szCs w:val="21"/>
        </w:rPr>
        <w:separator/>
      </w:r>
      <w:r>
        <w:rPr>
          <w:rFonts w:ascii="Times New Roman" w:hAnsi="Times New Roman" w:cs="Times New Roman"/>
          <w:szCs w:val="21"/>
        </w:rPr>
        <w:t xml:space="preserve"> </w:t>
      </w:r>
    </w:p>
  </w:footnote>
  <w:footnote w:type="continuationSeparator" w:id="0">
    <w:p w:rsidR="00C65CCC" w:rsidRDefault="00C65CCC">
      <w:pPr>
        <w:rPr>
          <w:rFonts w:ascii="Times New Roman" w:hAnsi="Times New Roman" w:cs="Times New Roman"/>
          <w:szCs w:val="21"/>
        </w:rPr>
      </w:pPr>
      <w:r>
        <w:rPr>
          <w:rFonts w:ascii="Times New Roman" w:hAnsi="Times New Roman" w:cs="Times New Roman"/>
          <w:szCs w:val="21"/>
        </w:rPr>
        <w:continuationSeparator/>
      </w:r>
      <w:r>
        <w:rPr>
          <w:rFonts w:ascii="Times New Roman" w:hAnsi="Times New Roman" w:cs="Times New Roman"/>
          <w:szCs w:val="21"/>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CCC" w:rsidRDefault="00C65CCC">
    <w:pPr>
      <w:pStyle w:val="a8"/>
      <w:jc w:val="right"/>
    </w:pPr>
    <w:r>
      <w:rPr>
        <w:rFonts w:hint="eastAsia"/>
      </w:rPr>
      <w:t>兴全稳泰债券型证券投资基金分红公告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CCC" w:rsidRDefault="00C65CCC">
    <w:pPr>
      <w:pStyle w:val="a8"/>
      <w:jc w:val="right"/>
      <w:rPr>
        <w:rFonts w:hint="eastAsia"/>
      </w:rPr>
    </w:pPr>
    <w:r>
      <w:rPr>
        <w:rFonts w:hint="eastAsia"/>
      </w:rPr>
      <w:t>兴全稳泰债券型证券投资基金分红公告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04A17E2"/>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4"/>
  <w:mirrorMargins/>
  <w:bordersDoNotSurroundHeader/>
  <w:bordersDoNotSurroundFooter/>
  <w:attachedTemplate r:id="rId1"/>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65A4"/>
    <w:rsid w:val="002F65A4"/>
    <w:rsid w:val="00810930"/>
    <w:rsid w:val="00C65C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page number" w:semiHidden="0" w:unhideWhenUsed="0"/>
    <w:lsdException w:name="Title" w:semiHidden="0" w:uiPriority="10" w:unhideWhenUsed="0" w:qFormat="1"/>
    <w:lsdException w:name="Default Paragraph Font" w:semiHidden="0" w:uiPriority="1" w:unhideWhenUsed="0"/>
    <w:lsdException w:name="Subtitle" w:semiHidden="0" w:uiPriority="0" w:unhideWhenUsed="0" w:qFormat="1"/>
    <w:lsdException w:name="Date"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lsdException w:name="Table Grid" w:semiHidden="0" w:uiPriority="5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rPr>
  </w:style>
  <w:style w:type="paragraph" w:styleId="2">
    <w:name w:val="heading 2"/>
    <w:basedOn w:val="a"/>
    <w:next w:val="a"/>
    <w:link w:val="21"/>
    <w:uiPriority w:val="9"/>
    <w:qFormat/>
    <w:pPr>
      <w:keepNext/>
      <w:keepLines/>
      <w:spacing w:before="260" w:after="260" w:line="408" w:lineRule="auto"/>
      <w:outlineLvl w:val="1"/>
    </w:pPr>
    <w:rPr>
      <w:rFonts w:ascii="Cambria" w:hAnsi="Cambria"/>
      <w:b/>
      <w:bCs/>
      <w:kern w:val="0"/>
      <w:sz w:val="32"/>
      <w:szCs w:val="32"/>
      <w:lang/>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rPr>
  </w:style>
  <w:style w:type="paragraph" w:styleId="4">
    <w:name w:val="heading 4"/>
    <w:basedOn w:val="a"/>
    <w:next w:val="a"/>
    <w:link w:val="41"/>
    <w:qFormat/>
    <w:pPr>
      <w:keepNext/>
      <w:keepLines/>
      <w:spacing w:before="240" w:after="290" w:line="372" w:lineRule="auto"/>
      <w:outlineLvl w:val="3"/>
    </w:pPr>
    <w:rPr>
      <w:rFonts w:ascii="Cambria" w:hAnsi="Cambria"/>
      <w:b/>
      <w:bCs/>
      <w:kern w:val="0"/>
      <w:sz w:val="24"/>
      <w:szCs w:val="24"/>
      <w:lang/>
    </w:rPr>
  </w:style>
  <w:style w:type="paragraph" w:styleId="5">
    <w:name w:val="heading 5"/>
    <w:basedOn w:val="a"/>
    <w:next w:val="a"/>
    <w:link w:val="51"/>
    <w:uiPriority w:val="9"/>
    <w:semiHidden/>
    <w:unhideWhenUsed/>
    <w:qFormat/>
    <w:pPr>
      <w:keepNext/>
      <w:keepLines/>
      <w:spacing w:before="240" w:after="290" w:line="372" w:lineRule="auto"/>
      <w:outlineLvl w:val="4"/>
    </w:pPr>
    <w:rPr>
      <w:b/>
      <w:bCs/>
      <w:sz w:val="24"/>
      <w:szCs w:val="24"/>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Cambria"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访问过的超链接"/>
    <w:uiPriority w:val="99"/>
    <w:semiHidden/>
    <w:unhideWhenUsed/>
    <w:rPr>
      <w:color w:val="800080"/>
      <w:u w:val="single"/>
    </w:rPr>
  </w:style>
  <w:style w:type="character" w:customStyle="1" w:styleId="10">
    <w:name w:val="标题 1 字符"/>
    <w:link w:val="1"/>
    <w:uiPriority w:val="9"/>
    <w:locked/>
    <w:rPr>
      <w:b/>
      <w:bCs/>
      <w:kern w:val="44"/>
      <w:sz w:val="44"/>
      <w:szCs w:val="44"/>
    </w:rPr>
  </w:style>
  <w:style w:type="character" w:customStyle="1" w:styleId="20">
    <w:name w:val="标题 2 字符"/>
    <w:link w:val="2"/>
    <w:uiPriority w:val="9"/>
    <w:locked/>
    <w:rPr>
      <w:rFonts w:ascii="Cambria" w:eastAsia="宋体" w:hAnsi="Cambria" w:cs="Times New Roman" w:hint="default"/>
      <w:b/>
      <w:bCs/>
      <w:kern w:val="2"/>
      <w:sz w:val="32"/>
      <w:szCs w:val="32"/>
    </w:rPr>
  </w:style>
  <w:style w:type="character" w:customStyle="1" w:styleId="30">
    <w:name w:val="标题 3 字符"/>
    <w:link w:val="3"/>
    <w:uiPriority w:val="9"/>
    <w:locked/>
    <w:rPr>
      <w:b/>
      <w:bCs/>
      <w:kern w:val="2"/>
      <w:sz w:val="32"/>
      <w:szCs w:val="32"/>
    </w:rPr>
  </w:style>
  <w:style w:type="character" w:customStyle="1" w:styleId="40">
    <w:name w:val="标题 4 字符"/>
    <w:link w:val="4"/>
    <w:locked/>
    <w:rPr>
      <w:rFonts w:ascii="Cambria" w:eastAsia="宋体" w:hAnsi="Cambria" w:cs="Times New Roman" w:hint="default"/>
      <w:b/>
      <w:bCs/>
      <w:kern w:val="2"/>
      <w:sz w:val="24"/>
      <w:szCs w:val="24"/>
    </w:rPr>
  </w:style>
  <w:style w:type="character" w:customStyle="1" w:styleId="50">
    <w:name w:val="标题 5 字符"/>
    <w:link w:val="5"/>
    <w:uiPriority w:val="9"/>
    <w:semiHidden/>
    <w:rPr>
      <w:rFonts w:cs="宋体"/>
      <w:b/>
      <w:bCs/>
      <w:kern w:val="2"/>
      <w:sz w:val="28"/>
      <w:szCs w:val="28"/>
    </w:rPr>
  </w:style>
  <w:style w:type="character" w:customStyle="1" w:styleId="60">
    <w:name w:val="标题 6 字符"/>
    <w:link w:val="6"/>
    <w:uiPriority w:val="9"/>
    <w:semiHidden/>
    <w:rPr>
      <w:rFonts w:ascii="Cambria" w:eastAsia="宋体" w:hAnsi="Cambria" w:cs="Times New Roman"/>
      <w:b/>
      <w:bCs/>
      <w:kern w:val="2"/>
      <w:sz w:val="24"/>
      <w:szCs w:val="24"/>
    </w:rPr>
  </w:style>
  <w:style w:type="paragraph" w:customStyle="1" w:styleId="msonormal0">
    <w:name w:val="msonormal"/>
    <w:basedOn w:val="a"/>
    <w:pPr>
      <w:widowControl/>
      <w:spacing w:before="100" w:beforeAutospacing="1" w:after="100" w:afterAutospacing="1"/>
      <w:jc w:val="left"/>
    </w:pPr>
    <w:rPr>
      <w:kern w:val="0"/>
      <w:sz w:val="24"/>
    </w:rPr>
  </w:style>
  <w:style w:type="paragraph" w:styleId="a5">
    <w:name w:val="Normal (Web)"/>
    <w:basedOn w:val="a"/>
    <w:pPr>
      <w:widowControl/>
      <w:spacing w:before="100" w:beforeAutospacing="1" w:after="100" w:afterAutospacing="1"/>
      <w:jc w:val="left"/>
    </w:pPr>
    <w:rPr>
      <w:kern w:val="0"/>
      <w:sz w:val="24"/>
    </w:rPr>
  </w:style>
  <w:style w:type="paragraph" w:styleId="12">
    <w:name w:val="toc 1"/>
    <w:basedOn w:val="a"/>
    <w:next w:val="a"/>
    <w:autoRedefine/>
    <w:uiPriority w:val="39"/>
    <w:semiHidden/>
    <w:unhideWhenUsed/>
    <w:pPr>
      <w:tabs>
        <w:tab w:val="right" w:leader="dot" w:pos="8835"/>
      </w:tabs>
    </w:pPr>
    <w:rPr>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style>
  <w:style w:type="paragraph" w:styleId="a6">
    <w:name w:val="footnote text"/>
    <w:basedOn w:val="a"/>
    <w:link w:val="13"/>
    <w:pPr>
      <w:snapToGrid w:val="0"/>
      <w:jc w:val="left"/>
    </w:pPr>
    <w:rPr>
      <w:sz w:val="18"/>
      <w:szCs w:val="18"/>
    </w:rPr>
  </w:style>
  <w:style w:type="character" w:customStyle="1" w:styleId="a7">
    <w:name w:val="脚注文本 字符"/>
    <w:link w:val="a6"/>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link w:val="aa"/>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link w:val="ac"/>
    <w:uiPriority w:val="10"/>
    <w:locked/>
    <w:rPr>
      <w:rFonts w:ascii="Cambria" w:eastAsia="宋体" w:hAnsi="Cambria" w:cs="Times New Roman" w:hint="default"/>
      <w:b/>
      <w:bCs/>
      <w:kern w:val="2"/>
      <w:sz w:val="32"/>
      <w:szCs w:val="32"/>
    </w:rPr>
  </w:style>
  <w:style w:type="paragraph" w:styleId="ae">
    <w:name w:val="Subtitle"/>
    <w:basedOn w:val="2"/>
    <w:next w:val="3"/>
    <w:link w:val="16"/>
    <w:qFormat/>
    <w:pPr>
      <w:spacing w:before="240" w:after="60" w:line="312" w:lineRule="auto"/>
      <w:jc w:val="left"/>
    </w:pPr>
    <w:rPr>
      <w:bCs w:val="0"/>
      <w:kern w:val="24"/>
      <w:sz w:val="24"/>
    </w:rPr>
  </w:style>
  <w:style w:type="character" w:customStyle="1" w:styleId="af">
    <w:name w:val="副标题 字符"/>
    <w:link w:val="ae"/>
    <w:locked/>
    <w:rPr>
      <w:rFonts w:ascii="Calibri" w:eastAsia="宋体" w:hAnsi="Calibri" w:cs="Times New Roman" w:hint="default"/>
      <w:b/>
      <w:bCs/>
      <w:kern w:val="24"/>
      <w:sz w:val="32"/>
      <w:szCs w:val="32"/>
    </w:rPr>
  </w:style>
  <w:style w:type="paragraph" w:styleId="af0">
    <w:name w:val="Date"/>
    <w:basedOn w:val="a"/>
    <w:next w:val="a"/>
    <w:link w:val="17"/>
    <w:rPr>
      <w:sz w:val="32"/>
      <w:lang/>
    </w:rPr>
  </w:style>
  <w:style w:type="character" w:customStyle="1" w:styleId="af1">
    <w:name w:val="日期 字符"/>
    <w:link w:val="af0"/>
    <w:locked/>
    <w:rPr>
      <w:kern w:val="2"/>
      <w:sz w:val="21"/>
    </w:rPr>
  </w:style>
  <w:style w:type="paragraph" w:styleId="af2">
    <w:name w:val="Document Map"/>
    <w:basedOn w:val="a"/>
    <w:link w:val="18"/>
    <w:pPr>
      <w:shd w:val="clear" w:color="auto" w:fill="000080"/>
    </w:pPr>
  </w:style>
  <w:style w:type="character" w:customStyle="1" w:styleId="af3">
    <w:name w:val="文档结构图 字符"/>
    <w:link w:val="af2"/>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link w:val="af4"/>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4"/>
      <w:szCs w:val="24"/>
      <w:lang w:val="en-US" w:eastAsia="zh-CN"/>
    </w:rPr>
  </w:style>
  <w:style w:type="paragraph" w:customStyle="1" w:styleId="XBRLTitle6">
    <w:name w:val="XBRLTitle6"/>
    <w:basedOn w:val="ae"/>
    <w:next w:val="4"/>
    <w:qFormat/>
    <w:pPr>
      <w:numPr>
        <w:ilvl w:val="5"/>
        <w:numId w:val="2"/>
      </w:numPr>
      <w:spacing w:beforeLines="50" w:after="0" w:line="240" w:lineRule="auto"/>
      <w:outlineLvl w:val="9"/>
    </w:pPr>
    <w:rPr>
      <w:bCs/>
    </w:rPr>
  </w:style>
  <w:style w:type="paragraph" w:customStyle="1" w:styleId="af6">
    <w:name w:val="次标题"/>
    <w:basedOn w:val="3"/>
    <w:next w:val="a"/>
    <w:pPr>
      <w:spacing w:before="120" w:after="120"/>
      <w:jc w:val="left"/>
    </w:pPr>
    <w:rPr>
      <w:sz w:val="21"/>
    </w:rPr>
  </w:style>
  <w:style w:type="paragraph" w:customStyle="1" w:styleId="XBRL6">
    <w:name w:val="XBRL标题6"/>
    <w:basedOn w:val="ae"/>
    <w:next w:val="4"/>
    <w:qFormat/>
    <w:pPr>
      <w:spacing w:beforeLines="50" w:after="0" w:line="240" w:lineRule="auto"/>
      <w:outlineLvl w:val="9"/>
    </w:pPr>
    <w:rPr>
      <w:bCs/>
    </w:rPr>
  </w:style>
  <w:style w:type="paragraph" w:customStyle="1" w:styleId="XBRL2">
    <w:name w:val="XBRL标题2"/>
    <w:basedOn w:val="ae"/>
    <w:next w:val="4"/>
    <w:qFormat/>
    <w:pPr>
      <w:spacing w:beforeLines="50" w:after="0" w:line="240" w:lineRule="auto"/>
    </w:pPr>
    <w:rPr>
      <w:bCs/>
    </w:rPr>
  </w:style>
  <w:style w:type="paragraph" w:customStyle="1" w:styleId="XBRL3">
    <w:name w:val="XBRL标题3"/>
    <w:basedOn w:val="ae"/>
    <w:next w:val="4"/>
    <w:qFormat/>
    <w:pPr>
      <w:spacing w:beforeLines="5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after="0" w:line="240" w:lineRule="auto"/>
      <w:jc w:val="center"/>
    </w:pPr>
    <w:rPr>
      <w:rFonts w:hAnsi="Cambria"/>
      <w:sz w:val="24"/>
    </w:rPr>
  </w:style>
  <w:style w:type="paragraph" w:customStyle="1" w:styleId="XBRLTitle2">
    <w:name w:val="XBRLTitle2"/>
    <w:basedOn w:val="ae"/>
    <w:next w:val="4"/>
    <w:qFormat/>
    <w:pPr>
      <w:keepNext w:val="0"/>
      <w:keepLines w:val="0"/>
      <w:numPr>
        <w:ilvl w:val="1"/>
        <w:numId w:val="2"/>
      </w:numPr>
      <w:spacing w:beforeLines="50" w:after="0" w:line="240" w:lineRule="auto"/>
      <w:ind w:left="454"/>
    </w:pPr>
    <w:rPr>
      <w:rFonts w:ascii="宋体"/>
      <w:bCs/>
    </w:rPr>
  </w:style>
  <w:style w:type="paragraph" w:customStyle="1" w:styleId="XBRLTitle5">
    <w:name w:val="XBRLTitle5"/>
    <w:basedOn w:val="ae"/>
    <w:next w:val="4"/>
    <w:qFormat/>
    <w:pPr>
      <w:numPr>
        <w:ilvl w:val="4"/>
        <w:numId w:val="2"/>
      </w:numPr>
      <w:spacing w:beforeLines="50" w:after="0" w:line="240" w:lineRule="auto"/>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after="0" w:line="240" w:lineRule="auto"/>
      <w:jc w:val="center"/>
    </w:pPr>
    <w:rPr>
      <w:rFonts w:ascii="Cambria" w:hAnsi="Cambria"/>
      <w:sz w:val="24"/>
    </w:rPr>
  </w:style>
  <w:style w:type="paragraph" w:customStyle="1" w:styleId="XBRL5">
    <w:name w:val="XBRL标题5"/>
    <w:basedOn w:val="ae"/>
    <w:next w:val="4"/>
    <w:qFormat/>
    <w:pPr>
      <w:spacing w:beforeLines="50" w:after="0" w:line="240" w:lineRule="auto"/>
      <w:outlineLvl w:val="9"/>
    </w:pPr>
    <w:rPr>
      <w:bCs/>
    </w:rPr>
  </w:style>
  <w:style w:type="paragraph" w:customStyle="1" w:styleId="XBRL4">
    <w:name w:val="XBRL标题4"/>
    <w:basedOn w:val="ae"/>
    <w:next w:val="4"/>
    <w:qFormat/>
    <w:pPr>
      <w:spacing w:beforeLines="50" w:after="0" w:line="240" w:lineRule="auto"/>
      <w:outlineLvl w:val="9"/>
    </w:pPr>
    <w:rPr>
      <w:bCs/>
    </w:rPr>
  </w:style>
  <w:style w:type="paragraph" w:customStyle="1" w:styleId="XBRLTitle4">
    <w:name w:val="XBRLTitle4"/>
    <w:basedOn w:val="ae"/>
    <w:next w:val="4"/>
    <w:qFormat/>
    <w:pPr>
      <w:numPr>
        <w:ilvl w:val="3"/>
        <w:numId w:val="2"/>
      </w:numPr>
      <w:spacing w:beforeLines="50" w:after="0" w:line="240" w:lineRule="auto"/>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after="0" w:line="360" w:lineRule="auto"/>
      <w:ind w:left="0"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olor w:val="000000"/>
      <w:kern w:val="0"/>
      <w:sz w:val="24"/>
      <w:szCs w:val="24"/>
    </w:rPr>
  </w:style>
  <w:style w:type="character" w:styleId="af7">
    <w:name w:val="footnote reference"/>
    <w:rPr>
      <w:vertAlign w:val="superscript"/>
    </w:rPr>
  </w:style>
  <w:style w:type="character" w:customStyle="1" w:styleId="1Char">
    <w:name w:val="标题 1 Char"/>
    <w:link w:val="1"/>
    <w:uiPriority w:val="9"/>
    <w:locked/>
    <w:rPr>
      <w:b/>
      <w:bCs/>
      <w:kern w:val="44"/>
      <w:sz w:val="44"/>
      <w:szCs w:val="44"/>
    </w:rPr>
  </w:style>
  <w:style w:type="character" w:customStyle="1" w:styleId="2Char">
    <w:name w:val="标题 2 Char"/>
    <w:link w:val="2"/>
    <w:uiPriority w:val="9"/>
    <w:locked/>
    <w:rPr>
      <w:rFonts w:ascii="Cambria" w:eastAsia="宋体" w:hAnsi="Cambria" w:cs="Times New Roman" w:hint="default"/>
      <w:b/>
      <w:bCs/>
      <w:kern w:val="2"/>
      <w:sz w:val="32"/>
      <w:szCs w:val="32"/>
    </w:rPr>
  </w:style>
  <w:style w:type="character" w:customStyle="1" w:styleId="3Char">
    <w:name w:val="标题 3 Char"/>
    <w:link w:val="3"/>
    <w:uiPriority w:val="9"/>
    <w:locked/>
    <w:rPr>
      <w:b/>
      <w:bCs/>
      <w:kern w:val="2"/>
      <w:sz w:val="32"/>
      <w:szCs w:val="32"/>
    </w:rPr>
  </w:style>
  <w:style w:type="character" w:customStyle="1" w:styleId="4Char">
    <w:name w:val="标题 4 Char"/>
    <w:link w:val="4"/>
    <w:locked/>
    <w:rPr>
      <w:rFonts w:ascii="Cambria" w:eastAsia="宋体" w:hAnsi="Cambria" w:cs="Times New Roman" w:hint="default"/>
      <w:b/>
      <w:bCs/>
      <w:kern w:val="2"/>
      <w:sz w:val="24"/>
      <w:szCs w:val="24"/>
    </w:rPr>
  </w:style>
  <w:style w:type="character" w:customStyle="1" w:styleId="5Char">
    <w:name w:val="标题 5 Char"/>
    <w:link w:val="5"/>
    <w:uiPriority w:val="9"/>
    <w:semiHidden/>
    <w:locked/>
    <w:rPr>
      <w:b/>
      <w:bCs/>
      <w:kern w:val="2"/>
      <w:sz w:val="24"/>
      <w:szCs w:val="24"/>
    </w:rPr>
  </w:style>
  <w:style w:type="character" w:customStyle="1" w:styleId="6Char">
    <w:name w:val="标题 6 Char"/>
    <w:link w:val="6"/>
    <w:uiPriority w:val="9"/>
    <w:semiHidden/>
    <w:locked/>
    <w:rPr>
      <w:rFonts w:ascii="Cambria" w:eastAsia="宋体" w:hAnsi="Cambria" w:cs="Times New Roman" w:hint="default"/>
      <w:b/>
      <w:bCs/>
      <w:kern w:val="2"/>
      <w:sz w:val="24"/>
      <w:szCs w:val="24"/>
    </w:rPr>
  </w:style>
  <w:style w:type="character" w:customStyle="1" w:styleId="Char0">
    <w:name w:val="脚注文本 Char"/>
    <w:link w:val="a6"/>
    <w:locked/>
    <w:rPr>
      <w:kern w:val="2"/>
      <w:sz w:val="18"/>
      <w:szCs w:val="18"/>
    </w:rPr>
  </w:style>
  <w:style w:type="character" w:customStyle="1" w:styleId="Char1">
    <w:name w:val="页眉 Char"/>
    <w:link w:val="a8"/>
    <w:uiPriority w:val="99"/>
    <w:locked/>
    <w:rPr>
      <w:kern w:val="2"/>
      <w:sz w:val="18"/>
      <w:szCs w:val="18"/>
    </w:rPr>
  </w:style>
  <w:style w:type="character" w:customStyle="1" w:styleId="Char2">
    <w:name w:val="页脚 Char"/>
    <w:link w:val="aa"/>
    <w:uiPriority w:val="99"/>
    <w:locked/>
    <w:rPr>
      <w:kern w:val="2"/>
      <w:sz w:val="18"/>
      <w:szCs w:val="18"/>
    </w:rPr>
  </w:style>
  <w:style w:type="character" w:customStyle="1" w:styleId="Char3">
    <w:name w:val="标题 Char"/>
    <w:link w:val="ac"/>
    <w:uiPriority w:val="10"/>
    <w:locked/>
    <w:rPr>
      <w:rFonts w:ascii="Cambria" w:hAnsi="Cambria" w:cs="Times New Roman" w:hint="default"/>
      <w:b/>
      <w:bCs/>
      <w:kern w:val="2"/>
      <w:sz w:val="32"/>
      <w:szCs w:val="32"/>
    </w:rPr>
  </w:style>
  <w:style w:type="character" w:customStyle="1" w:styleId="Char4">
    <w:name w:val="副标题 Char"/>
    <w:link w:val="ae"/>
    <w:locked/>
    <w:rPr>
      <w:rFonts w:ascii="Cambria" w:hAnsi="Cambria" w:cs="Times New Roman" w:hint="default"/>
      <w:b/>
      <w:bCs/>
      <w:kern w:val="24"/>
      <w:sz w:val="32"/>
      <w:szCs w:val="32"/>
    </w:rPr>
  </w:style>
  <w:style w:type="character" w:customStyle="1" w:styleId="Char5">
    <w:name w:val="日期 Char"/>
    <w:link w:val="af0"/>
    <w:locked/>
    <w:rPr>
      <w:kern w:val="2"/>
      <w:sz w:val="21"/>
    </w:rPr>
  </w:style>
  <w:style w:type="character" w:customStyle="1" w:styleId="Char6">
    <w:name w:val="文档结构图 Char"/>
    <w:link w:val="af2"/>
    <w:locked/>
    <w:rPr>
      <w:rFonts w:ascii="宋体" w:eastAsia="宋体" w:hAnsi="宋体" w:hint="eastAsia"/>
      <w:kern w:val="2"/>
      <w:sz w:val="18"/>
      <w:szCs w:val="18"/>
    </w:rPr>
  </w:style>
  <w:style w:type="character" w:customStyle="1" w:styleId="Char7">
    <w:name w:val="批注框文本 Char"/>
    <w:link w:val="af4"/>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宋体"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宋体" w:hint="default"/>
      <w:b/>
      <w:bCs/>
      <w:sz w:val="24"/>
      <w:szCs w:val="24"/>
    </w:rPr>
  </w:style>
  <w:style w:type="character" w:customStyle="1" w:styleId="13">
    <w:name w:val="脚注文本 字符1"/>
    <w:link w:val="a6"/>
    <w:locked/>
    <w:rPr>
      <w:kern w:val="2"/>
      <w:sz w:val="18"/>
      <w:szCs w:val="18"/>
    </w:rPr>
  </w:style>
  <w:style w:type="character" w:customStyle="1" w:styleId="23">
    <w:name w:val="页眉 字符2"/>
    <w:link w:val="a8"/>
    <w:locked/>
    <w:rPr>
      <w:kern w:val="2"/>
      <w:sz w:val="18"/>
      <w:szCs w:val="18"/>
    </w:rPr>
  </w:style>
  <w:style w:type="character" w:customStyle="1" w:styleId="14">
    <w:name w:val="页脚 字符1"/>
    <w:link w:val="aa"/>
    <w:uiPriority w:val="99"/>
    <w:locked/>
    <w:rPr>
      <w:kern w:val="2"/>
      <w:sz w:val="18"/>
      <w:szCs w:val="18"/>
    </w:rPr>
  </w:style>
  <w:style w:type="character" w:customStyle="1" w:styleId="15">
    <w:name w:val="标题 字符1"/>
    <w:link w:val="ac"/>
    <w:uiPriority w:val="10"/>
    <w:locked/>
    <w:rPr>
      <w:rFonts w:ascii="Cambria" w:hAnsi="Cambria" w:cs="宋体" w:hint="default"/>
      <w:b/>
      <w:bCs/>
      <w:sz w:val="32"/>
      <w:szCs w:val="32"/>
    </w:rPr>
  </w:style>
  <w:style w:type="character" w:customStyle="1" w:styleId="16">
    <w:name w:val="副标题 字符1"/>
    <w:link w:val="ae"/>
    <w:locked/>
    <w:rPr>
      <w:rFonts w:ascii="Cambria" w:eastAsia="宋体" w:hAnsi="Cambria" w:cs="宋体" w:hint="default"/>
      <w:b/>
      <w:bCs w:val="0"/>
      <w:kern w:val="24"/>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link w:val="af2"/>
    <w:locked/>
    <w:rPr>
      <w:rFonts w:ascii="宋体" w:eastAsia="宋体" w:hAnsi="宋体" w:hint="eastAsia"/>
      <w:kern w:val="2"/>
      <w:sz w:val="18"/>
      <w:szCs w:val="18"/>
    </w:rPr>
  </w:style>
  <w:style w:type="character" w:customStyle="1" w:styleId="19">
    <w:name w:val="批注框文本 字符1"/>
    <w:link w:val="af4"/>
    <w:uiPriority w:val="99"/>
    <w:semiHidden/>
    <w:locked/>
    <w:rPr>
      <w:kern w:val="2"/>
      <w:sz w:val="18"/>
      <w:szCs w:val="18"/>
    </w:rPr>
  </w:style>
  <w:style w:type="character" w:customStyle="1" w:styleId="51">
    <w:name w:val="标题 5 字符1"/>
    <w:link w:val="5"/>
    <w:uiPriority w:val="9"/>
    <w:semiHidden/>
    <w:locked/>
    <w:rPr>
      <w:b/>
      <w:bCs/>
      <w:kern w:val="2"/>
      <w:sz w:val="24"/>
      <w:szCs w:val="24"/>
    </w:rPr>
  </w:style>
  <w:style w:type="character" w:customStyle="1" w:styleId="61">
    <w:name w:val="标题 6 字符1"/>
    <w:link w:val="6"/>
    <w:uiPriority w:val="9"/>
    <w:semiHidden/>
    <w:locked/>
    <w:rPr>
      <w:rFonts w:ascii="Cambria" w:eastAsia="宋体" w:hAnsi="Cambria" w:cs="Times New Roman" w:hint="default"/>
      <w:b/>
      <w:bCs/>
      <w:kern w:val="2"/>
      <w:sz w:val="24"/>
      <w:szCs w:val="24"/>
    </w:rPr>
  </w:style>
  <w:style w:type="character" w:customStyle="1" w:styleId="1a">
    <w:name w:val="页眉 字符1"/>
    <w:locked/>
    <w:rPr>
      <w:kern w:val="2"/>
      <w:sz w:val="18"/>
      <w:szCs w:val="18"/>
    </w:rPr>
  </w:style>
  <w:style w:type="table" w:styleId="af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0">
    <w:name w:val="页眉 Char1"/>
    <w:locked/>
    <w:rPr>
      <w:kern w:val="2"/>
      <w:sz w:val="18"/>
      <w:szCs w:val="18"/>
    </w:rPr>
  </w:style>
  <w:style w:type="character" w:customStyle="1" w:styleId="Char11">
    <w:name w:val="页脚 Char1"/>
    <w:uiPriority w:val="99"/>
    <w:locked/>
    <w:rPr>
      <w:kern w:val="2"/>
      <w:sz w:val="18"/>
      <w:szCs w:val="18"/>
    </w:rPr>
  </w:style>
</w:styles>
</file>

<file path=word/webSettings.xml><?xml version="1.0" encoding="utf-8"?>
<w:webSettings xmlns:r="http://schemas.openxmlformats.org/officeDocument/2006/relationships" xmlns:w="http://schemas.openxmlformats.org/wordprocessingml/2006/main">
  <w:divs>
    <w:div w:id="113407621">
      <w:marLeft w:val="0"/>
      <w:marRight w:val="0"/>
      <w:marTop w:val="0"/>
      <w:marBottom w:val="0"/>
      <w:divBdr>
        <w:top w:val="none" w:sz="0" w:space="0" w:color="auto"/>
        <w:left w:val="none" w:sz="0" w:space="0" w:color="auto"/>
        <w:bottom w:val="none" w:sz="0" w:space="0" w:color="auto"/>
        <w:right w:val="none" w:sz="0" w:space="0" w:color="auto"/>
      </w:divBdr>
    </w:div>
    <w:div w:id="1206791781">
      <w:marLeft w:val="0"/>
      <w:marRight w:val="0"/>
      <w:marTop w:val="0"/>
      <w:marBottom w:val="0"/>
      <w:divBdr>
        <w:top w:val="none" w:sz="0" w:space="0" w:color="auto"/>
        <w:left w:val="none" w:sz="0" w:space="0" w:color="auto"/>
        <w:bottom w:val="none" w:sz="0" w:space="0" w:color="auto"/>
        <w:right w:val="none" w:sz="0" w:space="0" w:color="auto"/>
      </w:divBdr>
      <w:divsChild>
        <w:div w:id="1316177009">
          <w:marLeft w:val="0"/>
          <w:marRight w:val="0"/>
          <w:marTop w:val="0"/>
          <w:marBottom w:val="0"/>
          <w:divBdr>
            <w:top w:val="none" w:sz="0" w:space="0" w:color="auto"/>
            <w:left w:val="none" w:sz="0" w:space="0" w:color="auto"/>
            <w:bottom w:val="none" w:sz="0" w:space="0" w:color="auto"/>
            <w:right w:val="none" w:sz="0" w:space="0" w:color="auto"/>
          </w:divBdr>
        </w:div>
      </w:divsChild>
    </w:div>
    <w:div w:id="1645237783">
      <w:marLeft w:val="0"/>
      <w:marRight w:val="0"/>
      <w:marTop w:val="0"/>
      <w:marBottom w:val="0"/>
      <w:divBdr>
        <w:top w:val="none" w:sz="0" w:space="0" w:color="auto"/>
        <w:left w:val="none" w:sz="0" w:space="0" w:color="auto"/>
        <w:bottom w:val="none" w:sz="0" w:space="0" w:color="auto"/>
        <w:right w:val="none" w:sz="0" w:space="0" w:color="auto"/>
      </w:divBdr>
    </w:div>
    <w:div w:id="1660189867">
      <w:marLeft w:val="0"/>
      <w:marRight w:val="0"/>
      <w:marTop w:val="0"/>
      <w:marBottom w:val="0"/>
      <w:divBdr>
        <w:top w:val="none" w:sz="0" w:space="0" w:color="auto"/>
        <w:left w:val="none" w:sz="0" w:space="0" w:color="auto"/>
        <w:bottom w:val="none" w:sz="0" w:space="0" w:color="auto"/>
        <w:right w:val="none" w:sz="0" w:space="0" w:color="auto"/>
      </w:divBdr>
    </w:div>
    <w:div w:id="17417095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366A9-09B8-4B35-ABAE-33007CF11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1774</Characters>
  <Application>Microsoft Office Word</Application>
  <DocSecurity>4</DocSecurity>
  <Lines>14</Lines>
  <Paragraphs>4</Paragraphs>
  <ScaleCrop>false</ScaleCrop>
  <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ZHONGM</cp:lastModifiedBy>
  <cp:revision>2</cp:revision>
  <dcterms:created xsi:type="dcterms:W3CDTF">2024-09-24T16:01:00Z</dcterms:created>
  <dcterms:modified xsi:type="dcterms:W3CDTF">2024-09-24T16:01:00Z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