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63" w:rsidRDefault="006C5263">
      <w:pPr>
        <w:pStyle w:val="biaogecenter"/>
        <w:rPr>
          <w:sz w:val="30"/>
          <w:szCs w:val="30"/>
        </w:rPr>
      </w:pPr>
      <w:r>
        <w:rPr>
          <w:rFonts w:hint="eastAsia"/>
          <w:b/>
          <w:bCs/>
          <w:sz w:val="30"/>
          <w:szCs w:val="30"/>
        </w:rPr>
        <w:t>浙商汇金金算盘货币市场基金2024年第九次收益支付公告</w:t>
      </w:r>
    </w:p>
    <w:p w:rsidR="006C5263" w:rsidRDefault="006C5263">
      <w:pPr>
        <w:pStyle w:val="biaogecenter"/>
        <w:rPr>
          <w:rFonts w:hint="eastAsia"/>
        </w:rPr>
      </w:pPr>
    </w:p>
    <w:p w:rsidR="006C5263" w:rsidRDefault="006C5263">
      <w:pPr>
        <w:pStyle w:val="biaogecenter"/>
        <w:rPr>
          <w:rFonts w:hint="eastAsia"/>
        </w:rPr>
      </w:pPr>
      <w:r>
        <w:rPr>
          <w:rFonts w:hint="eastAsia"/>
        </w:rPr>
        <w:t>公告送出日期：2024年09月23日</w:t>
      </w:r>
    </w:p>
    <w:p w:rsidR="006C5263" w:rsidRDefault="006C5263" w:rsidP="00185266">
      <w:pPr>
        <w:pStyle w:val="dazhangjie"/>
        <w:divId w:val="1642811543"/>
        <w:rPr>
          <w:rFonts w:hint="eastAsia"/>
        </w:rPr>
      </w:pPr>
      <w:r>
        <w:rPr>
          <w:rFonts w:hint="eastAsia"/>
          <w:b/>
          <w:bCs/>
        </w:rPr>
        <w:t>1、 公告基本信息</w:t>
      </w:r>
    </w:p>
    <w:tbl>
      <w:tblPr>
        <w:tblW w:w="0" w:type="auto"/>
        <w:tblInd w:w="108" w:type="dxa"/>
        <w:tblLook w:val="04A0"/>
      </w:tblPr>
      <w:tblGrid>
        <w:gridCol w:w="2073"/>
        <w:gridCol w:w="7125"/>
      </w:tblGrid>
      <w:tr w:rsidR="006C5263" w:rsidRPr="00A63420">
        <w:trPr>
          <w:divId w:val="1642811543"/>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基金名称</w:t>
            </w:r>
          </w:p>
        </w:tc>
        <w:tc>
          <w:tcPr>
            <w:tcW w:w="3645"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浙商汇金金算盘货币市场基金</w:t>
            </w:r>
          </w:p>
        </w:tc>
      </w:tr>
      <w:tr w:rsidR="006C5263" w:rsidRPr="00A63420">
        <w:trPr>
          <w:divId w:val="1642811543"/>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基金简称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浙商汇金金算盘货币</w:t>
            </w:r>
          </w:p>
        </w:tc>
      </w:tr>
      <w:tr w:rsidR="006C5263" w:rsidRPr="00A63420">
        <w:trPr>
          <w:divId w:val="1642811543"/>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基金主代码</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015778</w:t>
            </w:r>
          </w:p>
        </w:tc>
      </w:tr>
      <w:tr w:rsidR="006C5263" w:rsidRPr="00A63420">
        <w:trPr>
          <w:divId w:val="1642811543"/>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基金合同生效日</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2022年08月26日</w:t>
            </w:r>
          </w:p>
        </w:tc>
      </w:tr>
      <w:tr w:rsidR="006C5263" w:rsidRPr="00A63420">
        <w:trPr>
          <w:divId w:val="1642811543"/>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基金管理人名称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浙江浙商证券资产管理有限公司</w:t>
            </w:r>
          </w:p>
        </w:tc>
      </w:tr>
      <w:tr w:rsidR="006C5263" w:rsidRPr="00A63420">
        <w:trPr>
          <w:divId w:val="1642811543"/>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公告依据</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《公开募集证券投资基金信息披露管理办法》《浙商汇金金算盘货币市场基金基金合同》《浙商汇金金算盘货币市场基金招募说明书》等。</w:t>
            </w:r>
          </w:p>
        </w:tc>
      </w:tr>
      <w:tr w:rsidR="006C5263" w:rsidRPr="00A63420">
        <w:trPr>
          <w:divId w:val="1642811543"/>
        </w:trPr>
        <w:tc>
          <w:tcPr>
            <w:tcW w:w="4005"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收益集中支付日期</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2024-09-23</w:t>
            </w:r>
          </w:p>
        </w:tc>
      </w:tr>
      <w:tr w:rsidR="006C5263" w:rsidRPr="00A63420">
        <w:trPr>
          <w:divId w:val="1642811543"/>
        </w:trPr>
        <w:tc>
          <w:tcPr>
            <w:tcW w:w="4009"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收益累计期间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自2024-08-21至2024-09-20止</w:t>
            </w:r>
          </w:p>
        </w:tc>
      </w:tr>
    </w:tbl>
    <w:p w:rsidR="006C5263" w:rsidRDefault="006C5263" w:rsidP="00185266">
      <w:pPr>
        <w:pStyle w:val="neirong"/>
        <w:divId w:val="1642811543"/>
        <w:rPr>
          <w:rFonts w:hint="eastAsia"/>
        </w:rPr>
      </w:pPr>
      <w:r>
        <w:rPr>
          <w:rFonts w:hint="eastAsia"/>
        </w:rPr>
        <w:t>注：管理人在每个收益集中支付日起两个交易日内，根据公告分配方案，以现金分红的形式向投资者支付收益。</w:t>
      </w:r>
    </w:p>
    <w:p w:rsidR="006C5263" w:rsidRPr="00185266" w:rsidRDefault="006C5263" w:rsidP="00185266">
      <w:pPr>
        <w:pStyle w:val="dazhangjie"/>
        <w:divId w:val="1223829762"/>
        <w:rPr>
          <w:rFonts w:hint="eastAsia"/>
        </w:rPr>
      </w:pPr>
      <w:r>
        <w:rPr>
          <w:rFonts w:hint="eastAsia"/>
          <w:b/>
          <w:bCs/>
        </w:rPr>
        <w:t>2、与收益支付相关的其他信息</w:t>
      </w:r>
    </w:p>
    <w:tbl>
      <w:tblPr>
        <w:tblW w:w="8250" w:type="dxa"/>
        <w:tblInd w:w="108" w:type="dxa"/>
        <w:tblLook w:val="04A0"/>
      </w:tblPr>
      <w:tblGrid>
        <w:gridCol w:w="3072"/>
        <w:gridCol w:w="5178"/>
      </w:tblGrid>
      <w:tr w:rsidR="006C5263" w:rsidRPr="00A63420">
        <w:trPr>
          <w:divId w:val="122382976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累计收益计算公式</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基金份额持有人累计收益=∑基金份额持有人日收益（即基金份额持有人日收益逐日累加），基金份额持有人日收益=基金份额持有人当日持有的基金份额/10000*当日每万份基金份额收益（保留到分，即保留两位小数后去尾）</w:t>
            </w:r>
          </w:p>
        </w:tc>
      </w:tr>
      <w:tr w:rsidR="006C5263" w:rsidRPr="00A63420">
        <w:trPr>
          <w:divId w:val="122382976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收益结转的基金份额可赎回起始日</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w:t>
            </w:r>
          </w:p>
        </w:tc>
      </w:tr>
      <w:tr w:rsidR="006C5263" w:rsidRPr="00A63420">
        <w:trPr>
          <w:divId w:val="122382976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收益支付对象</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收益支付日在中国证券登记结算有限责任公司登记在册的本基金全体持有人。</w:t>
            </w:r>
          </w:p>
        </w:tc>
      </w:tr>
      <w:tr w:rsidR="006C5263" w:rsidRPr="00A63420">
        <w:trPr>
          <w:divId w:val="122382976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收益支付办法</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本基金收益支付方式为现金分红。</w:t>
            </w:r>
          </w:p>
        </w:tc>
      </w:tr>
      <w:tr w:rsidR="006C5263" w:rsidRPr="00A63420">
        <w:trPr>
          <w:divId w:val="122382976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税收相关事项的说明</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根据财政部、国家税务总局的财税[2002]128号《财政部、国家税务总局关于开放式证券投资基金有关税收问题的通知》，基金向投资者分配的基金收益，暂免征收所得税。</w:t>
            </w:r>
          </w:p>
        </w:tc>
      </w:tr>
      <w:tr w:rsidR="006C5263" w:rsidRPr="00A63420">
        <w:trPr>
          <w:divId w:val="1223829762"/>
        </w:trPr>
        <w:tc>
          <w:tcPr>
            <w:tcW w:w="3000"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费用相关事项的说明</w:t>
            </w:r>
          </w:p>
        </w:tc>
        <w:tc>
          <w:tcPr>
            <w:tcW w:w="5057" w:type="dxa"/>
            <w:tcBorders>
              <w:top w:val="single" w:sz="8" w:space="0" w:color="000000"/>
              <w:left w:val="single" w:sz="8" w:space="0" w:color="000000"/>
              <w:bottom w:val="single" w:sz="8" w:space="0" w:color="000000"/>
              <w:right w:val="single" w:sz="8" w:space="0" w:color="000000"/>
            </w:tcBorders>
            <w:vAlign w:val="center"/>
            <w:hideMark/>
          </w:tcPr>
          <w:p w:rsidR="006C5263" w:rsidRDefault="006C5263">
            <w:pPr>
              <w:pStyle w:val="biaogeleft"/>
              <w:wordWrap w:val="0"/>
            </w:pPr>
            <w:r>
              <w:rPr>
                <w:rFonts w:hint="eastAsia"/>
              </w:rPr>
              <w:t>本基金收益分配免收分红手续费。</w:t>
            </w:r>
          </w:p>
        </w:tc>
      </w:tr>
    </w:tbl>
    <w:p w:rsidR="006C5263" w:rsidRDefault="006C5263">
      <w:pPr>
        <w:pStyle w:val="neirong"/>
        <w:divId w:val="1223829762"/>
        <w:rPr>
          <w:rFonts w:hint="eastAsia"/>
        </w:rPr>
      </w:pPr>
      <w:r>
        <w:rPr>
          <w:rFonts w:hint="eastAsia"/>
        </w:rPr>
        <w:t>注：（1）本基金收益支付方式暂不包括红利再投，因此不存在收益结转基金份额的情况。</w:t>
      </w:r>
      <w:r>
        <w:rPr>
          <w:rFonts w:hint="eastAsia"/>
        </w:rPr>
        <w:br/>
      </w:r>
      <w:r>
        <w:rPr>
          <w:rFonts w:hint="eastAsia"/>
        </w:rPr>
        <w:lastRenderedPageBreak/>
        <w:t>（2）本基金采用摊余成本法估值，并通过计算暂估收益率的方法每日确认各类金融工具的暂估收益。基金每万份基金暂估净收益和7日年化暂估收益率，与分红日实际每万份基金净收益和7日年化收益率存在差异，原因是银行存款估值时以成本列示，每日按照约定利率预提收益，直至分红期末按累计收益除以累计份额确定实际分配的收益率，具体的差异金额以公司官网展示为准。</w:t>
      </w:r>
      <w:r>
        <w:rPr>
          <w:rFonts w:hint="eastAsia"/>
        </w:rPr>
        <w:br/>
        <w:t>（3）投资者当日申购的基金份额应当自下一个交易日起享有基金的分配权益；当日赎回的基金份额自下一个交易日起不享有基金的分配权益。</w:t>
      </w:r>
      <w:r>
        <w:rPr>
          <w:rFonts w:hint="eastAsia"/>
        </w:rPr>
        <w:br/>
        <w:t>（4）本基金收益每月集中支付一次。如投资者的累计实际收益为负，则为份额持有人缩减相应的份额。投资者赎回基金份额时，其累计未支付收益不一并支付，将在月度分红时支付。投资者解约情形下，管理人将按照当期年化暂估收益率与同期中国人民银行公布的活期存款基准利率孰低的原则对该投资人进行收益分配。</w:t>
      </w:r>
    </w:p>
    <w:p w:rsidR="006C5263" w:rsidRDefault="006C5263">
      <w:pPr>
        <w:widowControl/>
        <w:jc w:val="left"/>
        <w:rPr>
          <w:rFonts w:ascii="宋体" w:hAnsi="宋体" w:cs="宋体" w:hint="eastAsia"/>
          <w:kern w:val="0"/>
          <w:sz w:val="24"/>
          <w:szCs w:val="24"/>
        </w:rPr>
      </w:pPr>
    </w:p>
    <w:p w:rsidR="006C5263" w:rsidRDefault="006C5263">
      <w:pPr>
        <w:pStyle w:val="dazhangjie"/>
        <w:rPr>
          <w:rFonts w:hint="eastAsia"/>
        </w:rPr>
      </w:pPr>
      <w:r>
        <w:rPr>
          <w:rFonts w:hint="eastAsia"/>
          <w:b/>
          <w:bCs/>
        </w:rPr>
        <w:t>3、其他需要提示的事项</w:t>
      </w:r>
    </w:p>
    <w:p w:rsidR="006C5263" w:rsidRDefault="006C5263">
      <w:pPr>
        <w:pStyle w:val="neirong"/>
        <w:rPr>
          <w:rFonts w:hint="eastAsia"/>
        </w:rPr>
      </w:pPr>
      <w:r>
        <w:rPr>
          <w:rFonts w:hint="eastAsia"/>
        </w:rPr>
        <w:t>  一、基金份额持有人可通过下列渠道了解相关信息：</w:t>
      </w:r>
      <w:r>
        <w:rPr>
          <w:rFonts w:hint="eastAsia"/>
        </w:rPr>
        <w:br/>
        <w:t>  （1）官方网站：www.stocke.com.cn；</w:t>
      </w:r>
      <w:r>
        <w:rPr>
          <w:rFonts w:hint="eastAsia"/>
        </w:rPr>
        <w:br/>
        <w:t>  （2）客服电话：95345；</w:t>
      </w:r>
      <w:r>
        <w:rPr>
          <w:rFonts w:hint="eastAsia"/>
        </w:rPr>
        <w:br/>
        <w:t>  （3）本基金销售机构：浙商证券股份有限公司</w:t>
      </w:r>
      <w:r>
        <w:rPr>
          <w:rFonts w:hint="eastAsia"/>
        </w:rPr>
        <w:br/>
        <w:t>  二、风险提示</w:t>
      </w:r>
      <w:r>
        <w:rPr>
          <w:rFonts w:hint="eastAsia"/>
        </w:rPr>
        <w:br/>
        <w:t>  基金管理人承诺以诚实信用、勤勉尽责的原则管理和运用基金资产，但不保证基金一定盈利，也不保证最低收益。投资有风险，基金的过往业绩并不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者根据自身的风险承受能力选择适合自己的基金产品。</w:t>
      </w:r>
      <w:r>
        <w:rPr>
          <w:rFonts w:hint="eastAsia"/>
        </w:rPr>
        <w:br/>
        <w:t>  本基金是以投资者交易结算资金为管理对象的货币市场基金，购买货币市场基金并不等于将资金作为存款存放在银行或者存款类金融机构。本基金对接服务的资金仅限于证券公司经纪业务客户交易结算资金，投资者持有的基金份额可用于客户资金账户交易结算；但是，本基金基金份额不等于投资者交易结算资金，本基金可能会给投资者证券交易、取款等带来习惯改变。敬请注意投资风险。</w:t>
      </w:r>
      <w:r>
        <w:rPr>
          <w:rFonts w:hint="eastAsia"/>
        </w:rPr>
        <w:br/>
        <w:t>  特此公告。</w:t>
      </w:r>
    </w:p>
    <w:p w:rsidR="006C5263" w:rsidRDefault="006C5263">
      <w:pPr>
        <w:pStyle w:val="biaogeright"/>
        <w:rPr>
          <w:rFonts w:hint="eastAsia"/>
        </w:rPr>
      </w:pPr>
      <w:r w:rsidRPr="00A63420">
        <w:rPr>
          <w:rFonts w:hAnsi="Calibri" w:hint="eastAsia"/>
          <w:color w:val="000000"/>
        </w:rPr>
        <w:t>浙江浙商证券资产管理有限公司</w:t>
      </w:r>
    </w:p>
    <w:p w:rsidR="006C5263" w:rsidRDefault="006C5263">
      <w:pPr>
        <w:pStyle w:val="biaogeright"/>
        <w:rPr>
          <w:rFonts w:hint="eastAsia"/>
        </w:rPr>
      </w:pPr>
      <w:r w:rsidRPr="00A63420">
        <w:rPr>
          <w:rFonts w:hAnsi="Calibri" w:hint="eastAsia"/>
          <w:color w:val="000000"/>
        </w:rPr>
        <w:t>2024年09月23日</w:t>
      </w:r>
    </w:p>
    <w:sectPr w:rsidR="006C5263">
      <w:pgSz w:w="11926" w:h="16867"/>
      <w:pgMar w:top="1418" w:right="1418" w:bottom="853"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0C" w:rsidRDefault="006A240C" w:rsidP="00A63420">
      <w:r>
        <w:separator/>
      </w:r>
    </w:p>
  </w:endnote>
  <w:endnote w:type="continuationSeparator" w:id="0">
    <w:p w:rsidR="006A240C" w:rsidRDefault="006A240C" w:rsidP="00A63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0C" w:rsidRDefault="006A240C" w:rsidP="00A63420">
      <w:r>
        <w:separator/>
      </w:r>
    </w:p>
  </w:footnote>
  <w:footnote w:type="continuationSeparator" w:id="0">
    <w:p w:rsidR="006A240C" w:rsidRDefault="006A240C" w:rsidP="00A634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noPunctuationKerning/>
  <w:characterSpacingControl w:val="compressPunctuation"/>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3420"/>
    <w:rsid w:val="00185266"/>
    <w:rsid w:val="006A240C"/>
    <w:rsid w:val="006C5263"/>
    <w:rsid w:val="00A63420"/>
    <w:rsid w:val="00F229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fy">
    <w:name w:val="msonormalfy"/>
    <w:qFormat/>
    <w:pPr>
      <w:widowControl w:val="0"/>
      <w:jc w:val="center"/>
    </w:pPr>
    <w:rPr>
      <w:rFonts w:cs="Times New Roman"/>
      <w:kern w:val="2"/>
      <w:sz w:val="29"/>
      <w:szCs w:val="22"/>
    </w:rPr>
  </w:style>
  <w:style w:type="paragraph" w:customStyle="1" w:styleId="msonormal2">
    <w:name w:val="msonormal2"/>
    <w:qFormat/>
    <w:pPr>
      <w:widowControl w:val="0"/>
      <w:jc w:val="center"/>
    </w:pPr>
    <w:rPr>
      <w:rFonts w:cs="Times New Roman"/>
      <w:kern w:val="2"/>
      <w:sz w:val="21"/>
      <w:szCs w:val="22"/>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Pr>
      <w:rFonts w:ascii="Times New Roman" w:hAnsi="Times New Roman" w:cs="Times New Roman" w:hint="default"/>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locked/>
    <w:rPr>
      <w:rFonts w:ascii="Times New Roman" w:hAnsi="Times New Roman" w:cs="Times New Roman" w:hint="default"/>
      <w:sz w:val="18"/>
      <w:szCs w:val="18"/>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360" w:lineRule="auto"/>
      <w:ind w:left="15"/>
      <w:jc w:val="left"/>
    </w:pPr>
    <w:rPr>
      <w:rFonts w:ascii="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3829762">
      <w:marLeft w:val="0"/>
      <w:marRight w:val="0"/>
      <w:marTop w:val="0"/>
      <w:marBottom w:val="0"/>
      <w:divBdr>
        <w:top w:val="none" w:sz="0" w:space="0" w:color="auto"/>
        <w:left w:val="none" w:sz="0" w:space="0" w:color="auto"/>
        <w:bottom w:val="none" w:sz="0" w:space="0" w:color="auto"/>
        <w:right w:val="none" w:sz="0" w:space="0" w:color="auto"/>
      </w:divBdr>
    </w:div>
    <w:div w:id="1642811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4</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ZYQ</dc:creator>
  <cp:keywords/>
  <dc:description/>
  <cp:lastModifiedBy>ZHONGM</cp:lastModifiedBy>
  <cp:revision>2</cp:revision>
  <dcterms:created xsi:type="dcterms:W3CDTF">2024-09-22T16:00:00Z</dcterms:created>
  <dcterms:modified xsi:type="dcterms:W3CDTF">2024-09-22T16:00:00Z</dcterms:modified>
</cp:coreProperties>
</file>