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16D5C">
      <w:pPr>
        <w:pStyle w:val="biaogecenter"/>
        <w:rPr>
          <w:sz w:val="30"/>
          <w:szCs w:val="30"/>
        </w:rPr>
      </w:pPr>
      <w:r>
        <w:rPr>
          <w:rFonts w:hint="eastAsia"/>
          <w:b/>
          <w:bCs/>
          <w:sz w:val="30"/>
          <w:szCs w:val="30"/>
        </w:rPr>
        <w:t>中信建投稳悦一年定期开放债券型发起式证券投资基金分红公告</w:t>
      </w:r>
    </w:p>
    <w:p w:rsidR="00000000" w:rsidRDefault="00E16D5C">
      <w:pPr>
        <w:pStyle w:val="biaogecenter"/>
        <w:rPr>
          <w:rFonts w:hint="eastAsia"/>
        </w:rPr>
      </w:pPr>
    </w:p>
    <w:p w:rsidR="00000000" w:rsidRDefault="00E16D5C">
      <w:pPr>
        <w:pStyle w:val="biaogecenter"/>
        <w:rPr>
          <w:rFonts w:hint="eastAsia"/>
        </w:rPr>
      </w:pPr>
      <w:r>
        <w:rPr>
          <w:rFonts w:hint="eastAsia"/>
        </w:rPr>
        <w:t>送出日期：</w:t>
      </w:r>
      <w:r>
        <w:rPr>
          <w:rFonts w:hint="eastAsia"/>
        </w:rPr>
        <w:t>2024</w:t>
      </w:r>
      <w:r>
        <w:rPr>
          <w:rFonts w:hint="eastAsia"/>
        </w:rPr>
        <w:t>年</w:t>
      </w:r>
      <w:r>
        <w:rPr>
          <w:rFonts w:hint="eastAsia"/>
        </w:rPr>
        <w:t>9</w:t>
      </w:r>
      <w:r>
        <w:rPr>
          <w:rFonts w:hint="eastAsia"/>
        </w:rPr>
        <w:t>月</w:t>
      </w:r>
      <w:r>
        <w:rPr>
          <w:rFonts w:hint="eastAsia"/>
        </w:rPr>
        <w:t>20</w:t>
      </w:r>
      <w:r>
        <w:rPr>
          <w:rFonts w:hint="eastAsia"/>
        </w:rPr>
        <w:t>日</w:t>
      </w:r>
    </w:p>
    <w:p w:rsidR="00000000" w:rsidRDefault="00E16D5C">
      <w:pPr>
        <w:pStyle w:val="dazhangjie"/>
        <w:rPr>
          <w:rFonts w:hint="eastAsia"/>
        </w:rPr>
      </w:pPr>
      <w:r>
        <w:rPr>
          <w:rFonts w:hAnsi="Calibri" w:hint="eastAsia"/>
          <w:b/>
          <w:color w:val="000000"/>
        </w:rPr>
        <w:t xml:space="preserve">1 </w:t>
      </w:r>
      <w:r>
        <w:rPr>
          <w:rFonts w:hAnsi="Calibri" w:hint="eastAsia"/>
          <w:b/>
          <w:color w:val="000000"/>
        </w:rPr>
        <w:t>公告基本信息</w:t>
      </w:r>
    </w:p>
    <w:tbl>
      <w:tblPr>
        <w:tblW w:w="8250" w:type="dxa"/>
        <w:tblInd w:w="108" w:type="dxa"/>
        <w:tblLook w:val="0000"/>
      </w:tblPr>
      <w:tblGrid>
        <w:gridCol w:w="978"/>
        <w:gridCol w:w="2322"/>
        <w:gridCol w:w="4950"/>
      </w:tblGrid>
      <w:tr w:rsidR="00000000">
        <w:tc>
          <w:tcPr>
            <w:tcW w:w="2000" w:type="pct"/>
            <w:gridSpan w:val="2"/>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基金名称</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中信建投稳悦一年定期开放债券型发起式证券投资基金</w:t>
            </w:r>
          </w:p>
        </w:tc>
      </w:tr>
      <w:tr w:rsidR="00000000">
        <w:tc>
          <w:tcPr>
            <w:tcW w:w="0" w:type="auto"/>
            <w:gridSpan w:val="2"/>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基金简称</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中信建投稳悦债券</w:t>
            </w:r>
          </w:p>
        </w:tc>
      </w:tr>
      <w:tr w:rsidR="00000000">
        <w:tc>
          <w:tcPr>
            <w:tcW w:w="0" w:type="auto"/>
            <w:gridSpan w:val="2"/>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基金主代码</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008487</w:t>
            </w:r>
          </w:p>
        </w:tc>
      </w:tr>
      <w:tr w:rsidR="00000000">
        <w:tc>
          <w:tcPr>
            <w:tcW w:w="0" w:type="auto"/>
            <w:gridSpan w:val="2"/>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基金合同生效日</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2019</w:t>
            </w:r>
            <w:r>
              <w:rPr>
                <w:rFonts w:hint="eastAsia"/>
              </w:rPr>
              <w:t>年</w:t>
            </w:r>
            <w:r>
              <w:rPr>
                <w:rFonts w:hint="eastAsia"/>
              </w:rPr>
              <w:t>12</w:t>
            </w:r>
            <w:r>
              <w:rPr>
                <w:rFonts w:hint="eastAsia"/>
              </w:rPr>
              <w:t>月</w:t>
            </w:r>
            <w:r>
              <w:rPr>
                <w:rFonts w:hint="eastAsia"/>
              </w:rPr>
              <w:t>30</w:t>
            </w:r>
            <w:r>
              <w:rPr>
                <w:rFonts w:hint="eastAsia"/>
              </w:rPr>
              <w:t>日</w:t>
            </w:r>
          </w:p>
        </w:tc>
      </w:tr>
      <w:tr w:rsidR="00000000">
        <w:tc>
          <w:tcPr>
            <w:tcW w:w="2000" w:type="pct"/>
            <w:gridSpan w:val="2"/>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基金管理人名称</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中信建投基金管理有限公司</w:t>
            </w:r>
          </w:p>
        </w:tc>
      </w:tr>
      <w:tr w:rsidR="00000000">
        <w:tc>
          <w:tcPr>
            <w:tcW w:w="0" w:type="auto"/>
            <w:gridSpan w:val="2"/>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基金托管人名称</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中信银行股份有限公司</w:t>
            </w:r>
          </w:p>
        </w:tc>
      </w:tr>
      <w:tr w:rsidR="00000000">
        <w:tc>
          <w:tcPr>
            <w:tcW w:w="0" w:type="auto"/>
            <w:gridSpan w:val="2"/>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公告依据</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《中华人民共和国证券投资基金法》、《公开募集证券投资基金运作管理办法》、《公开募集证券投资基金信息披露管理办法》等相关法律法规以及《中信建投稳悦一</w:t>
            </w:r>
            <w:r>
              <w:rPr>
                <w:rFonts w:hint="eastAsia"/>
              </w:rPr>
              <w:t>年定期开放债券型发起式证券投资基金基金合同》、《中信建投稳悦一年定期开放债券型发起式证券投资基金招募说明书》等</w:t>
            </w:r>
          </w:p>
        </w:tc>
      </w:tr>
      <w:tr w:rsidR="00000000">
        <w:tc>
          <w:tcPr>
            <w:tcW w:w="2000" w:type="pct"/>
            <w:gridSpan w:val="2"/>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收益分配基准日</w:t>
            </w:r>
          </w:p>
        </w:tc>
        <w:tc>
          <w:tcPr>
            <w:tcW w:w="3000" w:type="pct"/>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2024</w:t>
            </w:r>
            <w:r>
              <w:rPr>
                <w:rFonts w:hint="eastAsia"/>
              </w:rPr>
              <w:t>年</w:t>
            </w:r>
            <w:r>
              <w:rPr>
                <w:rFonts w:hint="eastAsia"/>
              </w:rPr>
              <w:t>9</w:t>
            </w:r>
            <w:r>
              <w:rPr>
                <w:rFonts w:hint="eastAsia"/>
              </w:rPr>
              <w:t>月</w:t>
            </w:r>
            <w:r>
              <w:rPr>
                <w:rFonts w:hint="eastAsia"/>
              </w:rPr>
              <w:t>13</w:t>
            </w:r>
            <w:r>
              <w:rPr>
                <w:rFonts w:hint="eastAsia"/>
              </w:rPr>
              <w:t>日</w:t>
            </w:r>
          </w:p>
        </w:tc>
      </w:tr>
      <w:tr w:rsidR="00000000">
        <w:tc>
          <w:tcPr>
            <w:tcW w:w="0" w:type="auto"/>
            <w:vMerge w:val="restart"/>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截止收益分配基准日的相关指标</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基准日基金份额净值（单位</w:t>
            </w:r>
            <w:r>
              <w:rPr>
                <w:rFonts w:hint="eastAsia"/>
              </w:rPr>
              <w:t>:</w:t>
            </w:r>
            <w:r>
              <w:rPr>
                <w:rFonts w:hint="eastAsia"/>
              </w:rPr>
              <w:t>人民币元）</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1.</w:t>
            </w:r>
            <w:r>
              <w:rPr>
                <w:rFonts w:hint="eastAsia"/>
              </w:rPr>
              <w:t>0571</w:t>
            </w:r>
          </w:p>
        </w:tc>
      </w:tr>
      <w:tr w:rsidR="00000000">
        <w:tc>
          <w:tcPr>
            <w:tcW w:w="0" w:type="auto"/>
            <w:vMerge/>
            <w:tcBorders>
              <w:top w:val="single" w:sz="8" w:space="0" w:color="000000"/>
              <w:left w:val="single" w:sz="8" w:space="0" w:color="000000"/>
              <w:bottom w:val="single" w:sz="6" w:space="0" w:color="000000"/>
              <w:right w:val="single" w:sz="8" w:space="0" w:color="000000"/>
            </w:tcBorders>
            <w:vAlign w:val="center"/>
          </w:tcPr>
          <w:p w:rsidR="00000000" w:rsidRDefault="00E16D5C">
            <w:pPr>
              <w:widowControl/>
              <w:jc w:val="left"/>
              <w:rPr>
                <w:rFonts w:ascii="宋体" w:hAnsi="宋体" w:cs="宋体"/>
                <w:kern w:val="0"/>
                <w:sz w:val="24"/>
                <w:szCs w:val="24"/>
              </w:rPr>
            </w:pP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基准日基金可供分配利润（单位</w:t>
            </w:r>
            <w:r>
              <w:rPr>
                <w:rFonts w:hint="eastAsia"/>
              </w:rPr>
              <w:t>:</w:t>
            </w:r>
            <w:r>
              <w:rPr>
                <w:rFonts w:hint="eastAsia"/>
              </w:rPr>
              <w:t>人民币元）</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98,982,972.21</w:t>
            </w:r>
          </w:p>
        </w:tc>
      </w:tr>
      <w:tr w:rsidR="00000000">
        <w:tc>
          <w:tcPr>
            <w:tcW w:w="0" w:type="auto"/>
            <w:vMerge/>
            <w:tcBorders>
              <w:top w:val="single" w:sz="8" w:space="0" w:color="000000"/>
              <w:left w:val="single" w:sz="8" w:space="0" w:color="000000"/>
              <w:bottom w:val="single" w:sz="6" w:space="0" w:color="000000"/>
              <w:right w:val="single" w:sz="8" w:space="0" w:color="000000"/>
            </w:tcBorders>
            <w:vAlign w:val="center"/>
          </w:tcPr>
          <w:p w:rsidR="00000000" w:rsidRDefault="00E16D5C">
            <w:pPr>
              <w:widowControl/>
              <w:jc w:val="left"/>
              <w:rPr>
                <w:rFonts w:ascii="宋体" w:hAnsi="宋体" w:cs="宋体"/>
                <w:kern w:val="0"/>
                <w:sz w:val="24"/>
                <w:szCs w:val="24"/>
              </w:rPr>
            </w:pP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截止基准日按照基金合同约定的分红比例计算的应分配金额（单位</w:t>
            </w:r>
            <w:r>
              <w:rPr>
                <w:rFonts w:hint="eastAsia"/>
              </w:rPr>
              <w:t>:</w:t>
            </w:r>
            <w:r>
              <w:rPr>
                <w:rFonts w:hint="eastAsia"/>
              </w:rPr>
              <w:t>人民币元）</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w:t>
            </w:r>
          </w:p>
        </w:tc>
      </w:tr>
      <w:tr w:rsidR="00000000">
        <w:tc>
          <w:tcPr>
            <w:tcW w:w="0" w:type="auto"/>
            <w:gridSpan w:val="2"/>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本次分红方案（单位</w:t>
            </w:r>
            <w:r>
              <w:rPr>
                <w:rFonts w:hint="eastAsia"/>
              </w:rPr>
              <w:t>:</w:t>
            </w:r>
            <w:r>
              <w:rPr>
                <w:rFonts w:hint="eastAsia"/>
              </w:rPr>
              <w:t>元</w:t>
            </w:r>
            <w:r>
              <w:rPr>
                <w:rFonts w:hint="eastAsia"/>
              </w:rPr>
              <w:t>/10</w:t>
            </w:r>
            <w:r>
              <w:rPr>
                <w:rFonts w:hint="eastAsia"/>
              </w:rPr>
              <w:t>份基金份额）</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rPr>
                <w:rFonts w:hint="eastAsia"/>
              </w:rPr>
            </w:pPr>
            <w:r>
              <w:rPr>
                <w:rFonts w:hint="eastAsia"/>
              </w:rPr>
              <w:t>0</w:t>
            </w:r>
            <w:r>
              <w:t>.</w:t>
            </w:r>
            <w:r>
              <w:rPr>
                <w:rFonts w:hint="eastAsia"/>
              </w:rPr>
              <w:t>25</w:t>
            </w:r>
          </w:p>
        </w:tc>
      </w:tr>
      <w:tr w:rsidR="00000000">
        <w:tc>
          <w:tcPr>
            <w:tcW w:w="0" w:type="auto"/>
            <w:gridSpan w:val="2"/>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有关年度分红次数的说明</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本次分红为本基金</w:t>
            </w:r>
            <w:r>
              <w:rPr>
                <w:rFonts w:hint="eastAsia"/>
              </w:rPr>
              <w:t>202</w:t>
            </w:r>
            <w:r>
              <w:rPr>
                <w:rFonts w:hint="eastAsia"/>
              </w:rPr>
              <w:t>4</w:t>
            </w:r>
            <w:r>
              <w:rPr>
                <w:rFonts w:hint="eastAsia"/>
              </w:rPr>
              <w:t>年度第一次分红</w:t>
            </w:r>
          </w:p>
        </w:tc>
      </w:tr>
    </w:tbl>
    <w:p w:rsidR="00000000" w:rsidRDefault="00E16D5C">
      <w:pPr>
        <w:pStyle w:val="neirong"/>
        <w:rPr>
          <w:rFonts w:hint="eastAsia"/>
        </w:rPr>
      </w:pPr>
      <w:r>
        <w:rPr>
          <w:rFonts w:hint="eastAsia"/>
        </w:rPr>
        <w:lastRenderedPageBreak/>
        <w:t>注：根据《中信建投稳悦一年定期开放债券型发起式证券投资基金基金合同》约定，本基金可供分配利润为截至收益分配基准日基金未分配利润与未分配利润中已实现收益的孰低数；《中信建投稳悦一年定期开放债券型发起式证券投资基金基金合同》无收益分配比例的限制。</w:t>
      </w:r>
    </w:p>
    <w:p w:rsidR="00000000" w:rsidRDefault="00E16D5C">
      <w:pPr>
        <w:widowControl/>
        <w:jc w:val="left"/>
        <w:rPr>
          <w:rFonts w:ascii="宋体" w:hAnsi="宋体" w:cs="宋体" w:hint="eastAsia"/>
          <w:kern w:val="0"/>
          <w:sz w:val="24"/>
          <w:szCs w:val="24"/>
        </w:rPr>
      </w:pPr>
    </w:p>
    <w:p w:rsidR="00000000" w:rsidRDefault="00E16D5C">
      <w:pPr>
        <w:pStyle w:val="dazhangjie"/>
        <w:rPr>
          <w:rFonts w:hint="eastAsia"/>
        </w:rPr>
      </w:pPr>
      <w:r>
        <w:rPr>
          <w:rFonts w:hAnsi="Calibri" w:hint="eastAsia"/>
          <w:b/>
          <w:color w:val="000000"/>
        </w:rPr>
        <w:t xml:space="preserve">2 </w:t>
      </w:r>
      <w:r>
        <w:rPr>
          <w:rFonts w:hAnsi="Calibri" w:hint="eastAsia"/>
          <w:b/>
          <w:color w:val="000000"/>
        </w:rPr>
        <w:t>与分红相关的其他信息</w:t>
      </w:r>
    </w:p>
    <w:tbl>
      <w:tblPr>
        <w:tblW w:w="8250" w:type="dxa"/>
        <w:tblInd w:w="108" w:type="dxa"/>
        <w:tblLook w:val="0000"/>
      </w:tblPr>
      <w:tblGrid>
        <w:gridCol w:w="2831"/>
        <w:gridCol w:w="5419"/>
      </w:tblGrid>
      <w:tr w:rsidR="00000000">
        <w:tc>
          <w:tcPr>
            <w:tcW w:w="1716" w:type="pct"/>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权益登记日</w:t>
            </w:r>
          </w:p>
        </w:tc>
        <w:tc>
          <w:tcPr>
            <w:tcW w:w="3283" w:type="pct"/>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Ansi="Calibri" w:hint="eastAsia"/>
                <w:color w:val="000000"/>
              </w:rPr>
              <w:t>2024</w:t>
            </w:r>
            <w:r>
              <w:rPr>
                <w:rFonts w:hAnsi="Calibri" w:hint="eastAsia"/>
                <w:color w:val="000000"/>
              </w:rPr>
              <w:t>年</w:t>
            </w:r>
            <w:r>
              <w:rPr>
                <w:rFonts w:hAnsi="Calibri" w:hint="eastAsia"/>
                <w:color w:val="000000"/>
              </w:rPr>
              <w:t>9</w:t>
            </w:r>
            <w:r>
              <w:rPr>
                <w:rFonts w:hAnsi="Calibri" w:hint="eastAsia"/>
                <w:color w:val="000000"/>
              </w:rPr>
              <w:t>月</w:t>
            </w:r>
            <w:r>
              <w:rPr>
                <w:rFonts w:hAnsi="Calibri" w:hint="eastAsia"/>
                <w:color w:val="000000"/>
              </w:rPr>
              <w:t>23</w:t>
            </w:r>
            <w:r>
              <w:rPr>
                <w:rFonts w:hAnsi="Calibri" w:hint="eastAsia"/>
                <w:color w:val="000000"/>
              </w:rPr>
              <w:t>日</w:t>
            </w:r>
          </w:p>
        </w:tc>
      </w:tr>
      <w:tr w:rsidR="00000000">
        <w:tc>
          <w:tcPr>
            <w:tcW w:w="1716" w:type="pct"/>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除息日</w:t>
            </w:r>
          </w:p>
        </w:tc>
        <w:tc>
          <w:tcPr>
            <w:tcW w:w="3283" w:type="pct"/>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Ansi="Calibri" w:hint="eastAsia"/>
                <w:color w:val="000000"/>
              </w:rPr>
              <w:t>2024</w:t>
            </w:r>
            <w:r>
              <w:rPr>
                <w:rFonts w:hAnsi="Calibri" w:hint="eastAsia"/>
                <w:color w:val="000000"/>
              </w:rPr>
              <w:t>年</w:t>
            </w:r>
            <w:r>
              <w:rPr>
                <w:rFonts w:hAnsi="Calibri" w:hint="eastAsia"/>
                <w:color w:val="000000"/>
              </w:rPr>
              <w:t>9</w:t>
            </w:r>
            <w:r>
              <w:rPr>
                <w:rFonts w:hAnsi="Calibri" w:hint="eastAsia"/>
                <w:color w:val="000000"/>
              </w:rPr>
              <w:t>月</w:t>
            </w:r>
            <w:r>
              <w:rPr>
                <w:rFonts w:hAnsi="Calibri" w:hint="eastAsia"/>
                <w:color w:val="000000"/>
              </w:rPr>
              <w:t>23</w:t>
            </w:r>
            <w:r>
              <w:rPr>
                <w:rFonts w:hAnsi="Calibri" w:hint="eastAsia"/>
                <w:color w:val="000000"/>
              </w:rPr>
              <w:t>日</w:t>
            </w:r>
          </w:p>
        </w:tc>
      </w:tr>
      <w:tr w:rsidR="00000000">
        <w:tc>
          <w:tcPr>
            <w:tcW w:w="1716" w:type="pct"/>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现金红利发放日</w:t>
            </w:r>
          </w:p>
        </w:tc>
        <w:tc>
          <w:tcPr>
            <w:tcW w:w="3283" w:type="pct"/>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t>202</w:t>
            </w:r>
            <w:r>
              <w:rPr>
                <w:rFonts w:hint="eastAsia"/>
              </w:rPr>
              <w:t>4</w:t>
            </w:r>
            <w:r>
              <w:t>年</w:t>
            </w:r>
            <w:r>
              <w:rPr>
                <w:rFonts w:hint="eastAsia"/>
              </w:rPr>
              <w:t>9</w:t>
            </w:r>
            <w:r>
              <w:t>月</w:t>
            </w:r>
            <w:r>
              <w:rPr>
                <w:rFonts w:hint="eastAsia"/>
              </w:rPr>
              <w:t>24</w:t>
            </w:r>
            <w:r>
              <w:t>日</w:t>
            </w:r>
          </w:p>
        </w:tc>
      </w:tr>
      <w:tr w:rsidR="00000000">
        <w:tc>
          <w:tcPr>
            <w:tcW w:w="1716" w:type="pct"/>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分红对象</w:t>
            </w:r>
          </w:p>
        </w:tc>
        <w:tc>
          <w:tcPr>
            <w:tcW w:w="3283" w:type="pct"/>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Ansi="Calibri" w:hint="eastAsia"/>
                <w:color w:val="000000"/>
              </w:rPr>
              <w:t>权益登记日在本基金管理人登记在册的本基金全体份额持有人。</w:t>
            </w:r>
          </w:p>
        </w:tc>
      </w:tr>
      <w:tr w:rsidR="00000000">
        <w:tc>
          <w:tcPr>
            <w:tcW w:w="1716" w:type="pct"/>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红利再投资相关事项的说明</w:t>
            </w:r>
          </w:p>
        </w:tc>
        <w:tc>
          <w:tcPr>
            <w:tcW w:w="3283" w:type="pct"/>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Ansi="Calibri" w:hint="eastAsia"/>
                <w:color w:val="000000"/>
              </w:rPr>
              <w:t>选择红利再投资方式的投资者，其红利将</w:t>
            </w:r>
            <w:r>
              <w:rPr>
                <w:rFonts w:hAnsi="Calibri" w:hint="eastAsia"/>
                <w:color w:val="000000"/>
              </w:rPr>
              <w:t>按</w:t>
            </w:r>
            <w:r>
              <w:t>202</w:t>
            </w:r>
            <w:r>
              <w:rPr>
                <w:rFonts w:hint="eastAsia"/>
              </w:rPr>
              <w:t>4</w:t>
            </w:r>
            <w:r>
              <w:t>年</w:t>
            </w:r>
            <w:r>
              <w:rPr>
                <w:rFonts w:hint="eastAsia"/>
              </w:rPr>
              <w:t>9</w:t>
            </w:r>
            <w:r>
              <w:t>月</w:t>
            </w:r>
            <w:r>
              <w:rPr>
                <w:rFonts w:hint="eastAsia"/>
              </w:rPr>
              <w:t>23</w:t>
            </w:r>
            <w:r>
              <w:t>日</w:t>
            </w:r>
            <w:r>
              <w:rPr>
                <w:rFonts w:hAnsi="Calibri" w:hint="eastAsia"/>
                <w:color w:val="000000"/>
              </w:rPr>
              <w:t>除息后的基金份额净值计算确定，注册登记人将于</w:t>
            </w:r>
            <w:r>
              <w:t>202</w:t>
            </w:r>
            <w:r>
              <w:rPr>
                <w:rFonts w:hint="eastAsia"/>
              </w:rPr>
              <w:t>4</w:t>
            </w:r>
            <w:r>
              <w:t>年</w:t>
            </w:r>
            <w:r>
              <w:rPr>
                <w:rFonts w:hint="eastAsia"/>
              </w:rPr>
              <w:t>9</w:t>
            </w:r>
            <w:r>
              <w:t>月</w:t>
            </w:r>
            <w:r>
              <w:rPr>
                <w:rFonts w:hint="eastAsia"/>
              </w:rPr>
              <w:t>24</w:t>
            </w:r>
            <w:r>
              <w:t>日</w:t>
            </w:r>
            <w:r>
              <w:rPr>
                <w:rFonts w:hAnsi="Calibri" w:hint="eastAsia"/>
                <w:color w:val="000000"/>
              </w:rPr>
              <w:t>对红利再投资的基金份额进行确认，本次红利再投资所得份额的持有期限自</w:t>
            </w:r>
            <w:r>
              <w:t>202</w:t>
            </w:r>
            <w:r>
              <w:rPr>
                <w:rFonts w:hint="eastAsia"/>
              </w:rPr>
              <w:t>4</w:t>
            </w:r>
            <w:r>
              <w:t>年</w:t>
            </w:r>
            <w:r>
              <w:rPr>
                <w:rFonts w:hint="eastAsia"/>
              </w:rPr>
              <w:t>9</w:t>
            </w:r>
            <w:r>
              <w:t>月</w:t>
            </w:r>
            <w:r>
              <w:rPr>
                <w:rFonts w:hint="eastAsia"/>
              </w:rPr>
              <w:t>24</w:t>
            </w:r>
            <w:r>
              <w:t>日</w:t>
            </w:r>
            <w:r>
              <w:rPr>
                <w:rFonts w:hAnsi="Calibri" w:hint="eastAsia"/>
                <w:color w:val="000000"/>
              </w:rPr>
              <w:t>开始计算，</w:t>
            </w:r>
            <w:r>
              <w:t>202</w:t>
            </w:r>
            <w:r>
              <w:rPr>
                <w:rFonts w:hint="eastAsia"/>
              </w:rPr>
              <w:t>4</w:t>
            </w:r>
            <w:r>
              <w:t>年</w:t>
            </w:r>
            <w:r>
              <w:rPr>
                <w:rFonts w:hint="eastAsia"/>
              </w:rPr>
              <w:t>9</w:t>
            </w:r>
            <w:r>
              <w:t>月</w:t>
            </w:r>
            <w:r>
              <w:rPr>
                <w:rFonts w:hint="eastAsia"/>
              </w:rPr>
              <w:t>2</w:t>
            </w:r>
            <w:r>
              <w:rPr>
                <w:rFonts w:hint="eastAsia"/>
              </w:rPr>
              <w:t>5</w:t>
            </w:r>
            <w:r>
              <w:t>日</w:t>
            </w:r>
            <w:r>
              <w:rPr>
                <w:rFonts w:hAnsi="Calibri" w:hint="eastAsia"/>
                <w:color w:val="000000"/>
              </w:rPr>
              <w:t>起投资者可以查询，本基金进入申购赎回开放期间投资者可以赎回。</w:t>
            </w:r>
          </w:p>
        </w:tc>
      </w:tr>
      <w:tr w:rsidR="00000000">
        <w:tc>
          <w:tcPr>
            <w:tcW w:w="1716" w:type="pct"/>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税收相关事项的说明</w:t>
            </w:r>
          </w:p>
        </w:tc>
        <w:tc>
          <w:tcPr>
            <w:tcW w:w="3283" w:type="pct"/>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根据财政部、国家税务总局的相关规定，基金向投资者分配的基金收益，暂免征收所得税。</w:t>
            </w:r>
          </w:p>
        </w:tc>
      </w:tr>
      <w:tr w:rsidR="00000000">
        <w:tc>
          <w:tcPr>
            <w:tcW w:w="1716" w:type="pct"/>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费用相关事项的说明</w:t>
            </w:r>
          </w:p>
        </w:tc>
        <w:tc>
          <w:tcPr>
            <w:tcW w:w="3283" w:type="pct"/>
            <w:tcBorders>
              <w:top w:val="single" w:sz="8" w:space="0" w:color="000000"/>
              <w:left w:val="single" w:sz="8" w:space="0" w:color="000000"/>
              <w:bottom w:val="single" w:sz="6" w:space="0" w:color="000000"/>
              <w:right w:val="single" w:sz="8" w:space="0" w:color="000000"/>
            </w:tcBorders>
            <w:vAlign w:val="center"/>
          </w:tcPr>
          <w:p w:rsidR="00000000" w:rsidRDefault="00E16D5C">
            <w:pPr>
              <w:pStyle w:val="biaogeleft"/>
              <w:wordWrap w:val="0"/>
            </w:pPr>
            <w:r>
              <w:rPr>
                <w:rFonts w:hint="eastAsia"/>
              </w:rPr>
              <w:t>本次分红免收分红手续费，选择红利再投资方式的投资者其由红利所转投的基金份额免收申购费用。</w:t>
            </w:r>
          </w:p>
        </w:tc>
      </w:tr>
    </w:tbl>
    <w:p w:rsidR="00000000" w:rsidRDefault="00E16D5C">
      <w:pPr>
        <w:pStyle w:val="neirong"/>
        <w:rPr>
          <w:rFonts w:hint="eastAsia"/>
        </w:rPr>
      </w:pPr>
      <w:r>
        <w:rPr>
          <w:rFonts w:hint="eastAsia"/>
        </w:rPr>
        <w:t>注：选择现金分红方式的投资者的</w:t>
      </w:r>
      <w:r>
        <w:rPr>
          <w:rFonts w:hint="eastAsia"/>
        </w:rPr>
        <w:t>红利款将于</w:t>
      </w:r>
      <w:r>
        <w:t>202</w:t>
      </w:r>
      <w:r>
        <w:rPr>
          <w:rFonts w:hint="eastAsia"/>
        </w:rPr>
        <w:t>4</w:t>
      </w:r>
      <w:r>
        <w:t>年</w:t>
      </w:r>
      <w:r>
        <w:rPr>
          <w:rFonts w:hint="eastAsia"/>
        </w:rPr>
        <w:t>9</w:t>
      </w:r>
      <w:r>
        <w:t>月</w:t>
      </w:r>
      <w:r>
        <w:rPr>
          <w:rFonts w:hint="eastAsia"/>
        </w:rPr>
        <w:t>24</w:t>
      </w:r>
      <w:r>
        <w:t>日</w:t>
      </w:r>
      <w:r>
        <w:rPr>
          <w:rFonts w:hint="eastAsia"/>
        </w:rPr>
        <w:t>自基金托管账户划出</w:t>
      </w:r>
      <w:r>
        <w:rPr>
          <w:rFonts w:hint="eastAsia"/>
        </w:rPr>
        <w:t>，</w:t>
      </w:r>
      <w:r>
        <w:rPr>
          <w:rFonts w:hint="eastAsia"/>
        </w:rPr>
        <w:t>基金管理人将于</w:t>
      </w:r>
      <w:r>
        <w:t>202</w:t>
      </w:r>
      <w:r>
        <w:rPr>
          <w:rFonts w:hint="eastAsia"/>
        </w:rPr>
        <w:t>4</w:t>
      </w:r>
      <w:r>
        <w:t>年</w:t>
      </w:r>
      <w:r>
        <w:rPr>
          <w:rFonts w:hint="eastAsia"/>
        </w:rPr>
        <w:t>9</w:t>
      </w:r>
      <w:r>
        <w:t>月</w:t>
      </w:r>
      <w:r>
        <w:rPr>
          <w:rFonts w:hint="eastAsia"/>
        </w:rPr>
        <w:t>24</w:t>
      </w:r>
      <w:r>
        <w:t>日</w:t>
      </w:r>
      <w:r>
        <w:rPr>
          <w:rFonts w:hint="eastAsia"/>
        </w:rPr>
        <w:t>将红利款划入销售机构账户。</w:t>
      </w:r>
    </w:p>
    <w:p w:rsidR="00000000" w:rsidRDefault="00E16D5C">
      <w:pPr>
        <w:widowControl/>
        <w:jc w:val="left"/>
        <w:rPr>
          <w:rFonts w:ascii="宋体" w:hAnsi="宋体" w:cs="宋体" w:hint="eastAsia"/>
          <w:kern w:val="0"/>
          <w:sz w:val="24"/>
          <w:szCs w:val="24"/>
        </w:rPr>
      </w:pPr>
    </w:p>
    <w:p w:rsidR="00000000" w:rsidRDefault="00E16D5C">
      <w:pPr>
        <w:pStyle w:val="dazhangjie"/>
        <w:rPr>
          <w:rFonts w:hint="eastAsia"/>
        </w:rPr>
      </w:pPr>
      <w:r>
        <w:rPr>
          <w:rFonts w:hint="eastAsia"/>
          <w:b/>
          <w:bCs/>
        </w:rPr>
        <w:t xml:space="preserve">3 </w:t>
      </w:r>
      <w:r>
        <w:rPr>
          <w:rFonts w:hint="eastAsia"/>
          <w:b/>
          <w:bCs/>
        </w:rPr>
        <w:t>其他需要提示的事项</w:t>
      </w:r>
    </w:p>
    <w:p w:rsidR="00000000" w:rsidRDefault="00E16D5C">
      <w:pPr>
        <w:pStyle w:val="neirong"/>
        <w:adjustRightInd/>
        <w:ind w:left="0" w:firstLineChars="200" w:firstLine="480"/>
        <w:rPr>
          <w:rFonts w:hint="eastAsia"/>
        </w:rPr>
      </w:pPr>
      <w:r>
        <w:rPr>
          <w:rFonts w:hint="eastAsia"/>
        </w:rPr>
        <w:t>（</w:t>
      </w:r>
      <w:r>
        <w:rPr>
          <w:rFonts w:hint="eastAsia"/>
        </w:rPr>
        <w:t>1</w:t>
      </w:r>
      <w:r>
        <w:rPr>
          <w:rFonts w:hint="eastAsia"/>
        </w:rPr>
        <w:t>）本次分红的权益登记日处于封闭运作期，权益登记日不能提交申购、赎回等申请。</w:t>
      </w:r>
      <w:r>
        <w:rPr>
          <w:rFonts w:hint="eastAsia"/>
        </w:rPr>
        <w:br/>
      </w:r>
      <w:r>
        <w:rPr>
          <w:rFonts w:hint="eastAsia"/>
        </w:rPr>
        <w:t xml:space="preserve">    </w:t>
      </w:r>
      <w:r>
        <w:rPr>
          <w:rFonts w:hint="eastAsia"/>
        </w:rPr>
        <w:t>（</w:t>
      </w:r>
      <w:r>
        <w:rPr>
          <w:rFonts w:hint="eastAsia"/>
        </w:rPr>
        <w:t>2</w:t>
      </w:r>
      <w:r>
        <w:rPr>
          <w:rFonts w:hint="eastAsia"/>
        </w:rPr>
        <w:t>）对于选择红利再投资方式的投资者，其红利再投资所得以</w:t>
      </w:r>
      <w:r>
        <w:t>202</w:t>
      </w:r>
      <w:r>
        <w:rPr>
          <w:rFonts w:hint="eastAsia"/>
        </w:rPr>
        <w:t>4</w:t>
      </w:r>
      <w:r>
        <w:t>年</w:t>
      </w:r>
      <w:r>
        <w:rPr>
          <w:rFonts w:hint="eastAsia"/>
        </w:rPr>
        <w:t>9</w:t>
      </w:r>
      <w:r>
        <w:t>月</w:t>
      </w:r>
      <w:r>
        <w:rPr>
          <w:rFonts w:hint="eastAsia"/>
        </w:rPr>
        <w:t>23</w:t>
      </w:r>
      <w:r>
        <w:t>日</w:t>
      </w:r>
      <w:r>
        <w:rPr>
          <w:rFonts w:hint="eastAsia"/>
        </w:rPr>
        <w:t>除息后的基金份额净值为计算基准确定再投资份额。</w:t>
      </w:r>
      <w:r>
        <w:rPr>
          <w:rFonts w:hint="eastAsia"/>
        </w:rPr>
        <w:br/>
      </w:r>
      <w:r>
        <w:rPr>
          <w:rFonts w:hint="eastAsia"/>
        </w:rPr>
        <w:t>  </w:t>
      </w:r>
      <w:r>
        <w:rPr>
          <w:rFonts w:hint="eastAsia"/>
        </w:rPr>
        <w:t>（</w:t>
      </w:r>
      <w:r>
        <w:rPr>
          <w:rFonts w:hint="eastAsia"/>
        </w:rPr>
        <w:t>3</w:t>
      </w:r>
      <w:r>
        <w:rPr>
          <w:rFonts w:hint="eastAsia"/>
        </w:rPr>
        <w:t>）对于未选择具体分红方式的投资者，本基金默认的分红方式为现金分红。</w:t>
      </w:r>
      <w:r>
        <w:rPr>
          <w:rFonts w:hint="eastAsia"/>
        </w:rPr>
        <w:br/>
      </w:r>
      <w:r>
        <w:rPr>
          <w:rFonts w:hint="eastAsia"/>
        </w:rPr>
        <w:t>  </w:t>
      </w:r>
      <w:r>
        <w:rPr>
          <w:rFonts w:hint="eastAsia"/>
        </w:rPr>
        <w:t>（</w:t>
      </w:r>
      <w:r>
        <w:rPr>
          <w:rFonts w:hint="eastAsia"/>
        </w:rPr>
        <w:t>4</w:t>
      </w:r>
      <w:r>
        <w:rPr>
          <w:rFonts w:hint="eastAsia"/>
        </w:rPr>
        <w:t>）投资者可以在基金工作日的交易时间内到销售机构网站或营业网点修改分红方</w:t>
      </w:r>
      <w:r>
        <w:rPr>
          <w:rFonts w:hint="eastAsia"/>
        </w:rPr>
        <w:lastRenderedPageBreak/>
        <w:t>式，本次</w:t>
      </w:r>
      <w:r>
        <w:rPr>
          <w:rFonts w:hint="eastAsia"/>
        </w:rPr>
        <w:t>分红确认的方式将按照投资者在权益登记日之前（不含权益登记日）最后一次选择成功的分红方式为准，在权益登记日及以后的修改对本次分红无效。投资者希望修改分红方式的，请务必在</w:t>
      </w:r>
      <w:r>
        <w:t>202</w:t>
      </w:r>
      <w:r>
        <w:rPr>
          <w:rFonts w:hint="eastAsia"/>
        </w:rPr>
        <w:t>4</w:t>
      </w:r>
      <w:r>
        <w:t>年</w:t>
      </w:r>
      <w:r>
        <w:rPr>
          <w:rFonts w:hint="eastAsia"/>
        </w:rPr>
        <w:t>9</w:t>
      </w:r>
      <w:r>
        <w:t>月</w:t>
      </w:r>
      <w:r>
        <w:rPr>
          <w:rFonts w:hint="eastAsia"/>
        </w:rPr>
        <w:t>20</w:t>
      </w:r>
      <w:r>
        <w:t>日</w:t>
      </w:r>
      <w:r>
        <w:rPr>
          <w:rFonts w:hint="eastAsia"/>
        </w:rPr>
        <w:t>15:00</w:t>
      </w:r>
      <w:r>
        <w:rPr>
          <w:rFonts w:hint="eastAsia"/>
        </w:rPr>
        <w:t>之前到销售机构网站或营业网点办理分红方式变更手续。</w:t>
      </w:r>
      <w:r>
        <w:rPr>
          <w:rFonts w:hint="eastAsia"/>
        </w:rPr>
        <w:br/>
      </w:r>
      <w:r>
        <w:rPr>
          <w:rFonts w:hint="eastAsia"/>
        </w:rPr>
        <w:t>  </w:t>
      </w:r>
      <w:r>
        <w:rPr>
          <w:rFonts w:hint="eastAsia"/>
        </w:rPr>
        <w:t>（</w:t>
      </w:r>
      <w:r>
        <w:rPr>
          <w:rFonts w:hint="eastAsia"/>
        </w:rPr>
        <w:t>5</w:t>
      </w:r>
      <w:r>
        <w:rPr>
          <w:rFonts w:hint="eastAsia"/>
        </w:rPr>
        <w:t>）本基金管理人承诺以诚实信用、勤勉尽责的原则管理和运用基金资产。基金管理人不保证基金一定盈利，也不保证最低收益。基金管理人提醒投资人基金投资的“买者自负”原则，请投资者认真阅读《中信建投稳悦一年定期开放债券型发起式证券投资基金基金合同》、《中信建投稳悦一年</w:t>
      </w:r>
      <w:r>
        <w:rPr>
          <w:rFonts w:hint="eastAsia"/>
        </w:rPr>
        <w:t>定期开放债券型发起式证券投资基金招募说明书》等基金法律文件。因分红导致基金净值变化不会改变基金的风险收益特征，不会降低基金投资风险或提高基金投资收益。因分红导致基金份额净值调整至</w:t>
      </w:r>
      <w:r>
        <w:rPr>
          <w:rFonts w:hint="eastAsia"/>
        </w:rPr>
        <w:t>1</w:t>
      </w:r>
      <w:r>
        <w:rPr>
          <w:rFonts w:hint="eastAsia"/>
        </w:rPr>
        <w:t>元附近，在市场波动等因素的影响下，基金投资仍有可能出现亏损或基金份额净值低于初始面值的情况。</w:t>
      </w:r>
      <w:r>
        <w:rPr>
          <w:rFonts w:hint="eastAsia"/>
        </w:rPr>
        <w:br/>
      </w:r>
      <w:r>
        <w:rPr>
          <w:rFonts w:hint="eastAsia"/>
        </w:rPr>
        <w:t>  </w:t>
      </w:r>
      <w:r>
        <w:rPr>
          <w:rFonts w:hint="eastAsia"/>
        </w:rPr>
        <w:t>（</w:t>
      </w:r>
      <w:r>
        <w:rPr>
          <w:rFonts w:hint="eastAsia"/>
        </w:rPr>
        <w:t>6</w:t>
      </w:r>
      <w:r>
        <w:rPr>
          <w:rFonts w:hint="eastAsia"/>
        </w:rPr>
        <w:t>）销售机构及咨询方式</w:t>
      </w:r>
      <w:r>
        <w:rPr>
          <w:rFonts w:hint="eastAsia"/>
        </w:rPr>
        <w:br/>
      </w:r>
      <w:r>
        <w:rPr>
          <w:rFonts w:hint="eastAsia"/>
        </w:rPr>
        <w:t>  1</w:t>
      </w:r>
      <w:r>
        <w:rPr>
          <w:rFonts w:hint="eastAsia"/>
        </w:rPr>
        <w:t>）直销机构</w:t>
      </w:r>
      <w:r>
        <w:rPr>
          <w:rFonts w:hint="eastAsia"/>
        </w:rPr>
        <w:br/>
      </w:r>
      <w:r>
        <w:rPr>
          <w:rFonts w:hint="eastAsia"/>
        </w:rPr>
        <w:t>  </w:t>
      </w:r>
      <w:r>
        <w:rPr>
          <w:rFonts w:hint="eastAsia"/>
        </w:rPr>
        <w:t>中信建投基金管理有限公司</w:t>
      </w:r>
      <w:r>
        <w:rPr>
          <w:rFonts w:hint="eastAsia"/>
        </w:rPr>
        <w:br/>
      </w:r>
      <w:r>
        <w:rPr>
          <w:rFonts w:hint="eastAsia"/>
        </w:rPr>
        <w:t>  </w:t>
      </w:r>
      <w:r>
        <w:rPr>
          <w:rFonts w:hint="eastAsia"/>
        </w:rPr>
        <w:t>网址：</w:t>
      </w:r>
      <w:r>
        <w:rPr>
          <w:rFonts w:hint="eastAsia"/>
        </w:rPr>
        <w:t>www.cfund108.com</w:t>
      </w:r>
      <w:r>
        <w:rPr>
          <w:rFonts w:hint="eastAsia"/>
        </w:rPr>
        <w:br/>
      </w:r>
      <w:r>
        <w:rPr>
          <w:rFonts w:hint="eastAsia"/>
        </w:rPr>
        <w:t>  </w:t>
      </w:r>
      <w:r>
        <w:rPr>
          <w:rFonts w:hint="eastAsia"/>
        </w:rPr>
        <w:t>联系电话：</w:t>
      </w:r>
      <w:r>
        <w:rPr>
          <w:rFonts w:hint="eastAsia"/>
        </w:rPr>
        <w:t>4009-108-108</w:t>
      </w:r>
      <w:r>
        <w:rPr>
          <w:rFonts w:hint="eastAsia"/>
        </w:rPr>
        <w:br/>
      </w:r>
      <w:r>
        <w:rPr>
          <w:rFonts w:hint="eastAsia"/>
        </w:rPr>
        <w:t>  2</w:t>
      </w:r>
      <w:r>
        <w:rPr>
          <w:rFonts w:hint="eastAsia"/>
        </w:rPr>
        <w:t>）代销机构</w:t>
      </w:r>
      <w:r>
        <w:rPr>
          <w:rFonts w:hint="eastAsia"/>
        </w:rPr>
        <w:br/>
      </w:r>
      <w:r>
        <w:rPr>
          <w:rFonts w:hint="eastAsia"/>
        </w:rPr>
        <w:t>  </w:t>
      </w:r>
      <w:r>
        <w:rPr>
          <w:rFonts w:hint="eastAsia"/>
        </w:rPr>
        <w:t>本基金各代销机构相关信息详见本基金管理人网站。</w:t>
      </w:r>
    </w:p>
    <w:p w:rsidR="00000000" w:rsidRDefault="00E16D5C">
      <w:pPr>
        <w:pStyle w:val="neirong"/>
        <w:adjustRightInd/>
        <w:ind w:left="0" w:firstLineChars="200" w:firstLine="480"/>
      </w:pPr>
      <w:r>
        <w:rPr>
          <w:rFonts w:hint="eastAsia"/>
        </w:rPr>
        <w:t>（</w:t>
      </w:r>
      <w:r>
        <w:rPr>
          <w:rFonts w:hint="eastAsia"/>
        </w:rPr>
        <w:t>7</w:t>
      </w:r>
      <w:r>
        <w:rPr>
          <w:rFonts w:hint="eastAsia"/>
        </w:rPr>
        <w:t>）</w:t>
      </w:r>
      <w:r>
        <w:rPr>
          <w:rFonts w:hint="eastAsia"/>
        </w:rPr>
        <w:t>本基金不向个人投资者公开销售。</w:t>
      </w:r>
    </w:p>
    <w:p w:rsidR="00000000" w:rsidRDefault="00E16D5C">
      <w:pPr>
        <w:pStyle w:val="neirong"/>
        <w:rPr>
          <w:rFonts w:hint="eastAsia"/>
        </w:rPr>
      </w:pPr>
    </w:p>
    <w:p w:rsidR="00000000" w:rsidRDefault="00E16D5C">
      <w:pPr>
        <w:pStyle w:val="neirong"/>
        <w:rPr>
          <w:rFonts w:hint="eastAsia"/>
        </w:rPr>
      </w:pPr>
    </w:p>
    <w:p w:rsidR="00000000" w:rsidRDefault="00E16D5C">
      <w:pPr>
        <w:pStyle w:val="biaogeright"/>
        <w:rPr>
          <w:rFonts w:hint="eastAsia"/>
        </w:rPr>
      </w:pPr>
      <w:r>
        <w:rPr>
          <w:rFonts w:hAnsi="Calibri" w:hint="eastAsia"/>
          <w:color w:val="000000"/>
        </w:rPr>
        <w:t>中信建投基金管理有限公司</w:t>
      </w:r>
    </w:p>
    <w:p w:rsidR="00000000" w:rsidRDefault="00E16D5C">
      <w:pPr>
        <w:pStyle w:val="biaogeright"/>
        <w:rPr>
          <w:rFonts w:hint="eastAsia"/>
        </w:rPr>
      </w:pPr>
      <w:r>
        <w:t>202</w:t>
      </w:r>
      <w:r>
        <w:rPr>
          <w:rFonts w:hint="eastAsia"/>
        </w:rPr>
        <w:t>4</w:t>
      </w:r>
      <w:r>
        <w:t>年</w:t>
      </w:r>
      <w:r>
        <w:rPr>
          <w:rFonts w:hint="eastAsia"/>
        </w:rPr>
        <w:t>9</w:t>
      </w:r>
      <w:r>
        <w:t>月</w:t>
      </w:r>
      <w:r>
        <w:rPr>
          <w:rFonts w:hint="eastAsia"/>
        </w:rPr>
        <w:t>20</w:t>
      </w:r>
      <w:r>
        <w:t>日</w:t>
      </w:r>
    </w:p>
    <w:sectPr w:rsidR="00000000">
      <w:pgSz w:w="11926" w:h="15840"/>
      <w:pgMar w:top="1418" w:right="1418" w:bottom="853" w:left="1418" w:header="851" w:footer="992" w:gutter="0"/>
      <w:cols w:space="720"/>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720"/>
  <w:noPunctuationKerning/>
  <w:characterSpacingControl w:val="compressPunctuation"/>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U4NGJkMTRkYjFkZmU0NzFjM2Y4YzhkZmUyODE4ZWUifQ=="/>
  </w:docVars>
  <w:rsids>
    <w:rsidRoot w:val="00BC4A92"/>
    <w:rsid w:val="0002240B"/>
    <w:rsid w:val="000A7518"/>
    <w:rsid w:val="00122529"/>
    <w:rsid w:val="00211E2A"/>
    <w:rsid w:val="003F51C3"/>
    <w:rsid w:val="00476EFF"/>
    <w:rsid w:val="00614E34"/>
    <w:rsid w:val="006801EB"/>
    <w:rsid w:val="007A3E5F"/>
    <w:rsid w:val="00957B89"/>
    <w:rsid w:val="009D3839"/>
    <w:rsid w:val="00AB4A4E"/>
    <w:rsid w:val="00B90D1B"/>
    <w:rsid w:val="00BC4A92"/>
    <w:rsid w:val="00C5308D"/>
    <w:rsid w:val="00DA4C5E"/>
    <w:rsid w:val="00E16D5C"/>
    <w:rsid w:val="00F811F3"/>
    <w:rsid w:val="01CE040D"/>
    <w:rsid w:val="02871F98"/>
    <w:rsid w:val="0EE676A7"/>
    <w:rsid w:val="17480CA6"/>
    <w:rsid w:val="1C917425"/>
    <w:rsid w:val="25F828DB"/>
    <w:rsid w:val="2F7D7808"/>
    <w:rsid w:val="36D94D86"/>
    <w:rsid w:val="3DE17846"/>
    <w:rsid w:val="416F6A51"/>
    <w:rsid w:val="4795234F"/>
    <w:rsid w:val="4A4E597E"/>
    <w:rsid w:val="53063CB6"/>
    <w:rsid w:val="5C5077EC"/>
    <w:rsid w:val="632E3BB5"/>
    <w:rsid w:val="68343328"/>
    <w:rsid w:val="73FA2299"/>
    <w:rsid w:val="743806E7"/>
    <w:rsid w:val="7BB83D4F"/>
    <w:rsid w:val="7D2F2D73"/>
    <w:rsid w:val="7F5B40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character" w:customStyle="1" w:styleId="Char">
    <w:name w:val="批注框文本 Char"/>
    <w:link w:val="a3"/>
    <w:uiPriority w:val="99"/>
    <w:semiHidden/>
    <w:rPr>
      <w:kern w:val="2"/>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link w:val="a4"/>
    <w:uiPriority w:val="99"/>
    <w:semiHidden/>
    <w:locked/>
    <w:rPr>
      <w:rFonts w:ascii="Times New Roman" w:hAnsi="Times New Roman" w:cs="Times New Roman" w:hint="default"/>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semiHidden/>
    <w:locked/>
    <w:rPr>
      <w:rFonts w:ascii="Times New Roman" w:hAnsi="Times New Roman" w:cs="Times New Roman" w:hint="default"/>
      <w:sz w:val="18"/>
      <w:szCs w:val="18"/>
    </w:rPr>
  </w:style>
  <w:style w:type="paragraph" w:customStyle="1" w:styleId="hide">
    <w:name w:val="hide"/>
    <w:basedOn w:val="a"/>
    <w:pPr>
      <w:widowControl/>
      <w:spacing w:before="100" w:beforeAutospacing="1" w:after="100" w:afterAutospacing="1"/>
      <w:jc w:val="left"/>
    </w:pPr>
    <w:rPr>
      <w:rFonts w:ascii="宋体" w:hAnsi="宋体" w:cs="宋体"/>
      <w:vanish/>
      <w:kern w:val="0"/>
      <w:sz w:val="24"/>
      <w:szCs w:val="24"/>
    </w:rPr>
  </w:style>
  <w:style w:type="paragraph" w:customStyle="1" w:styleId="biaogecenter">
    <w:name w:val="biaoge_center"/>
    <w:basedOn w:val="a"/>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zhangjiep">
    <w:name w:val="zhangjie_p"/>
    <w:basedOn w:val="a"/>
    <w:pPr>
      <w:widowControl/>
      <w:autoSpaceDE w:val="0"/>
      <w:autoSpaceDN w:val="0"/>
      <w:adjustRightInd w:val="0"/>
      <w:spacing w:before="24" w:line="288" w:lineRule="auto"/>
      <w:ind w:left="15"/>
      <w:jc w:val="left"/>
      <w:outlineLvl w:val="1"/>
    </w:pPr>
    <w:rPr>
      <w:rFonts w:ascii="宋体" w:hAnsi="宋体" w:cs="宋体"/>
      <w:kern w:val="0"/>
      <w:sz w:val="24"/>
      <w:szCs w:val="24"/>
    </w:rPr>
  </w:style>
  <w:style w:type="paragraph" w:customStyle="1" w:styleId="dazhangjie">
    <w:name w:val="dazhangjie"/>
    <w:basedOn w:val="a"/>
    <w:pPr>
      <w:widowControl/>
      <w:autoSpaceDE w:val="0"/>
      <w:autoSpaceDN w:val="0"/>
      <w:adjustRightInd w:val="0"/>
      <w:spacing w:before="30" w:line="288" w:lineRule="auto"/>
      <w:ind w:left="15"/>
      <w:jc w:val="left"/>
      <w:outlineLvl w:val="0"/>
    </w:pPr>
    <w:rPr>
      <w:rFonts w:ascii="宋体" w:hAnsi="宋体" w:cs="宋体"/>
      <w:kern w:val="0"/>
      <w:sz w:val="24"/>
      <w:szCs w:val="24"/>
    </w:rPr>
  </w:style>
  <w:style w:type="paragraph" w:customStyle="1" w:styleId="show">
    <w:name w:val="show"/>
    <w:basedOn w:val="a"/>
    <w:pPr>
      <w:widowControl/>
      <w:spacing w:before="100" w:beforeAutospacing="1" w:after="100" w:afterAutospacing="1"/>
      <w:jc w:val="left"/>
    </w:pPr>
    <w:rPr>
      <w:rFonts w:ascii="宋体" w:hAnsi="宋体" w:cs="宋体"/>
      <w:kern w:val="0"/>
      <w:sz w:val="24"/>
      <w:szCs w:val="24"/>
    </w:rPr>
  </w:style>
  <w:style w:type="paragraph" w:customStyle="1" w:styleId="zhangjiep2">
    <w:name w:val="zhangjie_p2"/>
    <w:basedOn w:val="a"/>
    <w:pPr>
      <w:widowControl/>
      <w:autoSpaceDE w:val="0"/>
      <w:autoSpaceDN w:val="0"/>
      <w:adjustRightInd w:val="0"/>
      <w:spacing w:before="24" w:line="288" w:lineRule="auto"/>
      <w:ind w:left="15"/>
      <w:jc w:val="left"/>
    </w:pPr>
    <w:rPr>
      <w:rFonts w:ascii="宋体" w:hAnsi="宋体" w:cs="宋体"/>
      <w:kern w:val="0"/>
      <w:sz w:val="24"/>
      <w:szCs w:val="24"/>
    </w:rPr>
  </w:style>
  <w:style w:type="paragraph" w:customStyle="1" w:styleId="msonormalnone">
    <w:name w:val="msonormal_none"/>
    <w:qFormat/>
    <w:pPr>
      <w:widowControl w:val="0"/>
    </w:pPr>
    <w:rPr>
      <w:kern w:val="2"/>
      <w:sz w:val="21"/>
      <w:szCs w:val="22"/>
    </w:rPr>
  </w:style>
  <w:style w:type="paragraph" w:customStyle="1" w:styleId="msonormal1">
    <w:name w:val="msonormal1"/>
    <w:qFormat/>
    <w:pPr>
      <w:widowControl w:val="0"/>
      <w:jc w:val="both"/>
    </w:pPr>
    <w:rPr>
      <w:kern w:val="2"/>
      <w:sz w:val="21"/>
      <w:szCs w:val="22"/>
    </w:rPr>
  </w:style>
  <w:style w:type="paragraph" w:customStyle="1" w:styleId="biaogeleft1">
    <w:name w:val="biaoge_left1"/>
    <w:basedOn w:val="a"/>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neirong">
    <w:name w:val="neirong"/>
    <w:basedOn w:val="a"/>
    <w:pPr>
      <w:widowControl/>
      <w:autoSpaceDE w:val="0"/>
      <w:autoSpaceDN w:val="0"/>
      <w:adjustRightInd w:val="0"/>
      <w:spacing w:before="29" w:line="360" w:lineRule="auto"/>
      <w:ind w:left="15"/>
      <w:jc w:val="left"/>
    </w:pPr>
    <w:rPr>
      <w:rFonts w:ascii="宋体" w:hAnsi="宋体" w:cs="宋体"/>
      <w:kern w:val="0"/>
      <w:sz w:val="24"/>
      <w:szCs w:val="24"/>
    </w:rPr>
  </w:style>
  <w:style w:type="paragraph" w:customStyle="1" w:styleId="zhongyaotishi">
    <w:name w:val="zhongyaotishi"/>
    <w:basedOn w:val="a"/>
    <w:pPr>
      <w:widowControl/>
      <w:autoSpaceDE w:val="0"/>
      <w:autoSpaceDN w:val="0"/>
      <w:adjustRightInd w:val="0"/>
      <w:spacing w:before="30" w:line="288" w:lineRule="auto"/>
      <w:ind w:left="15" w:firstLine="482"/>
      <w:jc w:val="left"/>
    </w:pPr>
    <w:rPr>
      <w:rFonts w:ascii="宋体" w:hAnsi="宋体" w:cs="宋体"/>
      <w:kern w:val="0"/>
      <w:sz w:val="24"/>
      <w:szCs w:val="24"/>
    </w:rPr>
  </w:style>
  <w:style w:type="paragraph" w:customStyle="1" w:styleId="msonormalfy">
    <w:name w:val="msonormalfy"/>
    <w:qFormat/>
    <w:pPr>
      <w:widowControl w:val="0"/>
      <w:jc w:val="center"/>
    </w:pPr>
    <w:rPr>
      <w:kern w:val="2"/>
      <w:sz w:val="33"/>
      <w:szCs w:val="22"/>
    </w:rPr>
  </w:style>
  <w:style w:type="paragraph" w:customStyle="1" w:styleId="biaogeright">
    <w:name w:val="biaoge_right"/>
    <w:basedOn w:val="a"/>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biaogeleft">
    <w:name w:val="biaoge_left"/>
    <w:basedOn w:val="a"/>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biaogeright1">
    <w:name w:val="biaoge_right1"/>
    <w:basedOn w:val="a"/>
    <w:pPr>
      <w:widowControl/>
      <w:autoSpaceDE w:val="0"/>
      <w:autoSpaceDN w:val="0"/>
      <w:adjustRightInd w:val="0"/>
      <w:spacing w:before="29" w:line="288" w:lineRule="auto"/>
      <w:ind w:left="15"/>
      <w:jc w:val="righ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273</Words>
  <Characters>1561</Characters>
  <Application>Microsoft Office Word</Application>
  <DocSecurity>4</DocSecurity>
  <Lines>13</Lines>
  <Paragraphs>3</Paragraphs>
  <ScaleCrop>false</ScaleCrop>
  <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kehui</dc:creator>
  <cp:keywords/>
  <dc:description/>
  <cp:lastModifiedBy>ZHONGM</cp:lastModifiedBy>
  <cp:revision>2</cp:revision>
  <dcterms:created xsi:type="dcterms:W3CDTF">2024-09-19T16:02:00Z</dcterms:created>
  <dcterms:modified xsi:type="dcterms:W3CDTF">2024-09-19T16:02:00Z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1F200E015A7F4035AB9A14CE4ECE3A08</vt:lpwstr>
  </property>
</Properties>
</file>