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1EF8" w:rsidRDefault="00136DE4">
      <w:pPr>
        <w:jc w:val="center"/>
        <w:rPr>
          <w:rFonts w:asciiTheme="majorEastAsia" w:eastAsiaTheme="majorEastAsia" w:hAnsiTheme="majorEastAsia"/>
          <w:bCs/>
          <w:sz w:val="40"/>
          <w:szCs w:val="40"/>
        </w:rPr>
      </w:pPr>
      <w:bookmarkStart w:id="0" w:name="t_6_0_table"/>
      <w:bookmarkStart w:id="1" w:name="_GoBack"/>
      <w:bookmarkEnd w:id="0"/>
      <w:bookmarkEnd w:id="1"/>
      <w:r>
        <w:rPr>
          <w:rFonts w:asciiTheme="majorEastAsia" w:eastAsiaTheme="majorEastAsia" w:hAnsiTheme="majorEastAsia" w:hint="eastAsia"/>
          <w:bCs/>
          <w:sz w:val="40"/>
          <w:szCs w:val="40"/>
        </w:rPr>
        <w:t>兴业丰泰债券型证券投资基金</w:t>
      </w:r>
    </w:p>
    <w:p w:rsidR="00871EF8" w:rsidRDefault="00D10E4D">
      <w:pPr>
        <w:jc w:val="center"/>
        <w:rPr>
          <w:rFonts w:asciiTheme="majorEastAsia" w:eastAsiaTheme="majorEastAsia" w:hAnsiTheme="majorEastAsia"/>
          <w:sz w:val="28"/>
          <w:szCs w:val="28"/>
        </w:rPr>
      </w:pPr>
      <w:bookmarkStart w:id="2" w:name="t_6_0_0002_a2_fm1"/>
      <w:bookmarkEnd w:id="2"/>
      <w:r>
        <w:rPr>
          <w:rFonts w:asciiTheme="majorEastAsia" w:eastAsiaTheme="majorEastAsia" w:hAnsiTheme="majorEastAsia" w:hint="eastAsia"/>
          <w:bCs/>
          <w:sz w:val="44"/>
          <w:szCs w:val="40"/>
        </w:rPr>
        <w:t>2024</w:t>
      </w:r>
      <w:r w:rsidR="00136DE4">
        <w:rPr>
          <w:rFonts w:asciiTheme="majorEastAsia" w:eastAsiaTheme="majorEastAsia" w:hAnsiTheme="majorEastAsia"/>
          <w:bCs/>
          <w:sz w:val="44"/>
          <w:szCs w:val="40"/>
        </w:rPr>
        <w:t>年第</w:t>
      </w:r>
      <w:r w:rsidR="00A552C6">
        <w:rPr>
          <w:rFonts w:asciiTheme="majorEastAsia" w:eastAsiaTheme="majorEastAsia" w:hAnsiTheme="majorEastAsia"/>
          <w:bCs/>
          <w:sz w:val="44"/>
          <w:szCs w:val="40"/>
        </w:rPr>
        <w:t>3</w:t>
      </w:r>
      <w:r w:rsidR="00136DE4">
        <w:rPr>
          <w:rFonts w:asciiTheme="majorEastAsia" w:eastAsiaTheme="majorEastAsia" w:hAnsiTheme="majorEastAsia"/>
          <w:bCs/>
          <w:sz w:val="44"/>
          <w:szCs w:val="40"/>
        </w:rPr>
        <w:t>次分红公告</w:t>
      </w:r>
    </w:p>
    <w:p w:rsidR="00871EF8" w:rsidRDefault="00871EF8">
      <w:pPr>
        <w:jc w:val="center"/>
        <w:rPr>
          <w:rFonts w:asciiTheme="majorEastAsia" w:eastAsiaTheme="majorEastAsia" w:hAnsiTheme="majorEastAsia"/>
          <w:bCs/>
          <w:sz w:val="24"/>
          <w:szCs w:val="24"/>
        </w:rPr>
      </w:pPr>
    </w:p>
    <w:p w:rsidR="00871EF8" w:rsidRDefault="00136DE4">
      <w:pPr>
        <w:jc w:val="center"/>
        <w:rPr>
          <w:rFonts w:asciiTheme="majorEastAsia" w:eastAsiaTheme="majorEastAsia" w:hAnsiTheme="majorEastAsia"/>
        </w:rPr>
      </w:pPr>
      <w:r>
        <w:rPr>
          <w:rFonts w:asciiTheme="majorEastAsia" w:eastAsiaTheme="majorEastAsia" w:hAnsiTheme="majorEastAsia" w:hint="eastAsia"/>
          <w:bCs/>
          <w:sz w:val="24"/>
          <w:szCs w:val="24"/>
        </w:rPr>
        <w:t>公告</w:t>
      </w:r>
      <w:r>
        <w:rPr>
          <w:rFonts w:asciiTheme="majorEastAsia" w:eastAsiaTheme="majorEastAsia" w:hAnsiTheme="majorEastAsia"/>
          <w:bCs/>
          <w:sz w:val="24"/>
          <w:szCs w:val="24"/>
        </w:rPr>
        <w:t>送出日期：</w:t>
      </w:r>
      <w:bookmarkStart w:id="3" w:name="t_6_0_0003_a1_fm1"/>
      <w:bookmarkEnd w:id="3"/>
      <w:r w:rsidR="00A552C6" w:rsidRPr="00A552C6">
        <w:rPr>
          <w:rFonts w:asciiTheme="majorEastAsia" w:eastAsiaTheme="majorEastAsia" w:hAnsiTheme="majorEastAsia" w:hint="eastAsia"/>
          <w:bCs/>
          <w:sz w:val="24"/>
          <w:szCs w:val="24"/>
        </w:rPr>
        <w:t>2024年9月20日</w:t>
      </w:r>
    </w:p>
    <w:p w:rsidR="00871EF8" w:rsidRDefault="00136DE4" w:rsidP="00C5388B">
      <w:pPr>
        <w:pStyle w:val="2"/>
        <w:spacing w:beforeLines="50" w:afterLines="50" w:line="240" w:lineRule="auto"/>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bookmarkStart w:id="4" w:name="t_qh_6_1_table"/>
      <w:bookmarkEnd w:id="4"/>
      <w:r>
        <w:rPr>
          <w:rFonts w:asciiTheme="majorEastAsia" w:eastAsiaTheme="majorEastAsia" w:hAnsiTheme="majorEastAsia" w:hint="eastAsia"/>
          <w:bCs/>
          <w:sz w:val="24"/>
          <w:szCs w:val="24"/>
        </w:rPr>
        <w:t xml:space="preserve"> 公告基本信息</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3"/>
        <w:gridCol w:w="2722"/>
        <w:gridCol w:w="3949"/>
      </w:tblGrid>
      <w:tr w:rsidR="00871EF8">
        <w:trPr>
          <w:trHeight w:val="296"/>
          <w:jc w:val="center"/>
        </w:trPr>
        <w:tc>
          <w:tcPr>
            <w:tcW w:w="4795" w:type="dxa"/>
            <w:gridSpan w:val="2"/>
          </w:tcPr>
          <w:p w:rsidR="00871EF8" w:rsidRDefault="00136DE4">
            <w:pPr>
              <w:rPr>
                <w:rFonts w:asciiTheme="majorEastAsia" w:eastAsiaTheme="majorEastAsia" w:hAnsiTheme="majorEastAsia"/>
                <w:szCs w:val="21"/>
              </w:rPr>
            </w:pPr>
            <w:r>
              <w:rPr>
                <w:rFonts w:asciiTheme="majorEastAsia" w:eastAsiaTheme="majorEastAsia" w:hAnsiTheme="majorEastAsia" w:hint="eastAsia"/>
                <w:szCs w:val="21"/>
              </w:rPr>
              <w:t>基金名称</w:t>
            </w:r>
          </w:p>
        </w:tc>
        <w:tc>
          <w:tcPr>
            <w:tcW w:w="3949" w:type="dxa"/>
          </w:tcPr>
          <w:p w:rsidR="00871EF8" w:rsidRDefault="00136DE4">
            <w:pPr>
              <w:rPr>
                <w:rFonts w:asciiTheme="majorEastAsia" w:eastAsiaTheme="majorEastAsia" w:hAnsiTheme="majorEastAsia"/>
                <w:szCs w:val="21"/>
              </w:rPr>
            </w:pPr>
            <w:bookmarkStart w:id="5" w:name="t_qh_6_1_0009_a1_fm1"/>
            <w:bookmarkEnd w:id="5"/>
            <w:r>
              <w:rPr>
                <w:rFonts w:asciiTheme="majorEastAsia" w:eastAsiaTheme="majorEastAsia" w:hAnsiTheme="majorEastAsia" w:hint="eastAsia"/>
                <w:szCs w:val="21"/>
              </w:rPr>
              <w:t>兴业丰泰债券型证券投资基金</w:t>
            </w:r>
          </w:p>
        </w:tc>
      </w:tr>
      <w:tr w:rsidR="00871EF8">
        <w:trPr>
          <w:trHeight w:val="312"/>
          <w:jc w:val="center"/>
        </w:trPr>
        <w:tc>
          <w:tcPr>
            <w:tcW w:w="4795" w:type="dxa"/>
            <w:gridSpan w:val="2"/>
          </w:tcPr>
          <w:p w:rsidR="00871EF8" w:rsidRDefault="00136DE4">
            <w:pPr>
              <w:rPr>
                <w:rFonts w:asciiTheme="majorEastAsia" w:eastAsiaTheme="majorEastAsia" w:hAnsiTheme="majorEastAsia"/>
                <w:szCs w:val="21"/>
              </w:rPr>
            </w:pPr>
            <w:r>
              <w:rPr>
                <w:rFonts w:asciiTheme="majorEastAsia" w:eastAsiaTheme="majorEastAsia" w:hAnsiTheme="majorEastAsia" w:hint="eastAsia"/>
                <w:szCs w:val="21"/>
              </w:rPr>
              <w:t>基金简称</w:t>
            </w:r>
          </w:p>
        </w:tc>
        <w:tc>
          <w:tcPr>
            <w:tcW w:w="3949" w:type="dxa"/>
          </w:tcPr>
          <w:p w:rsidR="00871EF8" w:rsidRDefault="00136DE4">
            <w:pPr>
              <w:rPr>
                <w:rFonts w:asciiTheme="majorEastAsia" w:eastAsiaTheme="majorEastAsia" w:hAnsiTheme="majorEastAsia"/>
                <w:szCs w:val="21"/>
              </w:rPr>
            </w:pPr>
            <w:bookmarkStart w:id="6" w:name="t_qh_6_1_0011_a1_fm1"/>
            <w:bookmarkEnd w:id="6"/>
            <w:r>
              <w:rPr>
                <w:rFonts w:asciiTheme="majorEastAsia" w:eastAsiaTheme="majorEastAsia" w:hAnsiTheme="majorEastAsia" w:hint="eastAsia"/>
                <w:szCs w:val="21"/>
              </w:rPr>
              <w:t>兴业丰泰债券</w:t>
            </w:r>
          </w:p>
        </w:tc>
      </w:tr>
      <w:tr w:rsidR="00871EF8">
        <w:trPr>
          <w:trHeight w:val="296"/>
          <w:jc w:val="center"/>
        </w:trPr>
        <w:tc>
          <w:tcPr>
            <w:tcW w:w="4795" w:type="dxa"/>
            <w:gridSpan w:val="2"/>
          </w:tcPr>
          <w:p w:rsidR="00871EF8" w:rsidRDefault="00136DE4">
            <w:pPr>
              <w:rPr>
                <w:rFonts w:asciiTheme="majorEastAsia" w:eastAsiaTheme="majorEastAsia" w:hAnsiTheme="majorEastAsia"/>
                <w:szCs w:val="21"/>
              </w:rPr>
            </w:pPr>
            <w:r>
              <w:rPr>
                <w:rFonts w:asciiTheme="majorEastAsia" w:eastAsiaTheme="majorEastAsia" w:hAnsiTheme="majorEastAsia" w:hint="eastAsia"/>
                <w:szCs w:val="21"/>
              </w:rPr>
              <w:t>基金主代码</w:t>
            </w:r>
          </w:p>
        </w:tc>
        <w:tc>
          <w:tcPr>
            <w:tcW w:w="3949" w:type="dxa"/>
          </w:tcPr>
          <w:p w:rsidR="00871EF8" w:rsidRDefault="00136DE4">
            <w:pPr>
              <w:rPr>
                <w:rFonts w:asciiTheme="majorEastAsia" w:eastAsiaTheme="majorEastAsia" w:hAnsiTheme="majorEastAsia"/>
                <w:color w:val="000000"/>
              </w:rPr>
            </w:pPr>
            <w:bookmarkStart w:id="7" w:name="t_qh_6_1_0012_a1_fm1"/>
            <w:bookmarkEnd w:id="7"/>
            <w:r>
              <w:rPr>
                <w:rFonts w:asciiTheme="majorEastAsia" w:eastAsiaTheme="majorEastAsia" w:hAnsiTheme="majorEastAsia" w:hint="eastAsia"/>
                <w:color w:val="000000"/>
              </w:rPr>
              <w:t>002445</w:t>
            </w:r>
          </w:p>
        </w:tc>
      </w:tr>
      <w:tr w:rsidR="00871EF8">
        <w:trPr>
          <w:trHeight w:val="296"/>
          <w:jc w:val="center"/>
        </w:trPr>
        <w:tc>
          <w:tcPr>
            <w:tcW w:w="4795" w:type="dxa"/>
            <w:gridSpan w:val="2"/>
          </w:tcPr>
          <w:p w:rsidR="00871EF8" w:rsidRDefault="00136DE4">
            <w:pPr>
              <w:rPr>
                <w:rFonts w:asciiTheme="majorEastAsia" w:eastAsiaTheme="majorEastAsia" w:hAnsiTheme="majorEastAsia"/>
                <w:szCs w:val="21"/>
              </w:rPr>
            </w:pPr>
            <w:r>
              <w:rPr>
                <w:rFonts w:asciiTheme="majorEastAsia" w:eastAsiaTheme="majorEastAsia" w:hAnsiTheme="majorEastAsia" w:hint="eastAsia"/>
                <w:szCs w:val="21"/>
              </w:rPr>
              <w:t>基金合同生效日</w:t>
            </w:r>
          </w:p>
        </w:tc>
        <w:tc>
          <w:tcPr>
            <w:tcW w:w="3949" w:type="dxa"/>
          </w:tcPr>
          <w:p w:rsidR="00871EF8" w:rsidRDefault="00136DE4">
            <w:pPr>
              <w:rPr>
                <w:rFonts w:asciiTheme="majorEastAsia" w:eastAsiaTheme="majorEastAsia" w:hAnsiTheme="majorEastAsia"/>
                <w:szCs w:val="21"/>
              </w:rPr>
            </w:pPr>
            <w:bookmarkStart w:id="8" w:name="t_qh_6_1_0018_a1_fm1"/>
            <w:bookmarkEnd w:id="8"/>
            <w:r>
              <w:rPr>
                <w:rFonts w:asciiTheme="majorEastAsia" w:eastAsiaTheme="majorEastAsia" w:hAnsiTheme="majorEastAsia" w:hint="eastAsia"/>
                <w:color w:val="000000"/>
              </w:rPr>
              <w:t>2016年2月25日</w:t>
            </w:r>
          </w:p>
        </w:tc>
      </w:tr>
      <w:tr w:rsidR="00871EF8">
        <w:trPr>
          <w:trHeight w:val="312"/>
          <w:jc w:val="center"/>
        </w:trPr>
        <w:tc>
          <w:tcPr>
            <w:tcW w:w="4795" w:type="dxa"/>
            <w:gridSpan w:val="2"/>
          </w:tcPr>
          <w:p w:rsidR="00871EF8" w:rsidRDefault="00136DE4">
            <w:pPr>
              <w:rPr>
                <w:rFonts w:asciiTheme="majorEastAsia" w:eastAsiaTheme="majorEastAsia" w:hAnsiTheme="majorEastAsia"/>
                <w:szCs w:val="21"/>
              </w:rPr>
            </w:pPr>
            <w:r>
              <w:rPr>
                <w:rFonts w:asciiTheme="majorEastAsia" w:eastAsiaTheme="majorEastAsia" w:hAnsiTheme="majorEastAsia" w:hint="eastAsia"/>
                <w:szCs w:val="21"/>
              </w:rPr>
              <w:t>基金管理人名称</w:t>
            </w:r>
          </w:p>
        </w:tc>
        <w:tc>
          <w:tcPr>
            <w:tcW w:w="3949" w:type="dxa"/>
          </w:tcPr>
          <w:p w:rsidR="00871EF8" w:rsidRDefault="00136DE4">
            <w:pPr>
              <w:rPr>
                <w:rFonts w:asciiTheme="majorEastAsia" w:eastAsiaTheme="majorEastAsia" w:hAnsiTheme="majorEastAsia"/>
                <w:szCs w:val="21"/>
              </w:rPr>
            </w:pPr>
            <w:bookmarkStart w:id="9" w:name="t_qh_6_1_0186_a1_fm1"/>
            <w:bookmarkEnd w:id="9"/>
            <w:r>
              <w:rPr>
                <w:rFonts w:asciiTheme="majorEastAsia" w:eastAsiaTheme="majorEastAsia" w:hAnsiTheme="majorEastAsia" w:hint="eastAsia"/>
                <w:szCs w:val="21"/>
              </w:rPr>
              <w:t>兴业基金管理有限公司</w:t>
            </w:r>
          </w:p>
        </w:tc>
      </w:tr>
      <w:tr w:rsidR="00871EF8">
        <w:trPr>
          <w:trHeight w:val="296"/>
          <w:jc w:val="center"/>
        </w:trPr>
        <w:tc>
          <w:tcPr>
            <w:tcW w:w="4795" w:type="dxa"/>
            <w:gridSpan w:val="2"/>
          </w:tcPr>
          <w:p w:rsidR="00871EF8" w:rsidRDefault="00136DE4">
            <w:pPr>
              <w:rPr>
                <w:rFonts w:asciiTheme="majorEastAsia" w:eastAsiaTheme="majorEastAsia" w:hAnsiTheme="majorEastAsia"/>
                <w:szCs w:val="21"/>
              </w:rPr>
            </w:pPr>
            <w:r>
              <w:rPr>
                <w:rFonts w:asciiTheme="majorEastAsia" w:eastAsiaTheme="majorEastAsia" w:hAnsiTheme="majorEastAsia" w:hint="eastAsia"/>
                <w:szCs w:val="21"/>
              </w:rPr>
              <w:t>基金托管人名称</w:t>
            </w:r>
          </w:p>
        </w:tc>
        <w:tc>
          <w:tcPr>
            <w:tcW w:w="3949" w:type="dxa"/>
          </w:tcPr>
          <w:p w:rsidR="00871EF8" w:rsidRDefault="00136DE4">
            <w:pPr>
              <w:rPr>
                <w:rFonts w:asciiTheme="majorEastAsia" w:eastAsiaTheme="majorEastAsia" w:hAnsiTheme="majorEastAsia" w:cs="Calibri"/>
                <w:szCs w:val="21"/>
              </w:rPr>
            </w:pPr>
            <w:bookmarkStart w:id="10" w:name="t_qh_6_1_0213_a1_fm1"/>
            <w:bookmarkEnd w:id="10"/>
            <w:r>
              <w:rPr>
                <w:rFonts w:asciiTheme="majorEastAsia" w:eastAsiaTheme="majorEastAsia" w:hAnsiTheme="majorEastAsia" w:hint="eastAsia"/>
              </w:rPr>
              <w:t>招商银行股份有限公司</w:t>
            </w:r>
          </w:p>
        </w:tc>
      </w:tr>
      <w:tr w:rsidR="00871EF8">
        <w:trPr>
          <w:trHeight w:val="312"/>
          <w:jc w:val="center"/>
        </w:trPr>
        <w:tc>
          <w:tcPr>
            <w:tcW w:w="4795" w:type="dxa"/>
            <w:gridSpan w:val="2"/>
          </w:tcPr>
          <w:p w:rsidR="00871EF8" w:rsidRDefault="00136DE4">
            <w:pPr>
              <w:rPr>
                <w:rFonts w:asciiTheme="majorEastAsia" w:eastAsiaTheme="majorEastAsia" w:hAnsiTheme="majorEastAsia"/>
                <w:szCs w:val="21"/>
              </w:rPr>
            </w:pPr>
            <w:r>
              <w:rPr>
                <w:rFonts w:asciiTheme="majorEastAsia" w:eastAsiaTheme="majorEastAsia" w:hAnsiTheme="majorEastAsia" w:hint="eastAsia"/>
                <w:szCs w:val="21"/>
              </w:rPr>
              <w:t>公告依据</w:t>
            </w:r>
          </w:p>
        </w:tc>
        <w:tc>
          <w:tcPr>
            <w:tcW w:w="3949" w:type="dxa"/>
          </w:tcPr>
          <w:p w:rsidR="00871EF8" w:rsidRDefault="00136DE4">
            <w:pPr>
              <w:rPr>
                <w:rFonts w:asciiTheme="majorEastAsia" w:eastAsiaTheme="majorEastAsia" w:hAnsiTheme="majorEastAsia"/>
                <w:szCs w:val="21"/>
              </w:rPr>
            </w:pPr>
            <w:bookmarkStart w:id="11" w:name="t_qh_6_1_2631_a1_fm1"/>
            <w:bookmarkEnd w:id="11"/>
            <w:r>
              <w:rPr>
                <w:rFonts w:asciiTheme="majorEastAsia" w:eastAsiaTheme="majorEastAsia" w:hAnsiTheme="majorEastAsia" w:hint="eastAsia"/>
              </w:rPr>
              <w:t>根据《中华人民共和国证券投资基金法》及其配套法规与《兴业丰泰债券型证券投资基金基金合同》的有关规定</w:t>
            </w:r>
          </w:p>
        </w:tc>
      </w:tr>
      <w:tr w:rsidR="00871EF8" w:rsidTr="00FB6E69">
        <w:trPr>
          <w:trHeight w:val="296"/>
          <w:jc w:val="center"/>
        </w:trPr>
        <w:tc>
          <w:tcPr>
            <w:tcW w:w="4795" w:type="dxa"/>
            <w:gridSpan w:val="2"/>
            <w:shd w:val="clear" w:color="auto" w:fill="FFFFFF" w:themeFill="background1"/>
          </w:tcPr>
          <w:p w:rsidR="00871EF8" w:rsidRPr="00E828F6" w:rsidRDefault="00136DE4">
            <w:pPr>
              <w:rPr>
                <w:rFonts w:asciiTheme="minorEastAsia" w:eastAsiaTheme="minorEastAsia" w:hAnsiTheme="minorEastAsia"/>
                <w:szCs w:val="21"/>
              </w:rPr>
            </w:pPr>
            <w:r w:rsidRPr="00E828F6">
              <w:rPr>
                <w:rFonts w:asciiTheme="minorEastAsia" w:eastAsiaTheme="minorEastAsia" w:hAnsiTheme="minorEastAsia" w:hint="eastAsia"/>
                <w:szCs w:val="21"/>
              </w:rPr>
              <w:t>收益分配基准日</w:t>
            </w:r>
          </w:p>
        </w:tc>
        <w:tc>
          <w:tcPr>
            <w:tcW w:w="3949" w:type="dxa"/>
            <w:shd w:val="clear" w:color="auto" w:fill="FFFFFF" w:themeFill="background1"/>
          </w:tcPr>
          <w:p w:rsidR="00871EF8" w:rsidRPr="00E828F6" w:rsidRDefault="00A552C6" w:rsidP="00C0705E">
            <w:pPr>
              <w:rPr>
                <w:rFonts w:ascii="Times New Roman" w:eastAsiaTheme="minorEastAsia" w:hAnsi="Times New Roman"/>
                <w:color w:val="000000" w:themeColor="text1"/>
                <w:szCs w:val="21"/>
              </w:rPr>
            </w:pPr>
            <w:bookmarkStart w:id="12" w:name="t_qh_6_1_2637_a1_fm1"/>
            <w:bookmarkEnd w:id="12"/>
            <w:r w:rsidRPr="00E828F6">
              <w:rPr>
                <w:rFonts w:ascii="Times New Roman" w:eastAsiaTheme="minorEastAsia" w:hAnsi="Times New Roman" w:hint="eastAsia"/>
                <w:color w:val="000000" w:themeColor="text1"/>
                <w:szCs w:val="21"/>
              </w:rPr>
              <w:t>2024</w:t>
            </w:r>
            <w:r w:rsidRPr="00E828F6">
              <w:rPr>
                <w:rFonts w:ascii="Times New Roman" w:eastAsiaTheme="minorEastAsia" w:hAnsi="Times New Roman" w:hint="eastAsia"/>
                <w:color w:val="000000" w:themeColor="text1"/>
                <w:szCs w:val="21"/>
              </w:rPr>
              <w:t>年</w:t>
            </w:r>
            <w:r w:rsidRPr="00E828F6">
              <w:rPr>
                <w:rFonts w:ascii="Times New Roman" w:eastAsiaTheme="minorEastAsia" w:hAnsi="Times New Roman" w:hint="eastAsia"/>
                <w:color w:val="000000" w:themeColor="text1"/>
                <w:szCs w:val="21"/>
              </w:rPr>
              <w:t>9</w:t>
            </w:r>
            <w:r w:rsidRPr="00E828F6">
              <w:rPr>
                <w:rFonts w:ascii="Times New Roman" w:eastAsiaTheme="minorEastAsia" w:hAnsi="Times New Roman" w:hint="eastAsia"/>
                <w:color w:val="000000" w:themeColor="text1"/>
                <w:szCs w:val="21"/>
              </w:rPr>
              <w:t>月</w:t>
            </w:r>
            <w:r w:rsidRPr="00E828F6">
              <w:rPr>
                <w:rFonts w:ascii="Times New Roman" w:eastAsiaTheme="minorEastAsia" w:hAnsi="Times New Roman" w:hint="eastAsia"/>
                <w:color w:val="000000" w:themeColor="text1"/>
                <w:szCs w:val="21"/>
              </w:rPr>
              <w:t>12</w:t>
            </w:r>
            <w:r w:rsidRPr="00E828F6">
              <w:rPr>
                <w:rFonts w:ascii="Times New Roman" w:eastAsiaTheme="minorEastAsia" w:hAnsi="Times New Roman" w:hint="eastAsia"/>
                <w:color w:val="000000" w:themeColor="text1"/>
                <w:szCs w:val="21"/>
              </w:rPr>
              <w:t>日</w:t>
            </w:r>
          </w:p>
        </w:tc>
      </w:tr>
      <w:tr w:rsidR="00871EF8" w:rsidTr="00FB6E69">
        <w:trPr>
          <w:trHeight w:val="312"/>
          <w:jc w:val="center"/>
        </w:trPr>
        <w:tc>
          <w:tcPr>
            <w:tcW w:w="2073" w:type="dxa"/>
            <w:vMerge w:val="restart"/>
            <w:shd w:val="clear" w:color="auto" w:fill="FFFFFF" w:themeFill="background1"/>
            <w:vAlign w:val="center"/>
          </w:tcPr>
          <w:p w:rsidR="00871EF8" w:rsidRPr="00E828F6" w:rsidRDefault="00136DE4">
            <w:pPr>
              <w:jc w:val="center"/>
              <w:rPr>
                <w:rFonts w:asciiTheme="majorEastAsia" w:eastAsiaTheme="majorEastAsia" w:hAnsiTheme="majorEastAsia"/>
                <w:szCs w:val="21"/>
              </w:rPr>
            </w:pPr>
            <w:r w:rsidRPr="00E828F6">
              <w:rPr>
                <w:rFonts w:asciiTheme="majorEastAsia" w:eastAsiaTheme="majorEastAsia" w:hAnsiTheme="majorEastAsia" w:hint="eastAsia"/>
                <w:szCs w:val="21"/>
              </w:rPr>
              <w:t>截止收益分配基准日的相关指标</w:t>
            </w:r>
          </w:p>
        </w:tc>
        <w:tc>
          <w:tcPr>
            <w:tcW w:w="2722" w:type="dxa"/>
            <w:shd w:val="clear" w:color="auto" w:fill="FFFFFF" w:themeFill="background1"/>
          </w:tcPr>
          <w:p w:rsidR="00871EF8" w:rsidRPr="00E828F6" w:rsidRDefault="00136DE4">
            <w:pPr>
              <w:rPr>
                <w:rFonts w:asciiTheme="majorEastAsia" w:eastAsiaTheme="majorEastAsia" w:hAnsiTheme="majorEastAsia"/>
                <w:szCs w:val="21"/>
              </w:rPr>
            </w:pPr>
            <w:r w:rsidRPr="00E828F6">
              <w:rPr>
                <w:rFonts w:asciiTheme="majorEastAsia" w:eastAsiaTheme="majorEastAsia" w:hAnsiTheme="majorEastAsia" w:hint="eastAsia"/>
                <w:szCs w:val="21"/>
              </w:rPr>
              <w:t>基准日基金份额净值（单位：人民币元）</w:t>
            </w:r>
          </w:p>
        </w:tc>
        <w:tc>
          <w:tcPr>
            <w:tcW w:w="3949" w:type="dxa"/>
            <w:shd w:val="clear" w:color="auto" w:fill="FFFFFF" w:themeFill="background1"/>
          </w:tcPr>
          <w:p w:rsidR="00871EF8" w:rsidRPr="00E828F6" w:rsidRDefault="001B7C45">
            <w:pPr>
              <w:rPr>
                <w:rFonts w:asciiTheme="majorEastAsia" w:eastAsiaTheme="majorEastAsia" w:hAnsiTheme="majorEastAsia" w:cs="宋体"/>
                <w:szCs w:val="21"/>
              </w:rPr>
            </w:pPr>
            <w:r w:rsidRPr="00E828F6">
              <w:rPr>
                <w:rFonts w:asciiTheme="majorEastAsia" w:eastAsiaTheme="majorEastAsia" w:hAnsiTheme="majorEastAsia"/>
                <w:szCs w:val="21"/>
              </w:rPr>
              <w:t>1.0</w:t>
            </w:r>
            <w:r w:rsidR="00865ADD" w:rsidRPr="00E828F6">
              <w:rPr>
                <w:rFonts w:asciiTheme="majorEastAsia" w:eastAsiaTheme="majorEastAsia" w:hAnsiTheme="majorEastAsia"/>
                <w:szCs w:val="21"/>
              </w:rPr>
              <w:t>15</w:t>
            </w:r>
          </w:p>
        </w:tc>
      </w:tr>
      <w:tr w:rsidR="00871EF8">
        <w:trPr>
          <w:trHeight w:val="142"/>
          <w:jc w:val="center"/>
        </w:trPr>
        <w:tc>
          <w:tcPr>
            <w:tcW w:w="2073" w:type="dxa"/>
            <w:vMerge/>
          </w:tcPr>
          <w:p w:rsidR="00871EF8" w:rsidRPr="00E828F6" w:rsidRDefault="00871EF8">
            <w:pPr>
              <w:rPr>
                <w:rFonts w:asciiTheme="majorEastAsia" w:eastAsiaTheme="majorEastAsia" w:hAnsiTheme="majorEastAsia"/>
                <w:szCs w:val="21"/>
              </w:rPr>
            </w:pPr>
          </w:p>
        </w:tc>
        <w:tc>
          <w:tcPr>
            <w:tcW w:w="2722" w:type="dxa"/>
          </w:tcPr>
          <w:p w:rsidR="00871EF8" w:rsidRPr="00E828F6" w:rsidRDefault="00136DE4">
            <w:pPr>
              <w:rPr>
                <w:rFonts w:asciiTheme="majorEastAsia" w:eastAsiaTheme="majorEastAsia" w:hAnsiTheme="majorEastAsia"/>
                <w:szCs w:val="21"/>
              </w:rPr>
            </w:pPr>
            <w:r w:rsidRPr="00E828F6">
              <w:rPr>
                <w:rFonts w:asciiTheme="majorEastAsia" w:eastAsiaTheme="majorEastAsia" w:hAnsiTheme="majorEastAsia" w:hint="eastAsia"/>
                <w:szCs w:val="21"/>
              </w:rPr>
              <w:t>基准日基金可供分配利润（单位：人民币元）</w:t>
            </w:r>
          </w:p>
        </w:tc>
        <w:tc>
          <w:tcPr>
            <w:tcW w:w="3949" w:type="dxa"/>
          </w:tcPr>
          <w:p w:rsidR="00871EF8" w:rsidRPr="00E828F6" w:rsidRDefault="00865ADD">
            <w:pPr>
              <w:rPr>
                <w:rFonts w:asciiTheme="majorEastAsia" w:eastAsiaTheme="majorEastAsia" w:hAnsiTheme="majorEastAsia" w:cs="宋体"/>
                <w:szCs w:val="21"/>
              </w:rPr>
            </w:pPr>
            <w:r w:rsidRPr="00E828F6">
              <w:rPr>
                <w:rFonts w:asciiTheme="majorEastAsia" w:eastAsiaTheme="majorEastAsia" w:hAnsiTheme="majorEastAsia"/>
                <w:color w:val="000000"/>
                <w:szCs w:val="21"/>
              </w:rPr>
              <w:t>51,455,072.54</w:t>
            </w:r>
          </w:p>
        </w:tc>
      </w:tr>
      <w:tr w:rsidR="00871EF8">
        <w:trPr>
          <w:trHeight w:val="142"/>
          <w:jc w:val="center"/>
        </w:trPr>
        <w:tc>
          <w:tcPr>
            <w:tcW w:w="2073" w:type="dxa"/>
            <w:vMerge/>
          </w:tcPr>
          <w:p w:rsidR="00871EF8" w:rsidRPr="00E333F3" w:rsidRDefault="00871EF8">
            <w:pPr>
              <w:rPr>
                <w:rFonts w:asciiTheme="majorEastAsia" w:eastAsiaTheme="majorEastAsia" w:hAnsiTheme="majorEastAsia"/>
                <w:szCs w:val="21"/>
              </w:rPr>
            </w:pPr>
          </w:p>
        </w:tc>
        <w:tc>
          <w:tcPr>
            <w:tcW w:w="2722" w:type="dxa"/>
          </w:tcPr>
          <w:p w:rsidR="00871EF8" w:rsidRPr="00E333F3" w:rsidRDefault="00136DE4">
            <w:pPr>
              <w:rPr>
                <w:rFonts w:asciiTheme="majorEastAsia" w:eastAsiaTheme="majorEastAsia" w:hAnsiTheme="majorEastAsia"/>
                <w:szCs w:val="21"/>
              </w:rPr>
            </w:pPr>
            <w:r w:rsidRPr="00E333F3">
              <w:rPr>
                <w:rFonts w:asciiTheme="majorEastAsia" w:eastAsiaTheme="majorEastAsia" w:hAnsiTheme="majorEastAsia" w:hint="eastAsia"/>
                <w:szCs w:val="21"/>
              </w:rPr>
              <w:t>截止基准日按照基金合同约定的分红比例计算的应分配金额（单位：人民币元）</w:t>
            </w:r>
          </w:p>
        </w:tc>
        <w:tc>
          <w:tcPr>
            <w:tcW w:w="3949" w:type="dxa"/>
          </w:tcPr>
          <w:p w:rsidR="00871EF8" w:rsidRPr="00E333F3" w:rsidRDefault="00136DE4">
            <w:pPr>
              <w:rPr>
                <w:rFonts w:asciiTheme="majorEastAsia" w:eastAsiaTheme="majorEastAsia" w:hAnsiTheme="majorEastAsia"/>
                <w:color w:val="000000"/>
                <w:sz w:val="24"/>
              </w:rPr>
            </w:pPr>
            <w:bookmarkStart w:id="13" w:name="t_qh_6_1_2814_a1_fm2210"/>
            <w:bookmarkEnd w:id="13"/>
            <w:r w:rsidRPr="00E333F3">
              <w:rPr>
                <w:rFonts w:asciiTheme="majorEastAsia" w:eastAsiaTheme="majorEastAsia" w:hAnsiTheme="majorEastAsia" w:hint="eastAsia"/>
                <w:color w:val="000000"/>
                <w:sz w:val="24"/>
              </w:rPr>
              <w:t>-</w:t>
            </w:r>
          </w:p>
        </w:tc>
      </w:tr>
      <w:tr w:rsidR="00871EF8">
        <w:trPr>
          <w:trHeight w:val="296"/>
          <w:jc w:val="center"/>
        </w:trPr>
        <w:tc>
          <w:tcPr>
            <w:tcW w:w="4795" w:type="dxa"/>
            <w:gridSpan w:val="2"/>
          </w:tcPr>
          <w:p w:rsidR="00871EF8" w:rsidRDefault="00136DE4">
            <w:pPr>
              <w:rPr>
                <w:rFonts w:asciiTheme="majorEastAsia" w:eastAsiaTheme="majorEastAsia" w:hAnsiTheme="majorEastAsia"/>
                <w:szCs w:val="21"/>
              </w:rPr>
            </w:pPr>
            <w:r>
              <w:rPr>
                <w:rFonts w:asciiTheme="majorEastAsia" w:eastAsiaTheme="majorEastAsia" w:hAnsiTheme="majorEastAsia" w:hint="eastAsia"/>
                <w:szCs w:val="21"/>
              </w:rPr>
              <w:t>本次分红方案（单位：元</w:t>
            </w:r>
            <w:r>
              <w:rPr>
                <w:rFonts w:asciiTheme="majorEastAsia" w:eastAsiaTheme="majorEastAsia" w:hAnsiTheme="majorEastAsia"/>
                <w:szCs w:val="21"/>
              </w:rPr>
              <w:t>/10份基金份额）</w:t>
            </w:r>
          </w:p>
        </w:tc>
        <w:tc>
          <w:tcPr>
            <w:tcW w:w="3949" w:type="dxa"/>
            <w:shd w:val="clear" w:color="auto" w:fill="auto"/>
          </w:tcPr>
          <w:p w:rsidR="00871EF8" w:rsidRDefault="00A552C6" w:rsidP="00C0705E">
            <w:pPr>
              <w:rPr>
                <w:rFonts w:asciiTheme="majorEastAsia" w:eastAsiaTheme="majorEastAsia" w:hAnsiTheme="majorEastAsia"/>
                <w:szCs w:val="21"/>
              </w:rPr>
            </w:pPr>
            <w:r>
              <w:rPr>
                <w:rFonts w:asciiTheme="majorEastAsia" w:eastAsiaTheme="majorEastAsia" w:hAnsiTheme="majorEastAsia"/>
                <w:szCs w:val="21"/>
              </w:rPr>
              <w:t>0.094</w:t>
            </w:r>
          </w:p>
        </w:tc>
      </w:tr>
      <w:tr w:rsidR="00871EF8">
        <w:trPr>
          <w:trHeight w:val="312"/>
          <w:jc w:val="center"/>
        </w:trPr>
        <w:tc>
          <w:tcPr>
            <w:tcW w:w="4795" w:type="dxa"/>
            <w:gridSpan w:val="2"/>
            <w:vAlign w:val="center"/>
          </w:tcPr>
          <w:p w:rsidR="00871EF8" w:rsidRDefault="00136DE4">
            <w:pPr>
              <w:rPr>
                <w:rFonts w:asciiTheme="majorEastAsia" w:eastAsiaTheme="majorEastAsia" w:hAnsiTheme="majorEastAsia"/>
                <w:szCs w:val="21"/>
              </w:rPr>
            </w:pPr>
            <w:r>
              <w:rPr>
                <w:rFonts w:asciiTheme="majorEastAsia" w:eastAsiaTheme="majorEastAsia" w:hAnsiTheme="majorEastAsia" w:hint="eastAsia"/>
                <w:szCs w:val="21"/>
              </w:rPr>
              <w:t>有关年度分红次数的说明</w:t>
            </w:r>
          </w:p>
        </w:tc>
        <w:tc>
          <w:tcPr>
            <w:tcW w:w="3949" w:type="dxa"/>
            <w:vAlign w:val="center"/>
          </w:tcPr>
          <w:p w:rsidR="00871EF8" w:rsidRDefault="00136DE4">
            <w:pPr>
              <w:rPr>
                <w:rFonts w:asciiTheme="majorEastAsia" w:eastAsiaTheme="majorEastAsia" w:hAnsiTheme="majorEastAsia"/>
                <w:szCs w:val="21"/>
              </w:rPr>
            </w:pPr>
            <w:bookmarkStart w:id="14" w:name="t_qh_6_1_2815_a1_fm1"/>
            <w:bookmarkEnd w:id="14"/>
            <w:r>
              <w:rPr>
                <w:rFonts w:asciiTheme="majorEastAsia" w:eastAsiaTheme="majorEastAsia" w:hAnsiTheme="majorEastAsia" w:hint="eastAsia"/>
                <w:szCs w:val="21"/>
              </w:rPr>
              <w:t>本次分红为</w:t>
            </w:r>
            <w:r w:rsidR="00D10E4D">
              <w:rPr>
                <w:rFonts w:ascii="宋体" w:hAnsi="宋体" w:hint="eastAsia"/>
                <w:szCs w:val="21"/>
              </w:rPr>
              <w:t>2024</w:t>
            </w:r>
            <w:r>
              <w:rPr>
                <w:rFonts w:ascii="宋体" w:hAnsi="宋体"/>
                <w:szCs w:val="21"/>
              </w:rPr>
              <w:t>年度的第</w:t>
            </w:r>
            <w:r w:rsidR="00A552C6">
              <w:rPr>
                <w:rFonts w:ascii="宋体" w:hAnsi="宋体" w:hint="eastAsia"/>
                <w:szCs w:val="21"/>
              </w:rPr>
              <w:t>三</w:t>
            </w:r>
            <w:r>
              <w:rPr>
                <w:rFonts w:ascii="宋体" w:hAnsi="宋体"/>
                <w:szCs w:val="21"/>
              </w:rPr>
              <w:t>次分红</w:t>
            </w:r>
          </w:p>
        </w:tc>
      </w:tr>
    </w:tbl>
    <w:p w:rsidR="00871EF8" w:rsidRDefault="00136DE4">
      <w:pPr>
        <w:autoSpaceDE w:val="0"/>
        <w:autoSpaceDN w:val="0"/>
        <w:spacing w:line="360" w:lineRule="auto"/>
        <w:ind w:firstLine="420"/>
        <w:jc w:val="left"/>
        <w:rPr>
          <w:rFonts w:asciiTheme="majorEastAsia" w:eastAsiaTheme="majorEastAsia" w:hAnsiTheme="majorEastAsia"/>
        </w:rPr>
      </w:pPr>
      <w:bookmarkStart w:id="15" w:name="t_qh_6_1_2645_a1_fm1"/>
      <w:r>
        <w:rPr>
          <w:rFonts w:asciiTheme="majorEastAsia" w:eastAsiaTheme="majorEastAsia" w:hAnsiTheme="majorEastAsia" w:hint="eastAsia"/>
          <w:szCs w:val="21"/>
        </w:rPr>
        <w:t>注：</w:t>
      </w:r>
      <w:bookmarkEnd w:id="15"/>
      <w:r>
        <w:rPr>
          <w:rFonts w:asciiTheme="majorEastAsia" w:eastAsiaTheme="majorEastAsia" w:hAnsiTheme="majorEastAsia" w:hint="eastAsia"/>
          <w:color w:val="000000"/>
        </w:rPr>
        <w:t>有关</w:t>
      </w:r>
      <w:r>
        <w:rPr>
          <w:rFonts w:asciiTheme="majorEastAsia" w:eastAsiaTheme="majorEastAsia" w:hAnsiTheme="majorEastAsia"/>
        </w:rPr>
        <w:t>基金收益分配原则</w:t>
      </w:r>
      <w:r>
        <w:rPr>
          <w:rFonts w:asciiTheme="majorEastAsia" w:eastAsiaTheme="majorEastAsia" w:hAnsiTheme="majorEastAsia" w:hint="eastAsia"/>
          <w:color w:val="000000"/>
        </w:rPr>
        <w:t>的说明：</w:t>
      </w:r>
      <w:r>
        <w:rPr>
          <w:rFonts w:asciiTheme="majorEastAsia" w:eastAsiaTheme="majorEastAsia" w:hAnsiTheme="majorEastAsia"/>
        </w:rPr>
        <w:t>1、</w:t>
      </w:r>
      <w:r>
        <w:rPr>
          <w:rFonts w:asciiTheme="majorEastAsia" w:eastAsiaTheme="majorEastAsia" w:hAnsiTheme="majorEastAsia" w:hint="eastAsia"/>
        </w:rPr>
        <w:t>本基金收益分配方式分两种：现金分红与红利再投资，投资者可选择现金红利或将现金红利自动转为基金份额进行再投资；若投资者不选择，本基金默认的收益分配方式是现金分红；2、</w:t>
      </w:r>
      <w:r>
        <w:rPr>
          <w:rFonts w:asciiTheme="majorEastAsia" w:eastAsiaTheme="majorEastAsia" w:hAnsiTheme="majorEastAsia"/>
        </w:rPr>
        <w:t>基金收益分配后基金份额净值不能低于面值，即基金收益分配基准日的基金份额净值减去每单位基金份额收益分配金额后不能低于面值</w:t>
      </w:r>
      <w:r>
        <w:rPr>
          <w:rFonts w:asciiTheme="majorEastAsia" w:eastAsiaTheme="majorEastAsia" w:hAnsiTheme="majorEastAsia" w:hint="eastAsia"/>
        </w:rPr>
        <w:t>；3、每一基金份额享有同等分配权；4、法律法规或监管机关另有规定的，从其规定。</w:t>
      </w:r>
    </w:p>
    <w:p w:rsidR="00871EF8" w:rsidRDefault="00136DE4">
      <w:pPr>
        <w:spacing w:line="360" w:lineRule="auto"/>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bookmarkStart w:id="16" w:name="t_6_2_table"/>
      <w:bookmarkEnd w:id="16"/>
      <w:r>
        <w:rPr>
          <w:rFonts w:asciiTheme="majorEastAsia" w:eastAsiaTheme="majorEastAsia" w:hAnsiTheme="majorEastAsia" w:hint="eastAsia"/>
          <w:bCs/>
          <w:sz w:val="24"/>
          <w:szCs w:val="24"/>
        </w:rPr>
        <w:t xml:space="preserve"> 与分红相关的其他信息</w:t>
      </w:r>
    </w:p>
    <w:tbl>
      <w:tblPr>
        <w:tblW w:w="874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7"/>
        <w:gridCol w:w="5678"/>
      </w:tblGrid>
      <w:tr w:rsidR="00A552C6">
        <w:trPr>
          <w:trHeight w:val="320"/>
        </w:trPr>
        <w:tc>
          <w:tcPr>
            <w:tcW w:w="3067" w:type="dxa"/>
          </w:tcPr>
          <w:p w:rsidR="00A552C6" w:rsidRDefault="00A552C6" w:rsidP="00A552C6">
            <w:pPr>
              <w:rPr>
                <w:rFonts w:asciiTheme="majorEastAsia" w:eastAsiaTheme="majorEastAsia" w:hAnsiTheme="majorEastAsia"/>
                <w:szCs w:val="21"/>
              </w:rPr>
            </w:pPr>
            <w:r>
              <w:rPr>
                <w:rFonts w:asciiTheme="majorEastAsia" w:eastAsiaTheme="majorEastAsia" w:hAnsiTheme="majorEastAsia" w:hint="eastAsia"/>
                <w:szCs w:val="21"/>
              </w:rPr>
              <w:t>权益登记日</w:t>
            </w:r>
          </w:p>
        </w:tc>
        <w:tc>
          <w:tcPr>
            <w:tcW w:w="5678" w:type="dxa"/>
          </w:tcPr>
          <w:p w:rsidR="00A552C6" w:rsidRDefault="00A552C6" w:rsidP="00A552C6">
            <w:pPr>
              <w:rPr>
                <w:szCs w:val="21"/>
              </w:rPr>
            </w:pPr>
            <w:r>
              <w:rPr>
                <w:rFonts w:asciiTheme="majorEastAsia" w:eastAsiaTheme="majorEastAsia" w:hAnsiTheme="majorEastAsia" w:hint="eastAsia"/>
                <w:szCs w:val="21"/>
              </w:rPr>
              <w:t>2024</w:t>
            </w:r>
            <w:r>
              <w:rPr>
                <w:rFonts w:asciiTheme="majorEastAsia" w:eastAsiaTheme="majorEastAsia" w:hAnsiTheme="majorEastAsia"/>
                <w:szCs w:val="21"/>
              </w:rPr>
              <w:t>年9月23日</w:t>
            </w:r>
          </w:p>
        </w:tc>
      </w:tr>
      <w:tr w:rsidR="00A552C6">
        <w:trPr>
          <w:trHeight w:val="335"/>
        </w:trPr>
        <w:tc>
          <w:tcPr>
            <w:tcW w:w="3067" w:type="dxa"/>
          </w:tcPr>
          <w:p w:rsidR="00A552C6" w:rsidRDefault="00A552C6" w:rsidP="00A552C6">
            <w:pPr>
              <w:rPr>
                <w:rFonts w:asciiTheme="majorEastAsia" w:eastAsiaTheme="majorEastAsia" w:hAnsiTheme="majorEastAsia"/>
                <w:szCs w:val="21"/>
              </w:rPr>
            </w:pPr>
            <w:r>
              <w:rPr>
                <w:rFonts w:asciiTheme="majorEastAsia" w:eastAsiaTheme="majorEastAsia" w:hAnsiTheme="majorEastAsia" w:hint="eastAsia"/>
                <w:szCs w:val="21"/>
              </w:rPr>
              <w:t>除息日</w:t>
            </w:r>
          </w:p>
        </w:tc>
        <w:tc>
          <w:tcPr>
            <w:tcW w:w="5678" w:type="dxa"/>
          </w:tcPr>
          <w:p w:rsidR="00A552C6" w:rsidRDefault="00A552C6" w:rsidP="00A552C6">
            <w:pPr>
              <w:rPr>
                <w:szCs w:val="21"/>
              </w:rPr>
            </w:pPr>
            <w:r>
              <w:rPr>
                <w:rFonts w:asciiTheme="majorEastAsia" w:eastAsiaTheme="majorEastAsia" w:hAnsiTheme="majorEastAsia" w:hint="eastAsia"/>
                <w:szCs w:val="21"/>
              </w:rPr>
              <w:t>2024</w:t>
            </w:r>
            <w:r>
              <w:rPr>
                <w:rFonts w:asciiTheme="majorEastAsia" w:eastAsiaTheme="majorEastAsia" w:hAnsiTheme="majorEastAsia"/>
                <w:szCs w:val="21"/>
              </w:rPr>
              <w:t>年9月23日</w:t>
            </w:r>
          </w:p>
        </w:tc>
      </w:tr>
      <w:tr w:rsidR="00A552C6">
        <w:trPr>
          <w:trHeight w:val="320"/>
        </w:trPr>
        <w:tc>
          <w:tcPr>
            <w:tcW w:w="3067" w:type="dxa"/>
          </w:tcPr>
          <w:p w:rsidR="00A552C6" w:rsidRDefault="00A552C6" w:rsidP="00A552C6">
            <w:pPr>
              <w:rPr>
                <w:rFonts w:asciiTheme="majorEastAsia" w:eastAsiaTheme="majorEastAsia" w:hAnsiTheme="majorEastAsia"/>
                <w:szCs w:val="21"/>
              </w:rPr>
            </w:pPr>
            <w:r>
              <w:rPr>
                <w:rFonts w:asciiTheme="majorEastAsia" w:eastAsiaTheme="majorEastAsia" w:hAnsiTheme="majorEastAsia" w:hint="eastAsia"/>
                <w:szCs w:val="21"/>
              </w:rPr>
              <w:t>现金红利发放日</w:t>
            </w:r>
          </w:p>
        </w:tc>
        <w:tc>
          <w:tcPr>
            <w:tcW w:w="5678" w:type="dxa"/>
          </w:tcPr>
          <w:p w:rsidR="00A552C6" w:rsidRDefault="00A552C6" w:rsidP="00A552C6">
            <w:pPr>
              <w:rPr>
                <w:szCs w:val="21"/>
              </w:rPr>
            </w:pPr>
            <w:r>
              <w:rPr>
                <w:rFonts w:asciiTheme="majorEastAsia" w:eastAsiaTheme="majorEastAsia" w:hAnsiTheme="majorEastAsia" w:hint="eastAsia"/>
                <w:szCs w:val="21"/>
              </w:rPr>
              <w:t>2024</w:t>
            </w:r>
            <w:r>
              <w:rPr>
                <w:rFonts w:asciiTheme="majorEastAsia" w:eastAsiaTheme="majorEastAsia" w:hAnsiTheme="majorEastAsia"/>
                <w:szCs w:val="21"/>
              </w:rPr>
              <w:t>年9月24日</w:t>
            </w:r>
          </w:p>
        </w:tc>
      </w:tr>
      <w:tr w:rsidR="00871EF8">
        <w:trPr>
          <w:trHeight w:val="335"/>
        </w:trPr>
        <w:tc>
          <w:tcPr>
            <w:tcW w:w="3067" w:type="dxa"/>
          </w:tcPr>
          <w:p w:rsidR="00871EF8" w:rsidRDefault="00136DE4">
            <w:pPr>
              <w:rPr>
                <w:rFonts w:asciiTheme="majorEastAsia" w:eastAsiaTheme="majorEastAsia" w:hAnsiTheme="majorEastAsia"/>
                <w:szCs w:val="21"/>
              </w:rPr>
            </w:pPr>
            <w:r>
              <w:rPr>
                <w:rFonts w:asciiTheme="majorEastAsia" w:eastAsiaTheme="majorEastAsia" w:hAnsiTheme="majorEastAsia" w:hint="eastAsia"/>
                <w:szCs w:val="21"/>
              </w:rPr>
              <w:t>分红对象</w:t>
            </w:r>
          </w:p>
        </w:tc>
        <w:tc>
          <w:tcPr>
            <w:tcW w:w="5678" w:type="dxa"/>
          </w:tcPr>
          <w:p w:rsidR="00871EF8" w:rsidRDefault="00136DE4">
            <w:pPr>
              <w:rPr>
                <w:rFonts w:asciiTheme="majorEastAsia" w:eastAsiaTheme="majorEastAsia" w:hAnsiTheme="majorEastAsia"/>
                <w:szCs w:val="21"/>
              </w:rPr>
            </w:pPr>
            <w:bookmarkStart w:id="17" w:name="t_6_2_2761_a1_fm1"/>
            <w:bookmarkEnd w:id="17"/>
            <w:r>
              <w:rPr>
                <w:rFonts w:asciiTheme="majorEastAsia" w:eastAsiaTheme="majorEastAsia" w:hAnsiTheme="majorEastAsia" w:hint="eastAsia"/>
                <w:szCs w:val="21"/>
              </w:rPr>
              <w:t>权益登记日在兴业基金管理有限公司登记在册的本基金份额全体持有人。</w:t>
            </w:r>
          </w:p>
        </w:tc>
      </w:tr>
      <w:tr w:rsidR="00871EF8">
        <w:trPr>
          <w:trHeight w:val="335"/>
        </w:trPr>
        <w:tc>
          <w:tcPr>
            <w:tcW w:w="3067" w:type="dxa"/>
            <w:vAlign w:val="center"/>
          </w:tcPr>
          <w:p w:rsidR="00871EF8" w:rsidRDefault="00136DE4">
            <w:pPr>
              <w:rPr>
                <w:rFonts w:asciiTheme="majorEastAsia" w:eastAsiaTheme="majorEastAsia" w:hAnsiTheme="majorEastAsia"/>
                <w:szCs w:val="21"/>
              </w:rPr>
            </w:pPr>
            <w:r>
              <w:rPr>
                <w:rFonts w:asciiTheme="majorEastAsia" w:eastAsiaTheme="majorEastAsia" w:hAnsiTheme="majorEastAsia" w:hint="eastAsia"/>
                <w:szCs w:val="21"/>
              </w:rPr>
              <w:t>红利再投资相关事项的说明</w:t>
            </w:r>
          </w:p>
        </w:tc>
        <w:tc>
          <w:tcPr>
            <w:tcW w:w="5678" w:type="dxa"/>
          </w:tcPr>
          <w:p w:rsidR="00871EF8" w:rsidRDefault="00136DE4" w:rsidP="00C0705E">
            <w:pPr>
              <w:rPr>
                <w:rFonts w:asciiTheme="majorEastAsia" w:eastAsiaTheme="majorEastAsia" w:hAnsiTheme="majorEastAsia"/>
                <w:szCs w:val="21"/>
              </w:rPr>
            </w:pPr>
            <w:bookmarkStart w:id="18" w:name="t_6_2_2762_a1_fm1"/>
            <w:bookmarkEnd w:id="18"/>
            <w:r>
              <w:rPr>
                <w:rFonts w:asciiTheme="majorEastAsia" w:eastAsiaTheme="majorEastAsia" w:hAnsiTheme="majorEastAsia" w:hint="eastAsia"/>
                <w:color w:val="000000"/>
                <w:kern w:val="0"/>
                <w:szCs w:val="24"/>
              </w:rPr>
              <w:t>选</w:t>
            </w:r>
            <w:r>
              <w:rPr>
                <w:rFonts w:asciiTheme="majorEastAsia" w:eastAsiaTheme="majorEastAsia" w:hAnsiTheme="majorEastAsia" w:hint="eastAsia"/>
                <w:szCs w:val="21"/>
              </w:rPr>
              <w:t>择红利再投资方式的投资者红利再投资所得的份额将</w:t>
            </w:r>
            <w:r w:rsidR="00A552C6">
              <w:rPr>
                <w:rFonts w:asciiTheme="majorEastAsia" w:eastAsiaTheme="majorEastAsia" w:hAnsiTheme="majorEastAsia" w:hint="eastAsia"/>
                <w:szCs w:val="21"/>
              </w:rPr>
              <w:t>按</w:t>
            </w:r>
            <w:r w:rsidR="00A552C6" w:rsidRPr="00CA0002">
              <w:rPr>
                <w:rFonts w:asciiTheme="majorEastAsia" w:eastAsiaTheme="majorEastAsia" w:hAnsiTheme="majorEastAsia" w:hint="eastAsia"/>
                <w:szCs w:val="21"/>
              </w:rPr>
              <w:t>2024年9月23日</w:t>
            </w:r>
            <w:r w:rsidR="00A552C6">
              <w:rPr>
                <w:rFonts w:asciiTheme="majorEastAsia" w:eastAsiaTheme="majorEastAsia" w:hAnsiTheme="majorEastAsia" w:hint="eastAsia"/>
                <w:szCs w:val="21"/>
              </w:rPr>
              <w:t>的基金份额净值计算确定，并于2024</w:t>
            </w:r>
            <w:r w:rsidR="00A552C6">
              <w:rPr>
                <w:rFonts w:asciiTheme="majorEastAsia" w:eastAsiaTheme="majorEastAsia" w:hAnsiTheme="majorEastAsia"/>
                <w:szCs w:val="21"/>
              </w:rPr>
              <w:t>年9月24日</w:t>
            </w:r>
            <w:r w:rsidR="00A552C6">
              <w:rPr>
                <w:rFonts w:asciiTheme="majorEastAsia" w:eastAsiaTheme="majorEastAsia" w:hAnsiTheme="majorEastAsia" w:hint="eastAsia"/>
                <w:szCs w:val="21"/>
              </w:rPr>
              <w:t>直接计入其基金账户。2024</w:t>
            </w:r>
            <w:r w:rsidR="00A552C6">
              <w:rPr>
                <w:rFonts w:asciiTheme="majorEastAsia" w:eastAsiaTheme="majorEastAsia" w:hAnsiTheme="majorEastAsia"/>
                <w:szCs w:val="21"/>
              </w:rPr>
              <w:t>年9月25日</w:t>
            </w:r>
            <w:r w:rsidR="00A552C6">
              <w:rPr>
                <w:rFonts w:asciiTheme="majorEastAsia" w:eastAsiaTheme="majorEastAsia" w:hAnsiTheme="majorEastAsia" w:hint="eastAsia"/>
                <w:szCs w:val="21"/>
              </w:rPr>
              <w:t>起投资者可</w:t>
            </w:r>
            <w:r w:rsidR="00A552C6">
              <w:rPr>
                <w:rFonts w:asciiTheme="majorEastAsia" w:eastAsiaTheme="majorEastAsia" w:hAnsiTheme="majorEastAsia" w:hint="eastAsia"/>
                <w:szCs w:val="21"/>
              </w:rPr>
              <w:lastRenderedPageBreak/>
              <w:t>以查询。</w:t>
            </w:r>
          </w:p>
        </w:tc>
      </w:tr>
      <w:tr w:rsidR="00871EF8">
        <w:trPr>
          <w:trHeight w:val="335"/>
        </w:trPr>
        <w:tc>
          <w:tcPr>
            <w:tcW w:w="3067" w:type="dxa"/>
          </w:tcPr>
          <w:p w:rsidR="00871EF8" w:rsidRDefault="00136DE4">
            <w:pPr>
              <w:rPr>
                <w:rFonts w:asciiTheme="majorEastAsia" w:eastAsiaTheme="majorEastAsia" w:hAnsiTheme="majorEastAsia"/>
                <w:szCs w:val="21"/>
              </w:rPr>
            </w:pPr>
            <w:r>
              <w:rPr>
                <w:rFonts w:asciiTheme="majorEastAsia" w:eastAsiaTheme="majorEastAsia" w:hAnsiTheme="majorEastAsia" w:hint="eastAsia"/>
                <w:szCs w:val="21"/>
              </w:rPr>
              <w:lastRenderedPageBreak/>
              <w:t>税收相关事项的说明</w:t>
            </w:r>
          </w:p>
        </w:tc>
        <w:tc>
          <w:tcPr>
            <w:tcW w:w="5678" w:type="dxa"/>
          </w:tcPr>
          <w:p w:rsidR="00871EF8" w:rsidRDefault="00136DE4">
            <w:pPr>
              <w:rPr>
                <w:rFonts w:asciiTheme="majorEastAsia" w:eastAsiaTheme="majorEastAsia" w:hAnsiTheme="majorEastAsia"/>
                <w:szCs w:val="21"/>
              </w:rPr>
            </w:pPr>
            <w:bookmarkStart w:id="19" w:name="t_6_2_2764_a1_fm1"/>
            <w:bookmarkEnd w:id="19"/>
            <w:r>
              <w:rPr>
                <w:rFonts w:asciiTheme="majorEastAsia" w:eastAsiaTheme="majorEastAsia" w:hAnsiTheme="majorEastAsia" w:hint="eastAsia"/>
                <w:color w:val="000000"/>
                <w:kern w:val="0"/>
                <w:szCs w:val="24"/>
              </w:rPr>
              <w:t>根据相关</w:t>
            </w:r>
            <w:r>
              <w:rPr>
                <w:rFonts w:asciiTheme="majorEastAsia" w:eastAsiaTheme="majorEastAsia" w:hAnsiTheme="majorEastAsia"/>
                <w:color w:val="000000"/>
                <w:kern w:val="0"/>
                <w:szCs w:val="24"/>
              </w:rPr>
              <w:t>法律法规</w:t>
            </w:r>
            <w:r>
              <w:rPr>
                <w:rFonts w:asciiTheme="majorEastAsia" w:eastAsiaTheme="majorEastAsia" w:hAnsiTheme="majorEastAsia" w:hint="eastAsia"/>
                <w:color w:val="000000"/>
                <w:kern w:val="0"/>
                <w:szCs w:val="24"/>
              </w:rPr>
              <w:t>，基金向投资者分配的基金收益，暂免征收所得税。</w:t>
            </w:r>
          </w:p>
        </w:tc>
      </w:tr>
      <w:tr w:rsidR="00871EF8">
        <w:trPr>
          <w:trHeight w:val="335"/>
        </w:trPr>
        <w:tc>
          <w:tcPr>
            <w:tcW w:w="3067" w:type="dxa"/>
          </w:tcPr>
          <w:p w:rsidR="00871EF8" w:rsidRDefault="00136DE4">
            <w:pPr>
              <w:rPr>
                <w:rFonts w:asciiTheme="majorEastAsia" w:eastAsiaTheme="majorEastAsia" w:hAnsiTheme="majorEastAsia"/>
                <w:szCs w:val="21"/>
              </w:rPr>
            </w:pPr>
            <w:r>
              <w:rPr>
                <w:rFonts w:asciiTheme="majorEastAsia" w:eastAsiaTheme="majorEastAsia" w:hAnsiTheme="majorEastAsia" w:hint="eastAsia"/>
                <w:szCs w:val="21"/>
              </w:rPr>
              <w:t>费用相关事项的说明</w:t>
            </w:r>
          </w:p>
        </w:tc>
        <w:tc>
          <w:tcPr>
            <w:tcW w:w="5678" w:type="dxa"/>
          </w:tcPr>
          <w:p w:rsidR="00871EF8" w:rsidRDefault="00136DE4">
            <w:pPr>
              <w:rPr>
                <w:rFonts w:asciiTheme="majorEastAsia" w:eastAsiaTheme="majorEastAsia" w:hAnsiTheme="majorEastAsia"/>
                <w:szCs w:val="21"/>
              </w:rPr>
            </w:pPr>
            <w:bookmarkStart w:id="20" w:name="t_6_2_2765_a1_fm1"/>
            <w:bookmarkEnd w:id="20"/>
            <w:r>
              <w:rPr>
                <w:rFonts w:asciiTheme="majorEastAsia" w:eastAsiaTheme="majorEastAsia" w:hAnsiTheme="majorEastAsia" w:hint="eastAsia"/>
                <w:szCs w:val="21"/>
              </w:rPr>
              <w:t>本基金本次分红免收分红手续费，选择红利再投资方式的投资者其红利再投资所得的基金份额免收申购费用。</w:t>
            </w:r>
          </w:p>
        </w:tc>
      </w:tr>
    </w:tbl>
    <w:p w:rsidR="00871EF8" w:rsidRDefault="00136DE4">
      <w:pPr>
        <w:spacing w:line="360" w:lineRule="auto"/>
        <w:jc w:val="left"/>
        <w:rPr>
          <w:rFonts w:asciiTheme="majorEastAsia" w:eastAsiaTheme="majorEastAsia" w:hAnsiTheme="majorEastAsia"/>
          <w:szCs w:val="21"/>
        </w:rPr>
      </w:pPr>
      <w:bookmarkStart w:id="21" w:name="t_6_2_2766_a1_fm1"/>
      <w:r>
        <w:rPr>
          <w:rFonts w:asciiTheme="majorEastAsia" w:eastAsiaTheme="majorEastAsia" w:hAnsiTheme="majorEastAsia" w:hint="eastAsia"/>
          <w:szCs w:val="21"/>
        </w:rPr>
        <w:t>注：</w:t>
      </w:r>
      <w:bookmarkEnd w:id="21"/>
      <w:r>
        <w:rPr>
          <w:rFonts w:asciiTheme="majorEastAsia" w:eastAsiaTheme="majorEastAsia" w:hAnsiTheme="majorEastAsia"/>
          <w:szCs w:val="21"/>
        </w:rPr>
        <w:t>-</w:t>
      </w:r>
    </w:p>
    <w:p w:rsidR="00871EF8" w:rsidRDefault="00136DE4" w:rsidP="00C5388B">
      <w:pPr>
        <w:pStyle w:val="2"/>
        <w:spacing w:beforeLines="50" w:afterLines="50" w:line="24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3 </w:t>
      </w:r>
      <w:bookmarkStart w:id="22" w:name="t_6_3_table"/>
      <w:bookmarkEnd w:id="22"/>
      <w:r>
        <w:rPr>
          <w:rFonts w:asciiTheme="majorEastAsia" w:eastAsiaTheme="majorEastAsia" w:hAnsiTheme="majorEastAsia" w:hint="eastAsia"/>
          <w:bCs/>
          <w:sz w:val="24"/>
          <w:szCs w:val="24"/>
        </w:rPr>
        <w:t>其他需要提示的事项</w:t>
      </w:r>
    </w:p>
    <w:p w:rsidR="00871EF8" w:rsidRDefault="00136DE4">
      <w:pPr>
        <w:spacing w:line="360" w:lineRule="auto"/>
        <w:ind w:firstLineChars="200" w:firstLine="420"/>
        <w:jc w:val="left"/>
        <w:rPr>
          <w:rFonts w:asciiTheme="majorEastAsia" w:eastAsiaTheme="majorEastAsia" w:hAnsiTheme="majorEastAsia"/>
          <w:szCs w:val="21"/>
        </w:rPr>
      </w:pPr>
      <w:bookmarkStart w:id="23" w:name="t_6_3_2646_a1_fm1"/>
      <w:bookmarkEnd w:id="23"/>
      <w:r>
        <w:rPr>
          <w:rFonts w:asciiTheme="majorEastAsia" w:eastAsiaTheme="majorEastAsia" w:hAnsiTheme="majorEastAsia"/>
          <w:szCs w:val="21"/>
        </w:rPr>
        <w:t>1.权益登记日申请申购或转入的基金份额不享有本次分红权益，权益登记日申请赎回或转出的基金份额享有本次分红权益。</w:t>
      </w:r>
    </w:p>
    <w:p w:rsidR="00871EF8" w:rsidRDefault="00136DE4">
      <w:pPr>
        <w:spacing w:line="360" w:lineRule="auto"/>
        <w:ind w:firstLineChars="200" w:firstLine="420"/>
        <w:jc w:val="left"/>
        <w:rPr>
          <w:rFonts w:asciiTheme="majorEastAsia" w:eastAsiaTheme="majorEastAsia" w:hAnsiTheme="majorEastAsia"/>
          <w:szCs w:val="21"/>
        </w:rPr>
      </w:pPr>
      <w:r>
        <w:rPr>
          <w:rFonts w:asciiTheme="majorEastAsia" w:eastAsiaTheme="majorEastAsia" w:hAnsiTheme="majorEastAsia"/>
          <w:szCs w:val="21"/>
        </w:rPr>
        <w:t>2.投资者可以在基金</w:t>
      </w:r>
      <w:r>
        <w:rPr>
          <w:rFonts w:asciiTheme="majorEastAsia" w:eastAsiaTheme="majorEastAsia" w:hAnsiTheme="majorEastAsia" w:hint="eastAsia"/>
          <w:szCs w:val="21"/>
        </w:rPr>
        <w:t>交易日</w:t>
      </w:r>
      <w:r>
        <w:rPr>
          <w:rFonts w:asciiTheme="majorEastAsia" w:eastAsiaTheme="majorEastAsia" w:hAnsiTheme="majorEastAsia"/>
          <w:szCs w:val="21"/>
        </w:rPr>
        <w:t>的交易时间内到销售网点修改分红方式，本次分红确认的方式将按照投资者在权益登记日之前（不含权益登记日）最后一次选择成功的分红方式为准。希望修改分红方式的，请务必在权益登记日前（不含权益登记日）到销售网点办理变更手续。</w:t>
      </w:r>
    </w:p>
    <w:p w:rsidR="00871EF8" w:rsidRDefault="00136DE4">
      <w:pPr>
        <w:spacing w:line="360" w:lineRule="auto"/>
        <w:ind w:firstLineChars="200" w:firstLine="420"/>
        <w:jc w:val="left"/>
        <w:rPr>
          <w:rFonts w:asciiTheme="majorEastAsia" w:eastAsiaTheme="majorEastAsia" w:hAnsiTheme="majorEastAsia"/>
          <w:szCs w:val="21"/>
        </w:rPr>
      </w:pPr>
      <w:r>
        <w:rPr>
          <w:rFonts w:asciiTheme="majorEastAsia" w:eastAsiaTheme="majorEastAsia" w:hAnsiTheme="majorEastAsia"/>
          <w:szCs w:val="21"/>
        </w:rPr>
        <w:t>3.投资者可访问本公司网站（www.cib-fund.com.cn）或拨打客服电话（</w:t>
      </w:r>
      <w:r>
        <w:rPr>
          <w:rFonts w:asciiTheme="majorEastAsia" w:eastAsiaTheme="majorEastAsia" w:hAnsiTheme="majorEastAsia" w:hint="eastAsia"/>
          <w:szCs w:val="21"/>
        </w:rPr>
        <w:t>4000095561</w:t>
      </w:r>
      <w:r>
        <w:rPr>
          <w:rFonts w:asciiTheme="majorEastAsia" w:eastAsiaTheme="majorEastAsia" w:hAnsiTheme="majorEastAsia"/>
          <w:szCs w:val="21"/>
        </w:rPr>
        <w:t>）咨询相关情况。</w:t>
      </w:r>
    </w:p>
    <w:p w:rsidR="00871EF8" w:rsidRDefault="00136DE4">
      <w:pPr>
        <w:spacing w:line="360" w:lineRule="auto"/>
        <w:ind w:firstLineChars="200" w:firstLine="420"/>
        <w:jc w:val="left"/>
        <w:rPr>
          <w:rFonts w:asciiTheme="majorEastAsia" w:eastAsiaTheme="majorEastAsia" w:hAnsiTheme="majorEastAsia"/>
          <w:szCs w:val="21"/>
        </w:rPr>
      </w:pPr>
      <w:r>
        <w:rPr>
          <w:rFonts w:asciiTheme="majorEastAsia" w:eastAsiaTheme="majorEastAsia" w:hAnsiTheme="majorEastAsia"/>
          <w:szCs w:val="21"/>
        </w:rPr>
        <w:t>风险提示：本基金管理人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基金管理人所管理的其他基金的业绩并不构成对本基金业绩表现的保证。投资有风险,敬请投资者认真阅 读基金的《基金合同》、《招募说明书》</w:t>
      </w:r>
      <w:r>
        <w:rPr>
          <w:rFonts w:asciiTheme="majorEastAsia" w:eastAsiaTheme="majorEastAsia" w:hAnsiTheme="majorEastAsia" w:hint="eastAsia"/>
          <w:szCs w:val="21"/>
        </w:rPr>
        <w:t>、</w:t>
      </w:r>
      <w:r>
        <w:rPr>
          <w:rFonts w:asciiTheme="majorEastAsia" w:eastAsiaTheme="majorEastAsia" w:hAnsiTheme="majorEastAsia"/>
          <w:szCs w:val="21"/>
        </w:rPr>
        <w:t>《产品资料概要》等相关法律文件，了解基金的风险收益特征，并根据自身的风险承受能力选择适合自己的基金产品。</w:t>
      </w:r>
    </w:p>
    <w:p w:rsidR="00871EF8" w:rsidRDefault="00136DE4">
      <w:pPr>
        <w:spacing w:line="360"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特此公告。</w:t>
      </w:r>
    </w:p>
    <w:p w:rsidR="00871EF8" w:rsidRDefault="00136DE4">
      <w:pPr>
        <w:spacing w:line="360" w:lineRule="auto"/>
        <w:ind w:firstLineChars="200" w:firstLine="420"/>
        <w:jc w:val="right"/>
        <w:rPr>
          <w:rFonts w:asciiTheme="majorEastAsia" w:eastAsiaTheme="majorEastAsia" w:hAnsiTheme="majorEastAsia"/>
        </w:rPr>
      </w:pPr>
      <w:r>
        <w:rPr>
          <w:rFonts w:asciiTheme="majorEastAsia" w:eastAsiaTheme="majorEastAsia" w:hAnsiTheme="majorEastAsia"/>
        </w:rPr>
        <w:t xml:space="preserve">兴业基金管理有限公司 </w:t>
      </w:r>
    </w:p>
    <w:p w:rsidR="00871EF8" w:rsidRDefault="00A552C6">
      <w:pPr>
        <w:spacing w:line="360" w:lineRule="auto"/>
        <w:ind w:firstLineChars="200" w:firstLine="420"/>
        <w:jc w:val="right"/>
        <w:rPr>
          <w:rFonts w:asciiTheme="majorEastAsia" w:eastAsiaTheme="majorEastAsia" w:hAnsiTheme="majorEastAsia"/>
          <w:szCs w:val="21"/>
        </w:rPr>
      </w:pPr>
      <w:r w:rsidRPr="00A552C6">
        <w:rPr>
          <w:rFonts w:asciiTheme="majorEastAsia" w:eastAsiaTheme="majorEastAsia" w:hAnsiTheme="majorEastAsia" w:hint="eastAsia"/>
          <w:szCs w:val="21"/>
        </w:rPr>
        <w:t>2024年9月20日</w:t>
      </w:r>
    </w:p>
    <w:sectPr w:rsidR="00871EF8" w:rsidSect="003877E9">
      <w:footerReference w:type="default" r:id="rId6"/>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907" w:rsidRDefault="006D3907">
      <w:r>
        <w:separator/>
      </w:r>
    </w:p>
  </w:endnote>
  <w:endnote w:type="continuationSeparator" w:id="0">
    <w:p w:rsidR="006D3907" w:rsidRDefault="006D3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EF8" w:rsidRDefault="00136DE4">
    <w:pPr>
      <w:pStyle w:val="a6"/>
      <w:jc w:val="center"/>
    </w:pPr>
    <w:r>
      <w:rPr>
        <w:rFonts w:hint="eastAsia"/>
      </w:rPr>
      <w:t>第</w:t>
    </w:r>
    <w:r>
      <w:rPr>
        <w:rFonts w:hint="eastAsia"/>
      </w:rPr>
      <w:t xml:space="preserve"> </w:t>
    </w:r>
    <w:r w:rsidR="003877E9">
      <w:fldChar w:fldCharType="begin"/>
    </w:r>
    <w:r>
      <w:instrText xml:space="preserve"> PAGE   \* MERGEFORMAT </w:instrText>
    </w:r>
    <w:r w:rsidR="003877E9">
      <w:fldChar w:fldCharType="separate"/>
    </w:r>
    <w:r w:rsidR="00C5388B">
      <w:rPr>
        <w:noProof/>
      </w:rPr>
      <w:t>1</w:t>
    </w:r>
    <w:r w:rsidR="003877E9">
      <w:fldChar w:fldCharType="end"/>
    </w:r>
    <w:r>
      <w:rPr>
        <w:rFonts w:hint="eastAsia"/>
      </w:rPr>
      <w:t xml:space="preserve"> </w:t>
    </w:r>
    <w:r>
      <w:rPr>
        <w:rFonts w:hint="eastAsia"/>
      </w:rPr>
      <w:t>页</w:t>
    </w:r>
    <w:r>
      <w:rPr>
        <w:rFonts w:hint="eastAsia"/>
      </w:rPr>
      <w:t xml:space="preserve"> </w:t>
    </w:r>
    <w:r>
      <w:rPr>
        <w:rFonts w:hint="eastAsia"/>
      </w:rPr>
      <w:t>共</w:t>
    </w:r>
    <w:fldSimple w:instr=" NUMPAGES   \* MERGEFORMAT ">
      <w:r w:rsidR="00C5388B">
        <w:rPr>
          <w:noProof/>
        </w:rPr>
        <w:t>2</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907" w:rsidRDefault="006D3907">
      <w:r>
        <w:separator/>
      </w:r>
    </w:p>
  </w:footnote>
  <w:footnote w:type="continuationSeparator" w:id="0">
    <w:p w:rsidR="006D3907" w:rsidRDefault="006D39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JjZTdiYWQyMzc2ODhkODMzMTRiN2VlNTNiMmE3NjMifQ=="/>
  </w:docVars>
  <w:rsids>
    <w:rsidRoot w:val="00172A27"/>
    <w:rsid w:val="000045CD"/>
    <w:rsid w:val="00027615"/>
    <w:rsid w:val="000322D5"/>
    <w:rsid w:val="00032D64"/>
    <w:rsid w:val="00052FEC"/>
    <w:rsid w:val="00062D5D"/>
    <w:rsid w:val="00070FA4"/>
    <w:rsid w:val="00072B0B"/>
    <w:rsid w:val="00084422"/>
    <w:rsid w:val="000851FD"/>
    <w:rsid w:val="000A3ACD"/>
    <w:rsid w:val="000A52EE"/>
    <w:rsid w:val="000A7C84"/>
    <w:rsid w:val="000B7D5C"/>
    <w:rsid w:val="000C1EDC"/>
    <w:rsid w:val="000D147B"/>
    <w:rsid w:val="000D2F43"/>
    <w:rsid w:val="000D4EB6"/>
    <w:rsid w:val="000E53EB"/>
    <w:rsid w:val="000E5954"/>
    <w:rsid w:val="000F0FBF"/>
    <w:rsid w:val="000F1FC0"/>
    <w:rsid w:val="0010613E"/>
    <w:rsid w:val="00107A62"/>
    <w:rsid w:val="001313CF"/>
    <w:rsid w:val="00135056"/>
    <w:rsid w:val="00136DE4"/>
    <w:rsid w:val="0014007C"/>
    <w:rsid w:val="00140D22"/>
    <w:rsid w:val="00143C4C"/>
    <w:rsid w:val="00146347"/>
    <w:rsid w:val="001514AF"/>
    <w:rsid w:val="001667AE"/>
    <w:rsid w:val="00167242"/>
    <w:rsid w:val="00172A27"/>
    <w:rsid w:val="00194184"/>
    <w:rsid w:val="001947A8"/>
    <w:rsid w:val="001B3073"/>
    <w:rsid w:val="001B5A02"/>
    <w:rsid w:val="001B7C45"/>
    <w:rsid w:val="001C5F81"/>
    <w:rsid w:val="001C7AAE"/>
    <w:rsid w:val="001C7BE4"/>
    <w:rsid w:val="001D2BFE"/>
    <w:rsid w:val="001E3C6C"/>
    <w:rsid w:val="001E4DB9"/>
    <w:rsid w:val="001F6FF8"/>
    <w:rsid w:val="0020237C"/>
    <w:rsid w:val="002030FC"/>
    <w:rsid w:val="00212F4E"/>
    <w:rsid w:val="00220A6A"/>
    <w:rsid w:val="00224D93"/>
    <w:rsid w:val="00234897"/>
    <w:rsid w:val="00241C10"/>
    <w:rsid w:val="00243453"/>
    <w:rsid w:val="00261642"/>
    <w:rsid w:val="00264EC3"/>
    <w:rsid w:val="00271B5D"/>
    <w:rsid w:val="002856C5"/>
    <w:rsid w:val="002A3848"/>
    <w:rsid w:val="002A78B3"/>
    <w:rsid w:val="002B29A5"/>
    <w:rsid w:val="002B7338"/>
    <w:rsid w:val="002C0572"/>
    <w:rsid w:val="002C331C"/>
    <w:rsid w:val="002D314E"/>
    <w:rsid w:val="002E2835"/>
    <w:rsid w:val="002E6DA9"/>
    <w:rsid w:val="003134AF"/>
    <w:rsid w:val="00325199"/>
    <w:rsid w:val="003362B5"/>
    <w:rsid w:val="003376CC"/>
    <w:rsid w:val="0034738F"/>
    <w:rsid w:val="003605E5"/>
    <w:rsid w:val="00360D30"/>
    <w:rsid w:val="003646F7"/>
    <w:rsid w:val="003732E3"/>
    <w:rsid w:val="00382911"/>
    <w:rsid w:val="00382C2A"/>
    <w:rsid w:val="003877E9"/>
    <w:rsid w:val="003978F5"/>
    <w:rsid w:val="003A57B7"/>
    <w:rsid w:val="003C126B"/>
    <w:rsid w:val="003E4976"/>
    <w:rsid w:val="003E56F5"/>
    <w:rsid w:val="003E7B84"/>
    <w:rsid w:val="003F1F94"/>
    <w:rsid w:val="004224B3"/>
    <w:rsid w:val="004258F0"/>
    <w:rsid w:val="004411B1"/>
    <w:rsid w:val="0046631F"/>
    <w:rsid w:val="00467334"/>
    <w:rsid w:val="004741E4"/>
    <w:rsid w:val="004861F9"/>
    <w:rsid w:val="004864C9"/>
    <w:rsid w:val="004A583B"/>
    <w:rsid w:val="004C0FEF"/>
    <w:rsid w:val="004C1906"/>
    <w:rsid w:val="004C55C6"/>
    <w:rsid w:val="004D0F9A"/>
    <w:rsid w:val="004E18EC"/>
    <w:rsid w:val="004E1A57"/>
    <w:rsid w:val="004F6581"/>
    <w:rsid w:val="00502899"/>
    <w:rsid w:val="005073A4"/>
    <w:rsid w:val="00533EC8"/>
    <w:rsid w:val="00551A9F"/>
    <w:rsid w:val="00552BE6"/>
    <w:rsid w:val="0056248E"/>
    <w:rsid w:val="005842EB"/>
    <w:rsid w:val="0059152C"/>
    <w:rsid w:val="005B680D"/>
    <w:rsid w:val="005C0790"/>
    <w:rsid w:val="005C1909"/>
    <w:rsid w:val="005C2C03"/>
    <w:rsid w:val="005D413C"/>
    <w:rsid w:val="005D6501"/>
    <w:rsid w:val="005E0F62"/>
    <w:rsid w:val="005E4C62"/>
    <w:rsid w:val="006112BE"/>
    <w:rsid w:val="00616DAE"/>
    <w:rsid w:val="00623359"/>
    <w:rsid w:val="0063080F"/>
    <w:rsid w:val="00640401"/>
    <w:rsid w:val="006456B9"/>
    <w:rsid w:val="0065023B"/>
    <w:rsid w:val="00667128"/>
    <w:rsid w:val="00673AAB"/>
    <w:rsid w:val="006862CD"/>
    <w:rsid w:val="00696676"/>
    <w:rsid w:val="006A3F09"/>
    <w:rsid w:val="006A7ACC"/>
    <w:rsid w:val="006B2ECA"/>
    <w:rsid w:val="006C3464"/>
    <w:rsid w:val="006C36ED"/>
    <w:rsid w:val="006C6DE4"/>
    <w:rsid w:val="006D3907"/>
    <w:rsid w:val="006D3A1F"/>
    <w:rsid w:val="006D3BC5"/>
    <w:rsid w:val="006D6739"/>
    <w:rsid w:val="006D7844"/>
    <w:rsid w:val="006E4BA0"/>
    <w:rsid w:val="006F39FF"/>
    <w:rsid w:val="006F6CFA"/>
    <w:rsid w:val="00701611"/>
    <w:rsid w:val="00710E48"/>
    <w:rsid w:val="00721FD0"/>
    <w:rsid w:val="007224CE"/>
    <w:rsid w:val="007261F9"/>
    <w:rsid w:val="00732D07"/>
    <w:rsid w:val="00746281"/>
    <w:rsid w:val="00757AB7"/>
    <w:rsid w:val="00782F46"/>
    <w:rsid w:val="007B36DF"/>
    <w:rsid w:val="007D2B52"/>
    <w:rsid w:val="007E4C28"/>
    <w:rsid w:val="007F068A"/>
    <w:rsid w:val="007F2738"/>
    <w:rsid w:val="007F5439"/>
    <w:rsid w:val="007F7193"/>
    <w:rsid w:val="00813099"/>
    <w:rsid w:val="00814915"/>
    <w:rsid w:val="00814C8D"/>
    <w:rsid w:val="00827BB3"/>
    <w:rsid w:val="00831170"/>
    <w:rsid w:val="00831A48"/>
    <w:rsid w:val="00832224"/>
    <w:rsid w:val="00844045"/>
    <w:rsid w:val="008452D3"/>
    <w:rsid w:val="0085197D"/>
    <w:rsid w:val="0086063E"/>
    <w:rsid w:val="00865ADD"/>
    <w:rsid w:val="00871EF8"/>
    <w:rsid w:val="00884666"/>
    <w:rsid w:val="00885F6A"/>
    <w:rsid w:val="008902A5"/>
    <w:rsid w:val="0089089D"/>
    <w:rsid w:val="008962F1"/>
    <w:rsid w:val="008B5057"/>
    <w:rsid w:val="008B5A53"/>
    <w:rsid w:val="008C0BAD"/>
    <w:rsid w:val="008C71E7"/>
    <w:rsid w:val="008F7EDE"/>
    <w:rsid w:val="00905C13"/>
    <w:rsid w:val="00910B70"/>
    <w:rsid w:val="00930920"/>
    <w:rsid w:val="009412F2"/>
    <w:rsid w:val="00946FF2"/>
    <w:rsid w:val="0094738E"/>
    <w:rsid w:val="00970983"/>
    <w:rsid w:val="0097701C"/>
    <w:rsid w:val="00993D0E"/>
    <w:rsid w:val="009A4E58"/>
    <w:rsid w:val="009B0187"/>
    <w:rsid w:val="009C246C"/>
    <w:rsid w:val="009E05BD"/>
    <w:rsid w:val="009E2070"/>
    <w:rsid w:val="009E300C"/>
    <w:rsid w:val="009E5CBE"/>
    <w:rsid w:val="009E6B77"/>
    <w:rsid w:val="009F387D"/>
    <w:rsid w:val="00A00502"/>
    <w:rsid w:val="00A171F6"/>
    <w:rsid w:val="00A21A94"/>
    <w:rsid w:val="00A2247C"/>
    <w:rsid w:val="00A32721"/>
    <w:rsid w:val="00A37542"/>
    <w:rsid w:val="00A40309"/>
    <w:rsid w:val="00A52AA1"/>
    <w:rsid w:val="00A552C6"/>
    <w:rsid w:val="00A666E7"/>
    <w:rsid w:val="00A766EA"/>
    <w:rsid w:val="00A91F58"/>
    <w:rsid w:val="00A9693F"/>
    <w:rsid w:val="00A972F4"/>
    <w:rsid w:val="00A97AFF"/>
    <w:rsid w:val="00AA12AB"/>
    <w:rsid w:val="00AB3F0B"/>
    <w:rsid w:val="00AB5468"/>
    <w:rsid w:val="00AC68C6"/>
    <w:rsid w:val="00AD2F2A"/>
    <w:rsid w:val="00AD5FE4"/>
    <w:rsid w:val="00AE02AA"/>
    <w:rsid w:val="00AE4318"/>
    <w:rsid w:val="00AE7342"/>
    <w:rsid w:val="00AF0455"/>
    <w:rsid w:val="00AF5E45"/>
    <w:rsid w:val="00AF71AD"/>
    <w:rsid w:val="00B06E44"/>
    <w:rsid w:val="00B252EB"/>
    <w:rsid w:val="00B437BD"/>
    <w:rsid w:val="00B443F0"/>
    <w:rsid w:val="00B556F7"/>
    <w:rsid w:val="00B75D6A"/>
    <w:rsid w:val="00B772C2"/>
    <w:rsid w:val="00B8574E"/>
    <w:rsid w:val="00B871E4"/>
    <w:rsid w:val="00BA1EE4"/>
    <w:rsid w:val="00BC1541"/>
    <w:rsid w:val="00BC3770"/>
    <w:rsid w:val="00BF74BE"/>
    <w:rsid w:val="00C01824"/>
    <w:rsid w:val="00C0705E"/>
    <w:rsid w:val="00C356F4"/>
    <w:rsid w:val="00C40EDE"/>
    <w:rsid w:val="00C5388B"/>
    <w:rsid w:val="00C64FD8"/>
    <w:rsid w:val="00C7113B"/>
    <w:rsid w:val="00C754E9"/>
    <w:rsid w:val="00C83E6D"/>
    <w:rsid w:val="00C9562B"/>
    <w:rsid w:val="00C977F2"/>
    <w:rsid w:val="00CB06EA"/>
    <w:rsid w:val="00CC79AB"/>
    <w:rsid w:val="00CD0901"/>
    <w:rsid w:val="00CD6E39"/>
    <w:rsid w:val="00CF5418"/>
    <w:rsid w:val="00D065EC"/>
    <w:rsid w:val="00D10E4D"/>
    <w:rsid w:val="00D16C07"/>
    <w:rsid w:val="00D319EE"/>
    <w:rsid w:val="00D406A2"/>
    <w:rsid w:val="00D53E86"/>
    <w:rsid w:val="00D54729"/>
    <w:rsid w:val="00D55FB5"/>
    <w:rsid w:val="00D62E09"/>
    <w:rsid w:val="00D74155"/>
    <w:rsid w:val="00D764CD"/>
    <w:rsid w:val="00D804F5"/>
    <w:rsid w:val="00D91D50"/>
    <w:rsid w:val="00DA6A96"/>
    <w:rsid w:val="00DB58DD"/>
    <w:rsid w:val="00DC4195"/>
    <w:rsid w:val="00DD5340"/>
    <w:rsid w:val="00DE151D"/>
    <w:rsid w:val="00DE712E"/>
    <w:rsid w:val="00DF5917"/>
    <w:rsid w:val="00E01008"/>
    <w:rsid w:val="00E05681"/>
    <w:rsid w:val="00E06A4B"/>
    <w:rsid w:val="00E205EE"/>
    <w:rsid w:val="00E2243D"/>
    <w:rsid w:val="00E310D3"/>
    <w:rsid w:val="00E333F3"/>
    <w:rsid w:val="00E350ED"/>
    <w:rsid w:val="00E51CBC"/>
    <w:rsid w:val="00E529C1"/>
    <w:rsid w:val="00E552AB"/>
    <w:rsid w:val="00E63699"/>
    <w:rsid w:val="00E828F6"/>
    <w:rsid w:val="00E97608"/>
    <w:rsid w:val="00EA041F"/>
    <w:rsid w:val="00EB387E"/>
    <w:rsid w:val="00EC3B26"/>
    <w:rsid w:val="00EF6EAC"/>
    <w:rsid w:val="00F13306"/>
    <w:rsid w:val="00F149EB"/>
    <w:rsid w:val="00F160EE"/>
    <w:rsid w:val="00F177B3"/>
    <w:rsid w:val="00F24D40"/>
    <w:rsid w:val="00F31F9E"/>
    <w:rsid w:val="00F364BB"/>
    <w:rsid w:val="00F374DB"/>
    <w:rsid w:val="00F50F62"/>
    <w:rsid w:val="00F77BCF"/>
    <w:rsid w:val="00F80EFC"/>
    <w:rsid w:val="00F80F39"/>
    <w:rsid w:val="00F84886"/>
    <w:rsid w:val="00F86DE8"/>
    <w:rsid w:val="00F87EEB"/>
    <w:rsid w:val="00FA5ED6"/>
    <w:rsid w:val="00FB3786"/>
    <w:rsid w:val="00FB6E69"/>
    <w:rsid w:val="00FD3769"/>
    <w:rsid w:val="00FE1868"/>
    <w:rsid w:val="00FE2497"/>
    <w:rsid w:val="07B266D0"/>
    <w:rsid w:val="274A4635"/>
    <w:rsid w:val="378811BD"/>
    <w:rsid w:val="4FA96B21"/>
    <w:rsid w:val="7F750D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E9"/>
    <w:pPr>
      <w:widowControl w:val="0"/>
      <w:jc w:val="both"/>
    </w:pPr>
    <w:rPr>
      <w:rFonts w:ascii="Calibri" w:eastAsia="宋体" w:hAnsi="Calibri"/>
      <w:kern w:val="2"/>
      <w:sz w:val="21"/>
      <w:szCs w:val="22"/>
    </w:rPr>
  </w:style>
  <w:style w:type="paragraph" w:styleId="2">
    <w:name w:val="heading 2"/>
    <w:basedOn w:val="a"/>
    <w:next w:val="a"/>
    <w:link w:val="2Char"/>
    <w:qFormat/>
    <w:rsid w:val="003877E9"/>
    <w:pPr>
      <w:keepNext/>
      <w:keepLines/>
      <w:spacing w:before="260" w:after="260"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3877E9"/>
    <w:pPr>
      <w:shd w:val="clear" w:color="auto" w:fill="000080"/>
    </w:pPr>
  </w:style>
  <w:style w:type="paragraph" w:styleId="a4">
    <w:name w:val="annotation text"/>
    <w:basedOn w:val="a"/>
    <w:link w:val="Char"/>
    <w:uiPriority w:val="99"/>
    <w:unhideWhenUsed/>
    <w:rsid w:val="003877E9"/>
    <w:pPr>
      <w:jc w:val="left"/>
    </w:pPr>
  </w:style>
  <w:style w:type="paragraph" w:styleId="a5">
    <w:name w:val="Balloon Text"/>
    <w:basedOn w:val="a"/>
    <w:link w:val="Char0"/>
    <w:uiPriority w:val="99"/>
    <w:unhideWhenUsed/>
    <w:qFormat/>
    <w:rsid w:val="003877E9"/>
    <w:rPr>
      <w:sz w:val="18"/>
      <w:szCs w:val="18"/>
    </w:rPr>
  </w:style>
  <w:style w:type="paragraph" w:styleId="a6">
    <w:name w:val="footer"/>
    <w:basedOn w:val="a"/>
    <w:link w:val="Char1"/>
    <w:qFormat/>
    <w:rsid w:val="003877E9"/>
    <w:pPr>
      <w:tabs>
        <w:tab w:val="center" w:pos="4153"/>
        <w:tab w:val="right" w:pos="8306"/>
      </w:tabs>
      <w:snapToGrid w:val="0"/>
      <w:jc w:val="left"/>
    </w:pPr>
    <w:rPr>
      <w:sz w:val="18"/>
      <w:szCs w:val="18"/>
    </w:rPr>
  </w:style>
  <w:style w:type="paragraph" w:styleId="a7">
    <w:name w:val="header"/>
    <w:basedOn w:val="a"/>
    <w:link w:val="Char2"/>
    <w:qFormat/>
    <w:rsid w:val="003877E9"/>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3"/>
    <w:qFormat/>
    <w:rsid w:val="003877E9"/>
    <w:pPr>
      <w:snapToGrid w:val="0"/>
      <w:jc w:val="left"/>
    </w:pPr>
    <w:rPr>
      <w:rFonts w:ascii="Times New Roman" w:hAnsi="Times New Roman"/>
      <w:sz w:val="18"/>
      <w:szCs w:val="20"/>
    </w:rPr>
  </w:style>
  <w:style w:type="paragraph" w:styleId="a9">
    <w:name w:val="annotation subject"/>
    <w:basedOn w:val="a4"/>
    <w:next w:val="a4"/>
    <w:link w:val="Char4"/>
    <w:uiPriority w:val="99"/>
    <w:unhideWhenUsed/>
    <w:qFormat/>
    <w:rsid w:val="003877E9"/>
    <w:rPr>
      <w:b/>
      <w:bCs/>
    </w:rPr>
  </w:style>
  <w:style w:type="character" w:styleId="aa">
    <w:name w:val="annotation reference"/>
    <w:basedOn w:val="a0"/>
    <w:uiPriority w:val="99"/>
    <w:unhideWhenUsed/>
    <w:qFormat/>
    <w:rsid w:val="003877E9"/>
    <w:rPr>
      <w:sz w:val="21"/>
      <w:szCs w:val="21"/>
    </w:rPr>
  </w:style>
  <w:style w:type="character" w:styleId="ab">
    <w:name w:val="footnote reference"/>
    <w:qFormat/>
    <w:rsid w:val="003877E9"/>
    <w:rPr>
      <w:vertAlign w:val="superscript"/>
    </w:rPr>
  </w:style>
  <w:style w:type="character" w:customStyle="1" w:styleId="Char1">
    <w:name w:val="页脚 Char"/>
    <w:link w:val="a6"/>
    <w:qFormat/>
    <w:rsid w:val="003877E9"/>
    <w:rPr>
      <w:kern w:val="2"/>
      <w:sz w:val="18"/>
      <w:szCs w:val="18"/>
    </w:rPr>
  </w:style>
  <w:style w:type="character" w:customStyle="1" w:styleId="Char3">
    <w:name w:val="脚注文本 Char"/>
    <w:link w:val="a8"/>
    <w:qFormat/>
    <w:rsid w:val="003877E9"/>
    <w:rPr>
      <w:rFonts w:ascii="Times New Roman" w:hAnsi="Times New Roman"/>
      <w:kern w:val="2"/>
      <w:sz w:val="18"/>
    </w:rPr>
  </w:style>
  <w:style w:type="character" w:customStyle="1" w:styleId="2Char">
    <w:name w:val="标题 2 Char"/>
    <w:link w:val="2"/>
    <w:qFormat/>
    <w:rsid w:val="003877E9"/>
    <w:rPr>
      <w:rFonts w:ascii="Arial" w:eastAsia="黑体" w:hAnsi="Arial"/>
      <w:b/>
      <w:kern w:val="2"/>
      <w:sz w:val="32"/>
    </w:rPr>
  </w:style>
  <w:style w:type="character" w:customStyle="1" w:styleId="Char2">
    <w:name w:val="页眉 Char"/>
    <w:link w:val="a7"/>
    <w:qFormat/>
    <w:rsid w:val="003877E9"/>
    <w:rPr>
      <w:kern w:val="2"/>
      <w:sz w:val="18"/>
      <w:szCs w:val="18"/>
    </w:rPr>
  </w:style>
  <w:style w:type="paragraph" w:customStyle="1" w:styleId="Char5">
    <w:name w:val="Char"/>
    <w:basedOn w:val="a"/>
    <w:qFormat/>
    <w:rsid w:val="003877E9"/>
    <w:rPr>
      <w:rFonts w:ascii="Times New Roman" w:hAnsi="Times New Roman"/>
      <w:szCs w:val="24"/>
    </w:rPr>
  </w:style>
  <w:style w:type="character" w:customStyle="1" w:styleId="Char0">
    <w:name w:val="批注框文本 Char"/>
    <w:basedOn w:val="a0"/>
    <w:link w:val="a5"/>
    <w:uiPriority w:val="99"/>
    <w:semiHidden/>
    <w:qFormat/>
    <w:rsid w:val="003877E9"/>
    <w:rPr>
      <w:kern w:val="2"/>
      <w:sz w:val="18"/>
      <w:szCs w:val="18"/>
    </w:rPr>
  </w:style>
  <w:style w:type="character" w:customStyle="1" w:styleId="Char">
    <w:name w:val="批注文字 Char"/>
    <w:basedOn w:val="a0"/>
    <w:link w:val="a4"/>
    <w:uiPriority w:val="99"/>
    <w:semiHidden/>
    <w:qFormat/>
    <w:rsid w:val="003877E9"/>
    <w:rPr>
      <w:kern w:val="2"/>
      <w:sz w:val="21"/>
      <w:szCs w:val="22"/>
    </w:rPr>
  </w:style>
  <w:style w:type="character" w:customStyle="1" w:styleId="Char4">
    <w:name w:val="批注主题 Char"/>
    <w:basedOn w:val="Char"/>
    <w:link w:val="a9"/>
    <w:uiPriority w:val="99"/>
    <w:semiHidden/>
    <w:qFormat/>
    <w:rsid w:val="003877E9"/>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1233</Characters>
  <Application>Microsoft Office Word</Application>
  <DocSecurity>4</DocSecurity>
  <Lines>10</Lines>
  <Paragraphs>2</Paragraphs>
  <ScaleCrop>false</ScaleCrop>
  <Company>Microsoft</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creator>Administrator</dc:creator>
  <cp:lastModifiedBy>ZHONGM</cp:lastModifiedBy>
  <cp:revision>2</cp:revision>
  <cp:lastPrinted>2015-02-16T01:11:00Z</cp:lastPrinted>
  <dcterms:created xsi:type="dcterms:W3CDTF">2024-09-19T16:02:00Z</dcterms:created>
  <dcterms:modified xsi:type="dcterms:W3CDTF">2024-09-19T16:02:00Z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392AA390A51E475DA1565B75D8D5F38F</vt:lpwstr>
  </property>
</Properties>
</file>