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55" w:rsidRDefault="0021655E">
      <w:pPr>
        <w:pStyle w:val="1"/>
      </w:pPr>
      <w:bookmarkStart w:id="0" w:name="_GoBack"/>
      <w:bookmarkEnd w:id="0"/>
      <w:r>
        <w:t>富国基金管理有限公司关于富国</w:t>
      </w:r>
      <w:r>
        <w:rPr>
          <w:rFonts w:hint="eastAsia"/>
        </w:rPr>
        <w:t>中证银行</w:t>
      </w:r>
      <w:r>
        <w:t>交易型</w:t>
      </w:r>
    </w:p>
    <w:p w:rsidR="00641855" w:rsidRDefault="0021655E">
      <w:pPr>
        <w:pStyle w:val="1"/>
      </w:pPr>
      <w:r>
        <w:t>开放式指数证券投资基金终止上市的公告</w:t>
      </w:r>
      <w:r>
        <w:t xml:space="preserve"> </w:t>
      </w:r>
    </w:p>
    <w:p w:rsidR="00641855" w:rsidRDefault="0021655E">
      <w:pPr>
        <w:spacing w:after="216" w:line="240" w:lineRule="auto"/>
        <w:ind w:left="0" w:right="0" w:firstLine="0"/>
        <w:jc w:val="center"/>
      </w:pPr>
      <w:r>
        <w:t xml:space="preserve"> 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富国基金管理有限公司（以下简称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/>
          <w:color w:val="auto"/>
          <w:szCs w:val="24"/>
        </w:rPr>
        <w:t>本公司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）旗下基金富国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中证银行</w:t>
      </w:r>
      <w:r>
        <w:rPr>
          <w:rFonts w:ascii="Times New Roman" w:eastAsia="宋体" w:hAnsi="Times New Roman" w:cs="Times New Roman"/>
          <w:color w:val="auto"/>
          <w:szCs w:val="24"/>
        </w:rPr>
        <w:t>交易型开放式指数证券投资基金（以下简称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/>
          <w:color w:val="auto"/>
          <w:szCs w:val="24"/>
        </w:rPr>
        <w:t>本基金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，基金代码</w:t>
      </w:r>
      <w:r>
        <w:rPr>
          <w:rFonts w:ascii="Times New Roman" w:eastAsia="宋体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 w:hint="eastAsia"/>
          <w:color w:val="auto"/>
          <w:szCs w:val="24"/>
        </w:rPr>
        <w:t>515280</w:t>
      </w:r>
      <w:r>
        <w:rPr>
          <w:rFonts w:ascii="Times New Roman" w:eastAsia="宋体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/>
          <w:color w:val="auto"/>
          <w:szCs w:val="24"/>
        </w:rPr>
        <w:t>）</w:t>
      </w:r>
      <w:r>
        <w:rPr>
          <w:rFonts w:ascii="Times New Roman" w:eastAsia="宋体" w:hAnsi="Times New Roman" w:cs="Times New Roman" w:hint="eastAsia"/>
          <w:color w:val="auto"/>
          <w:szCs w:val="24"/>
        </w:rPr>
        <w:t>系根据证监许可</w:t>
      </w:r>
      <w:r>
        <w:rPr>
          <w:rFonts w:ascii="Times New Roman" w:eastAsia="宋体" w:hAnsi="Times New Roman" w:cs="Times New Roman"/>
          <w:color w:val="auto"/>
          <w:szCs w:val="24"/>
        </w:rPr>
        <w:t>[2020]237</w:t>
      </w:r>
      <w:r>
        <w:rPr>
          <w:rFonts w:ascii="Times New Roman" w:eastAsia="宋体" w:hAnsi="Times New Roman" w:cs="Times New Roman" w:hint="eastAsia"/>
          <w:color w:val="auto"/>
          <w:szCs w:val="24"/>
        </w:rPr>
        <w:t>号《关于准予富国中证银行交易型开放式指数证券投资基金注册的批复》注册募集，于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2020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4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1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日成立。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根据《中华人民共和国证券投资基金法》、《公开募集证券投资基金运作管理办法》、《公开募集证券投资基金信息披露管理办法》、《富国中证银行交易型开放式指数证券投资基金基金合同》（以下简称</w:t>
      </w:r>
      <w:r>
        <w:rPr>
          <w:rFonts w:ascii="Times New Roman" w:hAnsi="Times New Roman" w:cs="Times New Roman"/>
          <w:color w:val="auto"/>
          <w:szCs w:val="24"/>
        </w:rPr>
        <w:t>“</w:t>
      </w:r>
      <w:r>
        <w:rPr>
          <w:rFonts w:ascii="Times New Roman" w:eastAsia="宋体" w:hAnsi="Times New Roman" w:cs="Times New Roman" w:hint="eastAsia"/>
          <w:color w:val="auto"/>
          <w:szCs w:val="24"/>
        </w:rPr>
        <w:t>基金合同</w:t>
      </w:r>
      <w:r>
        <w:rPr>
          <w:rFonts w:ascii="Times New Roman" w:hAnsi="Times New Roman" w:cs="Times New Roman"/>
          <w:color w:val="auto"/>
          <w:szCs w:val="24"/>
        </w:rPr>
        <w:t>”</w:t>
      </w:r>
      <w:r>
        <w:rPr>
          <w:rFonts w:ascii="Times New Roman" w:eastAsia="宋体" w:hAnsi="Times New Roman" w:cs="Times New Roman" w:hint="eastAsia"/>
          <w:color w:val="auto"/>
          <w:szCs w:val="24"/>
        </w:rPr>
        <w:t>）的有关规定，本基金出现了基金合同终止事由，已召开基金份额持有人大会审议终止基金合同，现已完成基金清算并于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日披露本基金清算报告。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本公司已向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证券交易所申请本基金终止上市交易，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并</w:t>
      </w:r>
      <w:r>
        <w:rPr>
          <w:rFonts w:ascii="Times New Roman" w:eastAsia="宋体" w:hAnsi="Times New Roman" w:cs="Times New Roman"/>
          <w:color w:val="auto"/>
          <w:szCs w:val="24"/>
        </w:rPr>
        <w:t>获得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证券交易所《关于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富国中证银行交易型开放式指数证券投资基金终止</w:t>
      </w:r>
      <w:r>
        <w:rPr>
          <w:rFonts w:ascii="Times New Roman" w:eastAsia="宋体" w:hAnsi="Times New Roman" w:cs="Times New Roman"/>
          <w:color w:val="auto"/>
          <w:szCs w:val="24"/>
        </w:rPr>
        <w:t>上市</w:t>
      </w:r>
      <w:r>
        <w:rPr>
          <w:rFonts w:ascii="Times New Roman" w:eastAsia="宋体" w:hAnsi="Times New Roman" w:cs="Times New Roman" w:hint="eastAsia"/>
          <w:color w:val="auto"/>
          <w:szCs w:val="24"/>
        </w:rPr>
        <w:t>的</w:t>
      </w:r>
      <w:r>
        <w:rPr>
          <w:rFonts w:ascii="Times New Roman" w:eastAsia="宋体" w:hAnsi="Times New Roman" w:cs="Times New Roman"/>
          <w:color w:val="auto"/>
          <w:szCs w:val="24"/>
        </w:rPr>
        <w:t>决定》（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上海证券交易所自律监管决定书</w:t>
      </w:r>
      <w:r>
        <w:rPr>
          <w:rFonts w:ascii="Times New Roman" w:eastAsia="宋体" w:hAnsi="Times New Roman" w:cs="Times New Roman"/>
          <w:color w:val="auto"/>
          <w:szCs w:val="24"/>
        </w:rPr>
        <w:t>[2024]122</w:t>
      </w:r>
      <w:r>
        <w:rPr>
          <w:rFonts w:ascii="Times New Roman" w:eastAsia="宋体" w:hAnsi="Times New Roman" w:cs="Times New Roman" w:hint="eastAsia"/>
          <w:color w:val="auto"/>
          <w:szCs w:val="24"/>
        </w:rPr>
        <w:t>号</w:t>
      </w:r>
      <w:r>
        <w:rPr>
          <w:rFonts w:ascii="Times New Roman" w:eastAsia="宋体" w:hAnsi="Times New Roman" w:cs="Times New Roman"/>
          <w:color w:val="auto"/>
          <w:szCs w:val="24"/>
        </w:rPr>
        <w:t>）同意。现将本基金终止上市相关内容公告如下：</w:t>
      </w:r>
      <w:r>
        <w:rPr>
          <w:rFonts w:ascii="Times New Roman" w:eastAsia="宋体" w:hAnsi="Times New Roman" w:cs="Times New Roman"/>
          <w:color w:val="auto"/>
          <w:szCs w:val="24"/>
        </w:rPr>
        <w:t xml:space="preserve"> </w:t>
      </w:r>
    </w:p>
    <w:p w:rsidR="00641855" w:rsidRDefault="0021655E">
      <w:pPr>
        <w:pStyle w:val="3"/>
        <w:numPr>
          <w:ilvl w:val="0"/>
          <w:numId w:val="1"/>
        </w:numPr>
        <w:ind w:left="0" w:firstLineChars="200" w:firstLine="482"/>
      </w:pPr>
      <w:r>
        <w:t>本基金基本信息</w:t>
      </w:r>
      <w:r>
        <w:t xml:space="preserve"> 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基金名称：富国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中证银行</w:t>
      </w:r>
      <w:r>
        <w:rPr>
          <w:rFonts w:ascii="Times New Roman" w:eastAsia="宋体" w:hAnsi="Times New Roman" w:cs="Times New Roman"/>
          <w:color w:val="auto"/>
          <w:szCs w:val="24"/>
        </w:rPr>
        <w:t>交易型开放式指数证券投资基金</w:t>
      </w:r>
      <w:r>
        <w:rPr>
          <w:rFonts w:ascii="Times New Roman" w:eastAsia="宋体" w:hAnsi="Times New Roman" w:cs="Times New Roman"/>
          <w:color w:val="auto"/>
          <w:szCs w:val="24"/>
        </w:rPr>
        <w:t xml:space="preserve"> 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扩位</w:t>
      </w:r>
      <w:r>
        <w:rPr>
          <w:rFonts w:ascii="Times New Roman" w:eastAsia="宋体" w:hAnsi="Times New Roman" w:cs="Times New Roman"/>
          <w:color w:val="auto"/>
          <w:szCs w:val="24"/>
        </w:rPr>
        <w:t>简称：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银行龙头</w:t>
      </w:r>
      <w:r>
        <w:rPr>
          <w:rFonts w:ascii="Times New Roman" w:eastAsia="宋体" w:hAnsi="Times New Roman" w:cs="Times New Roman" w:hint="eastAsia"/>
          <w:color w:val="auto"/>
          <w:szCs w:val="24"/>
        </w:rPr>
        <w:t>E</w:t>
      </w:r>
      <w:r>
        <w:rPr>
          <w:rFonts w:ascii="Times New Roman" w:eastAsia="宋体" w:hAnsi="Times New Roman" w:cs="Times New Roman"/>
          <w:color w:val="auto"/>
          <w:szCs w:val="24"/>
        </w:rPr>
        <w:t>TF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基金代码：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515280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基金运作方式：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契约型，</w:t>
      </w:r>
      <w:r>
        <w:rPr>
          <w:rFonts w:ascii="Times New Roman" w:eastAsia="宋体" w:hAnsi="Times New Roman" w:cs="Times New Roman"/>
          <w:color w:val="auto"/>
          <w:szCs w:val="24"/>
        </w:rPr>
        <w:t>交易型开放式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基金份额上市的证券交易所：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上海</w:t>
      </w:r>
      <w:r>
        <w:rPr>
          <w:rFonts w:ascii="Times New Roman" w:eastAsia="宋体" w:hAnsi="Times New Roman" w:cs="Times New Roman"/>
          <w:color w:val="auto"/>
          <w:szCs w:val="24"/>
        </w:rPr>
        <w:t>证券交易所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终止上市日：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9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25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</w:t>
      </w:r>
    </w:p>
    <w:p w:rsidR="00641855" w:rsidRDefault="00641855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</w:p>
    <w:p w:rsidR="00641855" w:rsidRDefault="0021655E">
      <w:pPr>
        <w:pStyle w:val="3"/>
        <w:numPr>
          <w:ilvl w:val="0"/>
          <w:numId w:val="1"/>
        </w:numPr>
        <w:ind w:left="0" w:firstLineChars="200" w:firstLine="482"/>
      </w:pPr>
      <w:r>
        <w:t>基金终止上市后续事项说明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本基金出现基金合同约定的终止事由后，本公司已根据相关法律法规的规定成立基金财产清算小组，履行基金财产清算程序，基金财产清算相关事项详见本基金管理人于</w:t>
      </w:r>
      <w:r>
        <w:rPr>
          <w:rFonts w:ascii="Times New Roman" w:eastAsia="宋体" w:hAnsi="Times New Roman" w:cs="Times New Roman" w:hint="eastAsia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 w:hint="eastAsia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 w:hint="eastAsia"/>
          <w:color w:val="auto"/>
          <w:szCs w:val="24"/>
        </w:rPr>
        <w:t>28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日发布的《富国中证银行交易型开放式指数证券投</w:t>
      </w:r>
      <w:r>
        <w:rPr>
          <w:rFonts w:ascii="Times New Roman" w:eastAsia="宋体" w:hAnsi="Times New Roman" w:cs="Times New Roman" w:hint="eastAsia"/>
          <w:color w:val="auto"/>
          <w:szCs w:val="24"/>
        </w:rPr>
        <w:lastRenderedPageBreak/>
        <w:t>资基金清算报告》、于</w:t>
      </w:r>
      <w:r>
        <w:rPr>
          <w:rFonts w:ascii="Times New Roman" w:eastAsia="宋体" w:hAnsi="Times New Roman" w:cs="Times New Roman"/>
          <w:color w:val="auto"/>
          <w:szCs w:val="24"/>
        </w:rPr>
        <w:t>2024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/>
          <w:color w:val="auto"/>
          <w:szCs w:val="24"/>
        </w:rPr>
        <w:t>30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日发布的《富国中证</w:t>
      </w:r>
      <w:r>
        <w:rPr>
          <w:rFonts w:ascii="Times New Roman" w:eastAsia="宋体" w:hAnsi="Times New Roman" w:cs="Times New Roman"/>
          <w:color w:val="auto"/>
          <w:szCs w:val="24"/>
        </w:rPr>
        <w:t>银行</w:t>
      </w:r>
      <w:r>
        <w:rPr>
          <w:rFonts w:ascii="Times New Roman" w:eastAsia="宋体" w:hAnsi="Times New Roman" w:cs="Times New Roman" w:hint="eastAsia"/>
          <w:color w:val="auto"/>
          <w:szCs w:val="24"/>
        </w:rPr>
        <w:t>交易型开放式指数证券投资基金剩余财产分配公告》等相关公告。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投资者可登录本公司网站（</w:t>
      </w:r>
      <w:r>
        <w:rPr>
          <w:rFonts w:ascii="Times New Roman" w:eastAsia="宋体" w:hAnsi="Times New Roman" w:cs="Times New Roman"/>
          <w:color w:val="auto"/>
          <w:szCs w:val="24"/>
        </w:rPr>
        <w:t>www.fullgoal.com.cn</w:t>
      </w:r>
      <w:r>
        <w:rPr>
          <w:rFonts w:ascii="Times New Roman" w:eastAsia="宋体" w:hAnsi="Times New Roman" w:cs="Times New Roman"/>
          <w:color w:val="auto"/>
          <w:szCs w:val="24"/>
        </w:rPr>
        <w:t>）查询或拨打本公司客户服务电话</w:t>
      </w:r>
      <w:r>
        <w:rPr>
          <w:rFonts w:ascii="Times New Roman" w:eastAsia="宋体" w:hAnsi="Times New Roman" w:cs="Times New Roman"/>
          <w:color w:val="auto"/>
          <w:szCs w:val="24"/>
        </w:rPr>
        <w:t>95105686</w:t>
      </w:r>
      <w:r>
        <w:rPr>
          <w:rFonts w:ascii="Times New Roman" w:eastAsia="宋体" w:hAnsi="Times New Roman" w:cs="Times New Roman" w:hint="eastAsia"/>
          <w:color w:val="auto"/>
          <w:szCs w:val="24"/>
        </w:rPr>
        <w:t>、</w:t>
      </w:r>
      <w:r>
        <w:rPr>
          <w:rFonts w:ascii="Times New Roman" w:eastAsia="宋体" w:hAnsi="Times New Roman" w:cs="Times New Roman"/>
          <w:color w:val="auto"/>
          <w:szCs w:val="24"/>
        </w:rPr>
        <w:t>400-888-0688</w:t>
      </w:r>
      <w:r>
        <w:rPr>
          <w:rFonts w:ascii="Times New Roman" w:eastAsia="宋体" w:hAnsi="Times New Roman" w:cs="Times New Roman"/>
          <w:color w:val="auto"/>
          <w:szCs w:val="24"/>
        </w:rPr>
        <w:t>进行咨询。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风险提示：本公司承诺以诚实信用、勤勉尽责的原则管理和运用基金资产，但不保证基金一定盈利，也不保证最低收益。基金的过往业绩及其净值高低并不预示其未来业绩表现。本公司提醒投资人在做出投资决策后，基金运营状况与基金净值变化引致的投资风险，由投资人自行负担。投资者投资基金时应认真阅读基金的《基金合同》、更新的《招募说明书》等文件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本公告的有关内容在法律法规允许范围内由本公司负责解释。</w:t>
      </w:r>
    </w:p>
    <w:p w:rsidR="00641855" w:rsidRDefault="0021655E">
      <w:pPr>
        <w:widowControl w:val="0"/>
        <w:spacing w:after="0" w:line="360" w:lineRule="auto"/>
        <w:ind w:left="0" w:right="0" w:firstLineChars="200" w:firstLine="480"/>
        <w:jc w:val="both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特此公告。</w:t>
      </w:r>
    </w:p>
    <w:p w:rsidR="00641855" w:rsidRDefault="00641855">
      <w:pPr>
        <w:widowControl w:val="0"/>
        <w:spacing w:after="0" w:line="360" w:lineRule="auto"/>
        <w:ind w:left="0" w:right="0" w:firstLineChars="200" w:firstLine="480"/>
        <w:jc w:val="both"/>
      </w:pPr>
    </w:p>
    <w:p w:rsidR="00641855" w:rsidRDefault="0021655E">
      <w:pPr>
        <w:spacing w:after="216" w:line="240" w:lineRule="auto"/>
        <w:ind w:left="10" w:right="-12"/>
        <w:jc w:val="right"/>
      </w:pPr>
      <w:r>
        <w:t>富国基金管理有限公司</w:t>
      </w:r>
    </w:p>
    <w:p w:rsidR="00641855" w:rsidRDefault="0021655E">
      <w:pPr>
        <w:spacing w:after="0" w:line="240" w:lineRule="auto"/>
        <w:ind w:left="10" w:right="-12"/>
        <w:jc w:val="right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 w:hint="eastAsia"/>
          <w:color w:val="auto"/>
          <w:szCs w:val="24"/>
        </w:rPr>
        <w:t>202</w:t>
      </w:r>
      <w:r>
        <w:rPr>
          <w:rFonts w:ascii="Times New Roman" w:eastAsia="宋体" w:hAnsi="Times New Roman" w:cs="Times New Roman"/>
          <w:color w:val="auto"/>
          <w:szCs w:val="24"/>
        </w:rPr>
        <w:t>4</w:t>
      </w:r>
      <w:r>
        <w:rPr>
          <w:rFonts w:ascii="Times New Roman" w:eastAsia="宋体" w:hAnsi="Times New Roman" w:cs="Times New Roman" w:hint="eastAsia"/>
          <w:color w:val="auto"/>
          <w:szCs w:val="24"/>
        </w:rPr>
        <w:t>年</w:t>
      </w:r>
      <w:r>
        <w:rPr>
          <w:rFonts w:ascii="Times New Roman" w:eastAsia="宋体" w:hAnsi="Times New Roman" w:cs="Times New Roman"/>
          <w:color w:val="auto"/>
          <w:szCs w:val="24"/>
        </w:rPr>
        <w:t>9</w:t>
      </w:r>
      <w:r>
        <w:rPr>
          <w:rFonts w:ascii="Times New Roman" w:eastAsia="宋体" w:hAnsi="Times New Roman" w:cs="Times New Roman" w:hint="eastAsia"/>
          <w:color w:val="auto"/>
          <w:szCs w:val="24"/>
        </w:rPr>
        <w:t>月</w:t>
      </w:r>
      <w:r>
        <w:rPr>
          <w:rFonts w:ascii="Times New Roman" w:eastAsia="宋体" w:hAnsi="Times New Roman" w:cs="Times New Roman"/>
          <w:color w:val="auto"/>
          <w:szCs w:val="24"/>
        </w:rPr>
        <w:t>18</w:t>
      </w:r>
      <w:r>
        <w:rPr>
          <w:rFonts w:ascii="Times New Roman" w:eastAsia="宋体" w:hAnsi="Times New Roman" w:cs="Times New Roman" w:hint="eastAsia"/>
          <w:color w:val="auto"/>
          <w:szCs w:val="24"/>
        </w:rPr>
        <w:t>日</w:t>
      </w:r>
    </w:p>
    <w:p w:rsidR="00641855" w:rsidRDefault="00641855">
      <w:pPr>
        <w:spacing w:after="0" w:line="240" w:lineRule="auto"/>
        <w:ind w:left="10" w:right="-12"/>
        <w:jc w:val="right"/>
        <w:rPr>
          <w:rFonts w:ascii="Times New Roman" w:eastAsia="宋体" w:hAnsi="Times New Roman" w:cs="Times New Roman"/>
          <w:color w:val="auto"/>
          <w:szCs w:val="24"/>
        </w:rPr>
      </w:pPr>
    </w:p>
    <w:sectPr w:rsidR="00641855" w:rsidSect="003D08E0">
      <w:pgSz w:w="11906" w:h="16838"/>
      <w:pgMar w:top="1553" w:right="1685" w:bottom="19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5E" w:rsidRDefault="0021655E">
      <w:pPr>
        <w:spacing w:line="240" w:lineRule="auto"/>
      </w:pPr>
      <w:r>
        <w:separator/>
      </w:r>
    </w:p>
  </w:endnote>
  <w:endnote w:type="continuationSeparator" w:id="0">
    <w:p w:rsidR="0021655E" w:rsidRDefault="00216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5E" w:rsidRDefault="0021655E">
      <w:pPr>
        <w:spacing w:after="0"/>
      </w:pPr>
      <w:r>
        <w:separator/>
      </w:r>
    </w:p>
  </w:footnote>
  <w:footnote w:type="continuationSeparator" w:id="0">
    <w:p w:rsidR="0021655E" w:rsidRDefault="002165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45C8"/>
    <w:multiLevelType w:val="multilevel"/>
    <w:tmpl w:val="598045C8"/>
    <w:lvl w:ilvl="0">
      <w:start w:val="1"/>
      <w:numFmt w:val="japaneseCounting"/>
      <w:lvlText w:val="%1、"/>
      <w:lvlJc w:val="left"/>
      <w:pPr>
        <w:ind w:left="1756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A1"/>
    <w:rsid w:val="0002240C"/>
    <w:rsid w:val="000F1CF0"/>
    <w:rsid w:val="00104FA1"/>
    <w:rsid w:val="001642AE"/>
    <w:rsid w:val="001735B3"/>
    <w:rsid w:val="001C4564"/>
    <w:rsid w:val="001E5EB6"/>
    <w:rsid w:val="0021655E"/>
    <w:rsid w:val="00226356"/>
    <w:rsid w:val="00283902"/>
    <w:rsid w:val="00283C9E"/>
    <w:rsid w:val="0028627B"/>
    <w:rsid w:val="002D12EC"/>
    <w:rsid w:val="00344273"/>
    <w:rsid w:val="003B0AAD"/>
    <w:rsid w:val="003D08E0"/>
    <w:rsid w:val="003E2EE0"/>
    <w:rsid w:val="004654D6"/>
    <w:rsid w:val="00494DA0"/>
    <w:rsid w:val="00505F56"/>
    <w:rsid w:val="00515EE3"/>
    <w:rsid w:val="00521980"/>
    <w:rsid w:val="005D7341"/>
    <w:rsid w:val="005F753D"/>
    <w:rsid w:val="00641855"/>
    <w:rsid w:val="00656529"/>
    <w:rsid w:val="00683C1B"/>
    <w:rsid w:val="00710A21"/>
    <w:rsid w:val="00727D3A"/>
    <w:rsid w:val="007475A3"/>
    <w:rsid w:val="0078671C"/>
    <w:rsid w:val="007A6C04"/>
    <w:rsid w:val="007D525C"/>
    <w:rsid w:val="008823C4"/>
    <w:rsid w:val="00893853"/>
    <w:rsid w:val="008A3B30"/>
    <w:rsid w:val="008C6528"/>
    <w:rsid w:val="00902D66"/>
    <w:rsid w:val="00926270"/>
    <w:rsid w:val="009847CB"/>
    <w:rsid w:val="009B1A3B"/>
    <w:rsid w:val="00A11A60"/>
    <w:rsid w:val="00A2197F"/>
    <w:rsid w:val="00A94522"/>
    <w:rsid w:val="00AE7036"/>
    <w:rsid w:val="00B05E4B"/>
    <w:rsid w:val="00B66E24"/>
    <w:rsid w:val="00B70239"/>
    <w:rsid w:val="00BA2375"/>
    <w:rsid w:val="00BD0243"/>
    <w:rsid w:val="00BF742A"/>
    <w:rsid w:val="00C1103F"/>
    <w:rsid w:val="00C232C1"/>
    <w:rsid w:val="00C35767"/>
    <w:rsid w:val="00C717C9"/>
    <w:rsid w:val="00CB19D1"/>
    <w:rsid w:val="00D27132"/>
    <w:rsid w:val="00D30D0C"/>
    <w:rsid w:val="00D64CD5"/>
    <w:rsid w:val="00D85A2D"/>
    <w:rsid w:val="00D9434C"/>
    <w:rsid w:val="00D94D5C"/>
    <w:rsid w:val="00DF45A2"/>
    <w:rsid w:val="00DF741A"/>
    <w:rsid w:val="00E43671"/>
    <w:rsid w:val="00ED3664"/>
    <w:rsid w:val="00F72C50"/>
    <w:rsid w:val="00F917F5"/>
    <w:rsid w:val="40B437EF"/>
    <w:rsid w:val="4633189E"/>
    <w:rsid w:val="4FCD4E0F"/>
    <w:rsid w:val="563330A8"/>
    <w:rsid w:val="57B62A92"/>
    <w:rsid w:val="5DD53E75"/>
    <w:rsid w:val="7A7C4C05"/>
    <w:rsid w:val="7D66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E0"/>
    <w:pPr>
      <w:spacing w:after="212" w:line="397" w:lineRule="auto"/>
      <w:ind w:left="-5" w:right="-15" w:hanging="10"/>
    </w:pPr>
    <w:rPr>
      <w:rFonts w:ascii="Calibri" w:eastAsia="Calibri" w:hAnsi="Calibri" w:cs="Calibri"/>
      <w:color w:val="000000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3D08E0"/>
    <w:pPr>
      <w:keepNext/>
      <w:keepLines/>
      <w:widowControl w:val="0"/>
      <w:spacing w:after="0" w:line="360" w:lineRule="auto"/>
      <w:ind w:left="0" w:right="0" w:firstLine="0"/>
      <w:jc w:val="center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qFormat/>
    <w:rsid w:val="003D08E0"/>
    <w:pPr>
      <w:keepNext/>
      <w:keepLines/>
      <w:widowControl w:val="0"/>
      <w:spacing w:after="0" w:line="360" w:lineRule="auto"/>
      <w:ind w:left="0" w:right="0" w:firstLine="0"/>
      <w:jc w:val="both"/>
      <w:outlineLvl w:val="2"/>
    </w:pPr>
    <w:rPr>
      <w:rFonts w:ascii="Times New Roman" w:eastAsia="宋体" w:hAnsi="Times New Roman" w:cs="Times New Roman"/>
      <w:b/>
      <w:bCs/>
      <w:color w:val="auto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D08E0"/>
  </w:style>
  <w:style w:type="paragraph" w:styleId="a4">
    <w:name w:val="Balloon Text"/>
    <w:basedOn w:val="a"/>
    <w:link w:val="Char0"/>
    <w:uiPriority w:val="99"/>
    <w:semiHidden/>
    <w:unhideWhenUsed/>
    <w:qFormat/>
    <w:rsid w:val="003D08E0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D08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3D08E0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D08E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D08E0"/>
    <w:rPr>
      <w:rFonts w:ascii="Calibri" w:eastAsia="Calibri" w:hAnsi="Calibri" w:cs="Calibri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D08E0"/>
    <w:rPr>
      <w:rFonts w:ascii="Calibri" w:eastAsia="Calibri" w:hAnsi="Calibri" w:cs="Calibr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D08E0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3D08E0"/>
    <w:rPr>
      <w:rFonts w:ascii="Times New Roman" w:eastAsia="宋体" w:hAnsi="Times New Roman" w:cs="Times New Roman"/>
      <w:b/>
      <w:bCs/>
      <w:color w:val="000000"/>
      <w:kern w:val="44"/>
      <w:sz w:val="32"/>
      <w:szCs w:val="44"/>
    </w:rPr>
  </w:style>
  <w:style w:type="character" w:customStyle="1" w:styleId="3Char">
    <w:name w:val="标题 3 Char"/>
    <w:basedOn w:val="a0"/>
    <w:link w:val="3"/>
    <w:qFormat/>
    <w:rsid w:val="003D08E0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D08E0"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D08E0"/>
    <w:rPr>
      <w:rFonts w:ascii="Calibri" w:eastAsia="Calibri" w:hAnsi="Calibri" w:cs="Calibri"/>
      <w:color w:val="000000"/>
      <w:kern w:val="2"/>
      <w:sz w:val="24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D08E0"/>
    <w:rPr>
      <w:rFonts w:ascii="Calibri" w:eastAsia="Calibri" w:hAnsi="Calibri" w:cs="Calibri"/>
      <w:b/>
      <w:bCs/>
      <w:color w:val="000000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4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2024-09-15T16:01:00Z</dcterms:created>
  <dcterms:modified xsi:type="dcterms:W3CDTF">2024-09-15T16:01:00Z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28462EEE6538459285F35BC056A23938</vt:lpwstr>
  </property>
</Properties>
</file>