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32" w:rsidRPr="00AB26FA" w:rsidRDefault="00CE2632" w:rsidP="00CE2632">
      <w:pPr>
        <w:widowControl/>
        <w:spacing w:line="345" w:lineRule="atLeast"/>
        <w:ind w:firstLine="480"/>
        <w:jc w:val="center"/>
        <w:rPr>
          <w:b/>
          <w:bCs/>
          <w:color w:val="2B2B2B"/>
          <w:kern w:val="0"/>
          <w:szCs w:val="21"/>
        </w:rPr>
      </w:pPr>
      <w:r w:rsidRPr="00AB26FA">
        <w:rPr>
          <w:rFonts w:hint="eastAsia"/>
          <w:b/>
          <w:bCs/>
          <w:color w:val="2B2B2B"/>
          <w:kern w:val="0"/>
          <w:szCs w:val="21"/>
        </w:rPr>
        <w:t>浙商基金管理有限公司</w:t>
      </w:r>
    </w:p>
    <w:p w:rsidR="005362AA" w:rsidRDefault="00CE2632" w:rsidP="00CE2632">
      <w:pPr>
        <w:widowControl/>
        <w:spacing w:line="345" w:lineRule="atLeast"/>
        <w:ind w:firstLine="480"/>
        <w:jc w:val="center"/>
        <w:rPr>
          <w:b/>
          <w:bCs/>
          <w:kern w:val="0"/>
          <w:szCs w:val="21"/>
        </w:rPr>
      </w:pPr>
      <w:r w:rsidRPr="00505861">
        <w:rPr>
          <w:rFonts w:hint="eastAsia"/>
          <w:b/>
          <w:bCs/>
          <w:kern w:val="0"/>
          <w:szCs w:val="21"/>
        </w:rPr>
        <w:t>关于增聘</w:t>
      </w:r>
      <w:r w:rsidR="005362AA" w:rsidRPr="005362AA">
        <w:rPr>
          <w:rFonts w:hint="eastAsia"/>
          <w:b/>
          <w:bCs/>
          <w:kern w:val="0"/>
          <w:szCs w:val="21"/>
        </w:rPr>
        <w:t>浙商港股通中华交易服务预期高股息指数增强型证券投资基金</w:t>
      </w:r>
    </w:p>
    <w:p w:rsidR="00CE2632" w:rsidRPr="00AB26FA" w:rsidRDefault="00CE2632" w:rsidP="00CE2632">
      <w:pPr>
        <w:widowControl/>
        <w:spacing w:line="345" w:lineRule="atLeast"/>
        <w:ind w:firstLine="480"/>
        <w:jc w:val="center"/>
        <w:rPr>
          <w:b/>
          <w:bCs/>
          <w:color w:val="2B2B2B"/>
          <w:kern w:val="0"/>
          <w:szCs w:val="21"/>
        </w:rPr>
      </w:pPr>
      <w:r w:rsidRPr="00505861">
        <w:rPr>
          <w:rFonts w:hint="eastAsia"/>
          <w:b/>
          <w:bCs/>
          <w:kern w:val="0"/>
          <w:szCs w:val="21"/>
        </w:rPr>
        <w:t>基</w:t>
      </w:r>
      <w:r w:rsidRPr="0066646C">
        <w:rPr>
          <w:rFonts w:hint="eastAsia"/>
          <w:b/>
          <w:bCs/>
          <w:color w:val="2B2B2B"/>
          <w:kern w:val="0"/>
          <w:szCs w:val="21"/>
        </w:rPr>
        <w:t>金</w:t>
      </w:r>
      <w:r w:rsidRPr="00AB26FA">
        <w:rPr>
          <w:rFonts w:hint="eastAsia"/>
          <w:b/>
          <w:bCs/>
          <w:color w:val="2B2B2B"/>
          <w:kern w:val="0"/>
          <w:szCs w:val="21"/>
        </w:rPr>
        <w:t>经理的公告</w:t>
      </w:r>
    </w:p>
    <w:p w:rsidR="00CE2632" w:rsidRPr="00AB26FA" w:rsidRDefault="00CE2632" w:rsidP="00CE2632">
      <w:pPr>
        <w:widowControl/>
        <w:spacing w:line="345" w:lineRule="atLeast"/>
        <w:ind w:firstLine="480"/>
        <w:jc w:val="center"/>
        <w:rPr>
          <w:b/>
          <w:bCs/>
          <w:color w:val="2B2B2B"/>
          <w:kern w:val="0"/>
          <w:szCs w:val="21"/>
        </w:rPr>
      </w:pPr>
      <w:r w:rsidRPr="00AB26FA">
        <w:rPr>
          <w:rFonts w:hint="eastAsia"/>
          <w:b/>
          <w:bCs/>
          <w:color w:val="2B2B2B"/>
          <w:kern w:val="0"/>
          <w:szCs w:val="21"/>
        </w:rPr>
        <w:t>公告送出日期：</w:t>
      </w:r>
      <w:r w:rsidR="00002C75">
        <w:rPr>
          <w:rFonts w:hint="eastAsia"/>
          <w:b/>
          <w:bCs/>
          <w:color w:val="2B2B2B"/>
          <w:kern w:val="0"/>
          <w:szCs w:val="21"/>
        </w:rPr>
        <w:t>2024</w:t>
      </w:r>
      <w:r w:rsidRPr="00AB26FA">
        <w:rPr>
          <w:rFonts w:hint="eastAsia"/>
          <w:b/>
          <w:bCs/>
          <w:color w:val="2B2B2B"/>
          <w:kern w:val="0"/>
          <w:szCs w:val="21"/>
        </w:rPr>
        <w:t>年</w:t>
      </w:r>
      <w:r w:rsidR="00987CBA">
        <w:rPr>
          <w:rFonts w:hint="eastAsia"/>
          <w:b/>
          <w:bCs/>
          <w:color w:val="2B2B2B"/>
          <w:kern w:val="0"/>
          <w:szCs w:val="21"/>
        </w:rPr>
        <w:t>9</w:t>
      </w:r>
      <w:r w:rsidRPr="00AB26FA">
        <w:rPr>
          <w:rFonts w:hint="eastAsia"/>
          <w:b/>
          <w:bCs/>
          <w:color w:val="2B2B2B"/>
          <w:kern w:val="0"/>
          <w:szCs w:val="21"/>
        </w:rPr>
        <w:t>月</w:t>
      </w:r>
      <w:r w:rsidR="00D300A5">
        <w:rPr>
          <w:rFonts w:hint="eastAsia"/>
          <w:b/>
          <w:bCs/>
          <w:color w:val="2B2B2B"/>
          <w:kern w:val="0"/>
          <w:szCs w:val="21"/>
        </w:rPr>
        <w:t>12</w:t>
      </w:r>
      <w:r w:rsidR="00EB68BC">
        <w:rPr>
          <w:b/>
          <w:bCs/>
          <w:color w:val="2B2B2B"/>
          <w:kern w:val="0"/>
          <w:szCs w:val="21"/>
        </w:rPr>
        <w:t>日</w:t>
      </w:r>
    </w:p>
    <w:p w:rsidR="00CE2632" w:rsidRPr="00A01D89" w:rsidRDefault="00CE2632" w:rsidP="00CE2632">
      <w:pPr>
        <w:widowControl/>
        <w:spacing w:line="345" w:lineRule="atLeast"/>
        <w:ind w:firstLine="480"/>
        <w:jc w:val="left"/>
        <w:rPr>
          <w:rFonts w:ascii="宋体" w:hAnsi="宋体"/>
          <w:color w:val="2B2B2B"/>
          <w:kern w:val="0"/>
          <w:szCs w:val="21"/>
        </w:rPr>
      </w:pPr>
      <w:r w:rsidRPr="00AB26FA">
        <w:rPr>
          <w:b/>
          <w:bCs/>
          <w:color w:val="2B2B2B"/>
          <w:kern w:val="0"/>
          <w:szCs w:val="21"/>
        </w:rPr>
        <w:br/>
      </w:r>
      <w:r w:rsidRPr="00AB26FA">
        <w:rPr>
          <w:rFonts w:hint="eastAsia"/>
          <w:color w:val="2B2B2B"/>
          <w:kern w:val="0"/>
          <w:szCs w:val="21"/>
        </w:rPr>
        <w:t xml:space="preserve">　　</w:t>
      </w:r>
      <w:r w:rsidRPr="00AB26FA">
        <w:rPr>
          <w:color w:val="2B2B2B"/>
          <w:kern w:val="0"/>
          <w:szCs w:val="21"/>
        </w:rPr>
        <w:t>1</w:t>
      </w:r>
      <w:r w:rsidRPr="00A01D89">
        <w:rPr>
          <w:rFonts w:ascii="宋体" w:hAnsi="宋体" w:hint="eastAsia"/>
          <w:color w:val="2B2B2B"/>
          <w:kern w:val="0"/>
          <w:szCs w:val="21"/>
        </w:rPr>
        <w:t>、公告基本信息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9"/>
        <w:gridCol w:w="4777"/>
      </w:tblGrid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基金名称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32" w:rsidRPr="000B7F1A" w:rsidRDefault="00EA387C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  <w:highlight w:val="yellow"/>
              </w:rPr>
            </w:pPr>
            <w:r w:rsidRPr="00EA387C">
              <w:rPr>
                <w:rFonts w:ascii="宋体" w:hAnsi="宋体" w:hint="eastAsia"/>
                <w:color w:val="2B2B2B"/>
                <w:kern w:val="0"/>
                <w:szCs w:val="21"/>
              </w:rPr>
              <w:t>浙商港股通中华交易服务预期高股息指数增强型证券投资基金</w:t>
            </w:r>
          </w:p>
        </w:tc>
      </w:tr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基金简称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32" w:rsidRPr="007D61D0" w:rsidRDefault="00C72F1D" w:rsidP="007D61D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C72F1D">
              <w:rPr>
                <w:rFonts w:hint="eastAsia"/>
              </w:rPr>
              <w:t>浙商中华预期高股息</w:t>
            </w:r>
          </w:p>
        </w:tc>
      </w:tr>
      <w:tr w:rsidR="00CE2632" w:rsidRPr="00A01D89" w:rsidTr="003D413C">
        <w:trPr>
          <w:trHeight w:val="190"/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基金主代码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32" w:rsidRPr="000B7F1A" w:rsidRDefault="00C72F1D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007178</w:t>
            </w:r>
          </w:p>
        </w:tc>
      </w:tr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基金管理人名称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浙商基金管理有限公司</w:t>
            </w:r>
          </w:p>
        </w:tc>
      </w:tr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公告依据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《</w:t>
            </w: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公开募集</w:t>
            </w: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证券投资基金信息披露管理办法》</w:t>
            </w:r>
          </w:p>
        </w:tc>
      </w:tr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基金经理变更类型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7D61D0">
              <w:rPr>
                <w:rFonts w:ascii="宋体" w:hAnsi="宋体" w:hint="eastAsia"/>
                <w:kern w:val="0"/>
                <w:szCs w:val="21"/>
              </w:rPr>
              <w:t>增聘</w:t>
            </w: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基金经理</w:t>
            </w:r>
          </w:p>
        </w:tc>
      </w:tr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增聘基金经理姓名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DE3A3B" w:rsidRDefault="00725193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胡羿</w:t>
            </w:r>
          </w:p>
        </w:tc>
      </w:tr>
      <w:tr w:rsidR="00CE2632" w:rsidRPr="00A01D89" w:rsidTr="003D413C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共同管理本基金的其他基金经理姓名</w:t>
            </w:r>
          </w:p>
        </w:tc>
        <w:tc>
          <w:tcPr>
            <w:tcW w:w="2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32" w:rsidRPr="00A01D89" w:rsidRDefault="0027483B" w:rsidP="00212EEE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贾腾</w:t>
            </w:r>
          </w:p>
        </w:tc>
      </w:tr>
    </w:tbl>
    <w:p w:rsidR="00CE2632" w:rsidRPr="00A01D89" w:rsidRDefault="00CE2632" w:rsidP="00CE2632">
      <w:pPr>
        <w:widowControl/>
        <w:spacing w:line="345" w:lineRule="atLeast"/>
        <w:ind w:firstLine="480"/>
        <w:rPr>
          <w:rFonts w:ascii="宋体" w:hAnsi="宋体"/>
          <w:color w:val="2B2B2B"/>
          <w:kern w:val="0"/>
          <w:szCs w:val="21"/>
        </w:rPr>
      </w:pPr>
      <w:r w:rsidRPr="00A01D89">
        <w:rPr>
          <w:rFonts w:ascii="宋体" w:hAnsi="宋体"/>
          <w:color w:val="2B2B2B"/>
          <w:kern w:val="0"/>
          <w:szCs w:val="21"/>
        </w:rPr>
        <w:br/>
      </w:r>
      <w:r w:rsidRPr="00A01D89">
        <w:rPr>
          <w:rFonts w:ascii="宋体" w:hAnsi="宋体" w:hint="eastAsia"/>
          <w:color w:val="2B2B2B"/>
          <w:kern w:val="0"/>
          <w:szCs w:val="21"/>
        </w:rPr>
        <w:t xml:space="preserve">　　</w:t>
      </w:r>
      <w:r w:rsidRPr="00A01D89">
        <w:rPr>
          <w:rFonts w:ascii="宋体" w:hAnsi="宋体"/>
          <w:color w:val="2B2B2B"/>
          <w:kern w:val="0"/>
          <w:szCs w:val="21"/>
        </w:rPr>
        <w:t>2</w:t>
      </w:r>
      <w:r w:rsidRPr="00A01D89">
        <w:rPr>
          <w:rFonts w:ascii="宋体" w:hAnsi="宋体" w:hint="eastAsia"/>
          <w:color w:val="2B2B2B"/>
          <w:kern w:val="0"/>
          <w:szCs w:val="21"/>
        </w:rPr>
        <w:t>、增聘基金经理的相关信息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177"/>
        <w:gridCol w:w="1277"/>
        <w:gridCol w:w="1099"/>
        <w:gridCol w:w="1134"/>
      </w:tblGrid>
      <w:tr w:rsidR="00CE2632" w:rsidRPr="00A01D89" w:rsidTr="003D413C">
        <w:trPr>
          <w:trHeight w:val="407"/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新任基金经理姓名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725193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胡羿</w:t>
            </w:r>
          </w:p>
        </w:tc>
      </w:tr>
      <w:tr w:rsidR="00CE2632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任职日期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7D61D0" w:rsidP="00785F83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2024</w:t>
            </w:r>
            <w:r w:rsidR="0018292B">
              <w:rPr>
                <w:rFonts w:ascii="宋体" w:hAnsi="宋体"/>
                <w:color w:val="2B2B2B"/>
                <w:kern w:val="0"/>
                <w:szCs w:val="21"/>
              </w:rPr>
              <w:t>年</w:t>
            </w:r>
            <w:r w:rsidR="00276E66">
              <w:rPr>
                <w:rFonts w:ascii="宋体" w:hAnsi="宋体" w:hint="eastAsia"/>
                <w:color w:val="2B2B2B"/>
                <w:kern w:val="0"/>
                <w:szCs w:val="21"/>
              </w:rPr>
              <w:t>9</w:t>
            </w:r>
            <w:r w:rsidR="0018292B">
              <w:rPr>
                <w:rFonts w:ascii="宋体" w:hAnsi="宋体"/>
                <w:color w:val="2B2B2B"/>
                <w:kern w:val="0"/>
                <w:szCs w:val="21"/>
              </w:rPr>
              <w:t>月</w:t>
            </w:r>
            <w:r w:rsidR="00D300A5">
              <w:rPr>
                <w:rFonts w:ascii="宋体" w:hAnsi="宋体" w:hint="eastAsia"/>
                <w:color w:val="2B2B2B"/>
                <w:kern w:val="0"/>
                <w:szCs w:val="21"/>
              </w:rPr>
              <w:t>1</w:t>
            </w:r>
            <w:r w:rsidR="00276E66">
              <w:rPr>
                <w:rFonts w:ascii="宋体" w:hAnsi="宋体" w:hint="eastAsia"/>
                <w:color w:val="2B2B2B"/>
                <w:kern w:val="0"/>
                <w:szCs w:val="21"/>
              </w:rPr>
              <w:t>1</w:t>
            </w:r>
            <w:r w:rsidR="0018292B">
              <w:rPr>
                <w:rFonts w:ascii="宋体" w:hAnsi="宋体"/>
                <w:color w:val="2B2B2B"/>
                <w:kern w:val="0"/>
                <w:szCs w:val="21"/>
              </w:rPr>
              <w:t>日</w:t>
            </w:r>
          </w:p>
        </w:tc>
      </w:tr>
      <w:tr w:rsidR="00CE2632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证券从业年限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7133AF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9</w:t>
            </w:r>
          </w:p>
        </w:tc>
      </w:tr>
      <w:tr w:rsidR="00CE2632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CE2632" w:rsidP="003D413C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证券投资管理从业年限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CE2632" w:rsidRPr="00A01D89" w:rsidRDefault="00957751" w:rsidP="00832428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5</w:t>
            </w:r>
          </w:p>
        </w:tc>
      </w:tr>
      <w:tr w:rsidR="00B74F6B" w:rsidRPr="00A01D89" w:rsidTr="00B74F6B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B74F6B" w:rsidRPr="00A01D89" w:rsidRDefault="00B74F6B" w:rsidP="00B74F6B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过往从业经历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B74F6B" w:rsidRPr="00A01D89" w:rsidRDefault="004C5A26" w:rsidP="00B74F6B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B563E0">
              <w:rPr>
                <w:rFonts w:ascii="宋体" w:hAnsi="宋体"/>
                <w:color w:val="2B2B2B"/>
                <w:kern w:val="0"/>
                <w:szCs w:val="21"/>
              </w:rPr>
              <w:t>2020 年 7 月加入浙商基金管理有限公司，目前任职于智能权益投资部。</w:t>
            </w:r>
          </w:p>
        </w:tc>
      </w:tr>
      <w:tr w:rsidR="009D19D9" w:rsidRPr="00A01D89" w:rsidTr="003D413C">
        <w:trPr>
          <w:trHeight w:val="527"/>
          <w:jc w:val="center"/>
        </w:trPr>
        <w:tc>
          <w:tcPr>
            <w:tcW w:w="3676" w:type="dxa"/>
            <w:vMerge w:val="restart"/>
            <w:tcBorders>
              <w:top w:val="outset" w:sz="8" w:space="0" w:color="A6A6A6"/>
              <w:left w:val="outset" w:sz="8" w:space="0" w:color="A6A6A6"/>
              <w:right w:val="outset" w:sz="8" w:space="0" w:color="A6A6A6"/>
            </w:tcBorders>
            <w:hideMark/>
          </w:tcPr>
          <w:p w:rsidR="009D19D9" w:rsidRPr="00A01D89" w:rsidRDefault="009D19D9" w:rsidP="00B74F6B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其中：管理过公募基金的名称及期间</w:t>
            </w: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9D19D9" w:rsidRPr="00A01D89" w:rsidRDefault="009D19D9" w:rsidP="00B74F6B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基金主代码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9D19D9" w:rsidRPr="00A01D89" w:rsidRDefault="009D19D9" w:rsidP="00B74F6B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基金名称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9D19D9" w:rsidRPr="00A01D89" w:rsidRDefault="009D19D9" w:rsidP="00B74F6B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任职日期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9D19D9" w:rsidRPr="00A01D89" w:rsidRDefault="009D19D9" w:rsidP="00B74F6B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离任日期</w:t>
            </w:r>
          </w:p>
        </w:tc>
      </w:tr>
      <w:tr w:rsidR="009D19D9" w:rsidRPr="00A01D89" w:rsidTr="0087695F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010749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浙商创业板指数增强型发起式证券投资基金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2021-08-03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2024-04-27</w:t>
            </w:r>
          </w:p>
        </w:tc>
      </w:tr>
      <w:tr w:rsidR="009D19D9" w:rsidRPr="00A01D89" w:rsidTr="00CD353C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002076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浙商中证500指数增强型证券投资基金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2021-08-03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6C6D0A">
              <w:rPr>
                <w:rFonts w:ascii="宋体" w:hAnsi="宋体"/>
                <w:color w:val="2B2B2B"/>
                <w:kern w:val="0"/>
                <w:szCs w:val="21"/>
              </w:rPr>
              <w:t>-</w:t>
            </w:r>
          </w:p>
        </w:tc>
      </w:tr>
      <w:tr w:rsidR="009D19D9" w:rsidRPr="00A01D89" w:rsidTr="00CD353C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166802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浙商沪深300指数增强型证券投资基金（LOF）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56E95">
              <w:rPr>
                <w:rFonts w:ascii="宋体" w:hAnsi="宋体"/>
                <w:color w:val="2B2B2B"/>
                <w:kern w:val="0"/>
                <w:szCs w:val="21"/>
              </w:rPr>
              <w:t>2021-08-03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6C6D0A">
              <w:rPr>
                <w:rFonts w:ascii="宋体" w:hAnsi="宋体"/>
                <w:color w:val="2B2B2B"/>
                <w:kern w:val="0"/>
                <w:szCs w:val="21"/>
              </w:rPr>
              <w:t>-</w:t>
            </w:r>
          </w:p>
        </w:tc>
      </w:tr>
      <w:tr w:rsidR="009D19D9" w:rsidRPr="00A01D89" w:rsidTr="00295FDF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542931">
              <w:rPr>
                <w:rFonts w:ascii="宋体" w:hAnsi="宋体"/>
                <w:color w:val="2B2B2B"/>
                <w:kern w:val="0"/>
                <w:szCs w:val="21"/>
              </w:rPr>
              <w:t>007177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542931">
              <w:rPr>
                <w:rFonts w:ascii="宋体" w:hAnsi="宋体" w:hint="eastAsia"/>
                <w:color w:val="2B2B2B"/>
                <w:kern w:val="0"/>
                <w:szCs w:val="21"/>
              </w:rPr>
              <w:t>浙商智能行业优选混合型发起式证券投资基金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2B2B2B"/>
                <w:kern w:val="0"/>
                <w:szCs w:val="21"/>
              </w:rPr>
              <w:t>022-12-19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6C6D0A">
              <w:rPr>
                <w:rFonts w:ascii="宋体" w:hAnsi="宋体"/>
                <w:color w:val="2B2B2B"/>
                <w:kern w:val="0"/>
                <w:szCs w:val="21"/>
              </w:rPr>
              <w:t>-</w:t>
            </w:r>
          </w:p>
        </w:tc>
      </w:tr>
      <w:tr w:rsidR="009D19D9" w:rsidRPr="00A01D89" w:rsidTr="00295FDF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542931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3904CB">
              <w:rPr>
                <w:rFonts w:ascii="宋体" w:hAnsi="宋体"/>
                <w:color w:val="2B2B2B"/>
                <w:kern w:val="0"/>
                <w:szCs w:val="21"/>
              </w:rPr>
              <w:t>009181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542931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Roboto" w:hAnsi="Roboto"/>
                <w:shd w:val="clear" w:color="auto" w:fill="FFFFFF"/>
              </w:rPr>
              <w:t>浙商智多兴稳健回报一年持有期混合型证券投资基金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2023-06-28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6C6D0A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</w:tr>
      <w:tr w:rsidR="009D19D9" w:rsidRPr="00A01D89" w:rsidTr="00295FDF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542931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3904CB">
              <w:rPr>
                <w:rFonts w:ascii="宋体" w:hAnsi="宋体"/>
                <w:color w:val="2B2B2B"/>
                <w:kern w:val="0"/>
                <w:szCs w:val="21"/>
              </w:rPr>
              <w:t>018233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542931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Roboto" w:hAnsi="Roboto"/>
                <w:shd w:val="clear" w:color="auto" w:fill="FFFFFF"/>
              </w:rPr>
              <w:t>浙商中证</w:t>
            </w:r>
            <w:r>
              <w:rPr>
                <w:rFonts w:ascii="Roboto" w:hAnsi="Roboto"/>
                <w:shd w:val="clear" w:color="auto" w:fill="FFFFFF"/>
              </w:rPr>
              <w:t>1000</w:t>
            </w:r>
            <w:r>
              <w:rPr>
                <w:rFonts w:ascii="Roboto" w:hAnsi="Roboto"/>
                <w:shd w:val="clear" w:color="auto" w:fill="FFFFFF"/>
              </w:rPr>
              <w:t>指数增强型证券投资基金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2023-09-26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6C6D0A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</w:tr>
      <w:tr w:rsidR="009D19D9" w:rsidRPr="00A01D89" w:rsidTr="00295FDF">
        <w:trPr>
          <w:trHeight w:val="527"/>
          <w:jc w:val="center"/>
        </w:trPr>
        <w:tc>
          <w:tcPr>
            <w:tcW w:w="3676" w:type="dxa"/>
            <w:vMerge/>
            <w:tcBorders>
              <w:left w:val="outset" w:sz="8" w:space="0" w:color="A6A6A6"/>
              <w:right w:val="outset" w:sz="8" w:space="0" w:color="A6A6A6"/>
            </w:tcBorders>
          </w:tcPr>
          <w:p w:rsidR="009D19D9" w:rsidRPr="00A01D89" w:rsidRDefault="009D19D9" w:rsidP="007A2980">
            <w:pPr>
              <w:widowControl/>
              <w:spacing w:before="100" w:beforeAutospacing="1" w:after="100" w:afterAutospacing="1" w:line="345" w:lineRule="atLeast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3904CB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DC30D3">
              <w:rPr>
                <w:rFonts w:ascii="宋体" w:hAnsi="宋体"/>
                <w:color w:val="2B2B2B"/>
                <w:kern w:val="0"/>
                <w:szCs w:val="21"/>
              </w:rPr>
              <w:t>012268</w:t>
            </w:r>
          </w:p>
        </w:tc>
        <w:tc>
          <w:tcPr>
            <w:tcW w:w="1277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A215E4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Roboto" w:hAnsi="Roboto"/>
                <w:shd w:val="clear" w:color="auto" w:fill="FFFFFF"/>
              </w:rPr>
            </w:pPr>
            <w:r w:rsidRPr="00A215E4">
              <w:rPr>
                <w:rFonts w:ascii="Roboto" w:hAnsi="Roboto" w:hint="eastAsia"/>
                <w:shd w:val="clear" w:color="auto" w:fill="FFFFFF"/>
              </w:rPr>
              <w:t>浙商智多享稳健混合型发起式证券投资基金</w:t>
            </w:r>
          </w:p>
        </w:tc>
        <w:tc>
          <w:tcPr>
            <w:tcW w:w="1099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A215E4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>
              <w:rPr>
                <w:rFonts w:ascii="宋体" w:hAnsi="宋体" w:hint="eastAsia"/>
                <w:color w:val="2B2B2B"/>
                <w:kern w:val="0"/>
                <w:szCs w:val="21"/>
              </w:rPr>
              <w:t>2024-07-10</w:t>
            </w:r>
          </w:p>
        </w:tc>
        <w:tc>
          <w:tcPr>
            <w:tcW w:w="1134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</w:tcPr>
          <w:p w:rsidR="009D19D9" w:rsidRPr="006C6D0A" w:rsidRDefault="009D19D9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</w:p>
        </w:tc>
      </w:tr>
      <w:tr w:rsidR="007A2980" w:rsidRPr="00A01D89" w:rsidTr="00662428">
        <w:trPr>
          <w:trHeight w:val="54"/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是否曾被监管机构予以行政处罚或采取行政监管措施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否</w:t>
            </w:r>
          </w:p>
        </w:tc>
      </w:tr>
      <w:tr w:rsidR="007A2980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是否已取得基金从业资格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是</w:t>
            </w:r>
          </w:p>
        </w:tc>
      </w:tr>
      <w:tr w:rsidR="007A2980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取得的其他相关从业资格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否</w:t>
            </w:r>
          </w:p>
        </w:tc>
      </w:tr>
      <w:tr w:rsidR="007A2980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国籍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中国</w:t>
            </w:r>
          </w:p>
        </w:tc>
      </w:tr>
      <w:tr w:rsidR="007A2980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学历、学位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7C781D">
              <w:rPr>
                <w:rFonts w:ascii="宋体" w:hAnsi="宋体" w:hint="eastAsia"/>
                <w:kern w:val="0"/>
                <w:szCs w:val="21"/>
              </w:rPr>
              <w:t>研究生学历、</w:t>
            </w:r>
            <w:r w:rsidR="00157BDF">
              <w:rPr>
                <w:rFonts w:ascii="宋体" w:hAnsi="宋体" w:hint="eastAsia"/>
                <w:kern w:val="0"/>
                <w:szCs w:val="21"/>
              </w:rPr>
              <w:t>金融学硕士</w:t>
            </w:r>
          </w:p>
        </w:tc>
      </w:tr>
      <w:tr w:rsidR="007A2980" w:rsidRPr="00A01D89" w:rsidTr="003D413C">
        <w:trPr>
          <w:jc w:val="center"/>
        </w:trPr>
        <w:tc>
          <w:tcPr>
            <w:tcW w:w="3676" w:type="dxa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是否已按规定在中国基金业协会注册</w:t>
            </w:r>
            <w:r w:rsidRPr="00A01D89">
              <w:rPr>
                <w:rFonts w:ascii="宋体" w:hAnsi="宋体"/>
                <w:color w:val="2B2B2B"/>
                <w:kern w:val="0"/>
                <w:szCs w:val="21"/>
              </w:rPr>
              <w:t>/</w:t>
            </w: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登记</w:t>
            </w:r>
          </w:p>
        </w:tc>
        <w:tc>
          <w:tcPr>
            <w:tcW w:w="4687" w:type="dxa"/>
            <w:gridSpan w:val="4"/>
            <w:tcBorders>
              <w:top w:val="outset" w:sz="8" w:space="0" w:color="A6A6A6"/>
              <w:left w:val="outset" w:sz="8" w:space="0" w:color="A6A6A6"/>
              <w:bottom w:val="outset" w:sz="8" w:space="0" w:color="A6A6A6"/>
              <w:right w:val="outset" w:sz="8" w:space="0" w:color="A6A6A6"/>
            </w:tcBorders>
            <w:vAlign w:val="center"/>
            <w:hideMark/>
          </w:tcPr>
          <w:p w:rsidR="007A2980" w:rsidRPr="00A01D89" w:rsidRDefault="007A2980" w:rsidP="007A2980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/>
                <w:color w:val="2B2B2B"/>
                <w:kern w:val="0"/>
                <w:szCs w:val="21"/>
              </w:rPr>
            </w:pPr>
            <w:r w:rsidRPr="00A01D89">
              <w:rPr>
                <w:rFonts w:ascii="宋体" w:hAnsi="宋体" w:hint="eastAsia"/>
                <w:color w:val="2B2B2B"/>
                <w:kern w:val="0"/>
                <w:szCs w:val="21"/>
              </w:rPr>
              <w:t>是</w:t>
            </w:r>
          </w:p>
        </w:tc>
      </w:tr>
    </w:tbl>
    <w:p w:rsidR="00CE2632" w:rsidRPr="00CF2A0D" w:rsidRDefault="00CE2632" w:rsidP="00CE2632">
      <w:pPr>
        <w:widowControl/>
        <w:spacing w:line="345" w:lineRule="atLeast"/>
        <w:ind w:firstLine="420"/>
        <w:rPr>
          <w:rFonts w:ascii="宋体" w:hAnsi="宋体"/>
          <w:szCs w:val="21"/>
        </w:rPr>
      </w:pPr>
      <w:r w:rsidRPr="00A01D89">
        <w:rPr>
          <w:rFonts w:ascii="宋体" w:hAnsi="宋体"/>
          <w:color w:val="2B2B2B"/>
          <w:kern w:val="0"/>
          <w:szCs w:val="21"/>
        </w:rPr>
        <w:t>3</w:t>
      </w:r>
      <w:r w:rsidRPr="00A01D89">
        <w:rPr>
          <w:rFonts w:ascii="宋体" w:hAnsi="宋体" w:hint="eastAsia"/>
          <w:color w:val="2B2B2B"/>
          <w:kern w:val="0"/>
          <w:szCs w:val="21"/>
        </w:rPr>
        <w:t>、其他需要提示的事项</w:t>
      </w:r>
      <w:r w:rsidRPr="00A01D89">
        <w:rPr>
          <w:rFonts w:ascii="宋体" w:hAnsi="宋体"/>
          <w:color w:val="2B2B2B"/>
          <w:kern w:val="0"/>
          <w:szCs w:val="21"/>
        </w:rPr>
        <w:br/>
      </w:r>
      <w:r w:rsidRPr="00A01D89">
        <w:rPr>
          <w:rFonts w:ascii="宋体" w:hAnsi="宋体" w:hint="eastAsia"/>
          <w:color w:val="2B2B2B"/>
          <w:kern w:val="0"/>
          <w:szCs w:val="21"/>
        </w:rPr>
        <w:t xml:space="preserve">　　</w:t>
      </w:r>
      <w:r w:rsidRPr="00A01D89">
        <w:rPr>
          <w:rFonts w:ascii="宋体" w:hAnsi="宋体" w:hint="eastAsia"/>
          <w:szCs w:val="21"/>
        </w:rPr>
        <w:t>上述事项已在中国证券投资基金业协会完成相关手续，并报中国证监会浙江监管局备案。</w:t>
      </w:r>
    </w:p>
    <w:p w:rsidR="00CE2632" w:rsidRPr="00A01D89" w:rsidRDefault="00CE2632" w:rsidP="00CE2632">
      <w:pPr>
        <w:widowControl/>
        <w:spacing w:line="345" w:lineRule="atLeast"/>
        <w:ind w:firstLine="480"/>
        <w:rPr>
          <w:rFonts w:ascii="宋体" w:hAnsi="宋体"/>
          <w:color w:val="2B2B2B"/>
          <w:kern w:val="0"/>
          <w:szCs w:val="21"/>
        </w:rPr>
      </w:pPr>
      <w:r w:rsidRPr="00A01D89">
        <w:rPr>
          <w:rFonts w:ascii="宋体" w:hAnsi="宋体" w:hint="eastAsia"/>
          <w:color w:val="2B2B2B"/>
          <w:kern w:val="0"/>
          <w:szCs w:val="21"/>
        </w:rPr>
        <w:t>特此公告。</w:t>
      </w:r>
    </w:p>
    <w:p w:rsidR="00E34208" w:rsidRPr="00CE2632" w:rsidRDefault="00CE2632" w:rsidP="00CE2632">
      <w:pPr>
        <w:widowControl/>
        <w:spacing w:line="345" w:lineRule="atLeast"/>
        <w:ind w:firstLine="480"/>
        <w:jc w:val="right"/>
        <w:rPr>
          <w:rFonts w:ascii="宋体" w:hAnsi="宋体"/>
          <w:color w:val="2B2B2B"/>
          <w:kern w:val="0"/>
          <w:szCs w:val="21"/>
        </w:rPr>
      </w:pPr>
      <w:r w:rsidRPr="00A01D89">
        <w:rPr>
          <w:rFonts w:ascii="宋体" w:hAnsi="宋体" w:hint="eastAsia"/>
          <w:color w:val="2B2B2B"/>
          <w:kern w:val="0"/>
          <w:szCs w:val="21"/>
        </w:rPr>
        <w:t xml:space="preserve">　　浙商基金管理有限公司</w:t>
      </w:r>
      <w:r w:rsidRPr="00A01D89">
        <w:rPr>
          <w:rFonts w:ascii="宋体" w:hAnsi="宋体"/>
          <w:color w:val="2B2B2B"/>
          <w:kern w:val="0"/>
          <w:szCs w:val="21"/>
        </w:rPr>
        <w:br/>
      </w:r>
      <w:r w:rsidRPr="00A01D89">
        <w:rPr>
          <w:rFonts w:ascii="宋体" w:hAnsi="宋体" w:hint="eastAsia"/>
          <w:color w:val="2B2B2B"/>
          <w:kern w:val="0"/>
          <w:szCs w:val="21"/>
        </w:rPr>
        <w:t xml:space="preserve">　　二〇</w:t>
      </w:r>
      <w:r w:rsidR="007C781D">
        <w:rPr>
          <w:rFonts w:ascii="宋体" w:hAnsi="宋体" w:hint="eastAsia"/>
          <w:color w:val="2B2B2B"/>
          <w:kern w:val="0"/>
          <w:szCs w:val="21"/>
        </w:rPr>
        <w:t>二四</w:t>
      </w:r>
      <w:r w:rsidRPr="00A01D89">
        <w:rPr>
          <w:rFonts w:ascii="宋体" w:hAnsi="宋体" w:hint="eastAsia"/>
          <w:color w:val="2B2B2B"/>
          <w:kern w:val="0"/>
          <w:szCs w:val="21"/>
        </w:rPr>
        <w:t>年</w:t>
      </w:r>
      <w:r w:rsidR="000B14FA">
        <w:rPr>
          <w:rFonts w:ascii="宋体" w:hAnsi="宋体" w:hint="eastAsia"/>
          <w:color w:val="2B2B2B"/>
          <w:kern w:val="0"/>
          <w:szCs w:val="21"/>
        </w:rPr>
        <w:t>九</w:t>
      </w:r>
      <w:r w:rsidRPr="00A01D89">
        <w:rPr>
          <w:rFonts w:ascii="宋体" w:hAnsi="宋体" w:hint="eastAsia"/>
          <w:color w:val="2B2B2B"/>
          <w:kern w:val="0"/>
          <w:szCs w:val="21"/>
        </w:rPr>
        <w:t>月</w:t>
      </w:r>
      <w:r w:rsidR="00D300A5">
        <w:rPr>
          <w:rFonts w:ascii="宋体" w:hAnsi="宋体" w:hint="eastAsia"/>
          <w:color w:val="2B2B2B"/>
          <w:kern w:val="0"/>
          <w:szCs w:val="21"/>
        </w:rPr>
        <w:t>十二</w:t>
      </w:r>
      <w:r w:rsidR="00EB68BC">
        <w:rPr>
          <w:rFonts w:ascii="宋体" w:hAnsi="宋体"/>
          <w:color w:val="2B2B2B"/>
          <w:kern w:val="0"/>
          <w:szCs w:val="21"/>
        </w:rPr>
        <w:t>日</w:t>
      </w:r>
    </w:p>
    <w:sectPr w:rsidR="00E34208" w:rsidRPr="00CE2632" w:rsidSect="00CF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9F" w:rsidRDefault="0026739F" w:rsidP="00CE2632">
      <w:r>
        <w:separator/>
      </w:r>
    </w:p>
  </w:endnote>
  <w:endnote w:type="continuationSeparator" w:id="0">
    <w:p w:rsidR="0026739F" w:rsidRDefault="0026739F" w:rsidP="00CE2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Mongolian Baiti"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9F" w:rsidRDefault="0026739F" w:rsidP="00CE2632">
      <w:r>
        <w:separator/>
      </w:r>
    </w:p>
  </w:footnote>
  <w:footnote w:type="continuationSeparator" w:id="0">
    <w:p w:rsidR="0026739F" w:rsidRDefault="0026739F" w:rsidP="00CE2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B59"/>
    <w:rsid w:val="00002C75"/>
    <w:rsid w:val="00017E91"/>
    <w:rsid w:val="00030190"/>
    <w:rsid w:val="000356BA"/>
    <w:rsid w:val="000962D1"/>
    <w:rsid w:val="000B14FA"/>
    <w:rsid w:val="000B7F1A"/>
    <w:rsid w:val="000D3B8C"/>
    <w:rsid w:val="000F0DFF"/>
    <w:rsid w:val="00136C21"/>
    <w:rsid w:val="00157BDF"/>
    <w:rsid w:val="0018292B"/>
    <w:rsid w:val="00186922"/>
    <w:rsid w:val="00194A05"/>
    <w:rsid w:val="001B0FBA"/>
    <w:rsid w:val="001F5201"/>
    <w:rsid w:val="00212108"/>
    <w:rsid w:val="00212EEE"/>
    <w:rsid w:val="0026739F"/>
    <w:rsid w:val="0027483B"/>
    <w:rsid w:val="00276E66"/>
    <w:rsid w:val="00283E3A"/>
    <w:rsid w:val="002A105D"/>
    <w:rsid w:val="00331D41"/>
    <w:rsid w:val="00334374"/>
    <w:rsid w:val="003443EF"/>
    <w:rsid w:val="00365BAC"/>
    <w:rsid w:val="00381BE8"/>
    <w:rsid w:val="003904CB"/>
    <w:rsid w:val="003A274F"/>
    <w:rsid w:val="003F317B"/>
    <w:rsid w:val="0040183E"/>
    <w:rsid w:val="00404678"/>
    <w:rsid w:val="00415640"/>
    <w:rsid w:val="00437DFC"/>
    <w:rsid w:val="00466C69"/>
    <w:rsid w:val="004B2C1A"/>
    <w:rsid w:val="004B5F69"/>
    <w:rsid w:val="004C5A26"/>
    <w:rsid w:val="00505861"/>
    <w:rsid w:val="005362AA"/>
    <w:rsid w:val="00552953"/>
    <w:rsid w:val="005E312C"/>
    <w:rsid w:val="005F7397"/>
    <w:rsid w:val="0062693A"/>
    <w:rsid w:val="00662428"/>
    <w:rsid w:val="0067178A"/>
    <w:rsid w:val="006C60B4"/>
    <w:rsid w:val="006D07EC"/>
    <w:rsid w:val="007133AF"/>
    <w:rsid w:val="00725193"/>
    <w:rsid w:val="00727DFE"/>
    <w:rsid w:val="00740EF7"/>
    <w:rsid w:val="00753167"/>
    <w:rsid w:val="00756EE5"/>
    <w:rsid w:val="00785F83"/>
    <w:rsid w:val="00795B59"/>
    <w:rsid w:val="007A2980"/>
    <w:rsid w:val="007A79CB"/>
    <w:rsid w:val="007B0918"/>
    <w:rsid w:val="007C6261"/>
    <w:rsid w:val="007C781D"/>
    <w:rsid w:val="007D61D0"/>
    <w:rsid w:val="00817761"/>
    <w:rsid w:val="00832428"/>
    <w:rsid w:val="00872DA3"/>
    <w:rsid w:val="008C76C9"/>
    <w:rsid w:val="008E174C"/>
    <w:rsid w:val="009333E2"/>
    <w:rsid w:val="00954F95"/>
    <w:rsid w:val="00957751"/>
    <w:rsid w:val="009665E3"/>
    <w:rsid w:val="00986056"/>
    <w:rsid w:val="00987CBA"/>
    <w:rsid w:val="009C2393"/>
    <w:rsid w:val="009D19D9"/>
    <w:rsid w:val="00A13AB9"/>
    <w:rsid w:val="00A215E4"/>
    <w:rsid w:val="00A51B2D"/>
    <w:rsid w:val="00A62A9E"/>
    <w:rsid w:val="00AA69D8"/>
    <w:rsid w:val="00AB413B"/>
    <w:rsid w:val="00AB5444"/>
    <w:rsid w:val="00AC1B68"/>
    <w:rsid w:val="00AF4040"/>
    <w:rsid w:val="00B217B3"/>
    <w:rsid w:val="00B74F6B"/>
    <w:rsid w:val="00B87068"/>
    <w:rsid w:val="00BB26B5"/>
    <w:rsid w:val="00C25AB5"/>
    <w:rsid w:val="00C31529"/>
    <w:rsid w:val="00C328A9"/>
    <w:rsid w:val="00C72F1D"/>
    <w:rsid w:val="00C932F3"/>
    <w:rsid w:val="00CB6F4D"/>
    <w:rsid w:val="00CD0C32"/>
    <w:rsid w:val="00CD3F16"/>
    <w:rsid w:val="00CE2632"/>
    <w:rsid w:val="00CF4887"/>
    <w:rsid w:val="00D01B8B"/>
    <w:rsid w:val="00D07841"/>
    <w:rsid w:val="00D105DC"/>
    <w:rsid w:val="00D300A5"/>
    <w:rsid w:val="00D71B30"/>
    <w:rsid w:val="00DC10AC"/>
    <w:rsid w:val="00DC30D3"/>
    <w:rsid w:val="00DD43B8"/>
    <w:rsid w:val="00E34208"/>
    <w:rsid w:val="00E60E2B"/>
    <w:rsid w:val="00EA387C"/>
    <w:rsid w:val="00EB68BC"/>
    <w:rsid w:val="00F1294D"/>
    <w:rsid w:val="00F44CFD"/>
    <w:rsid w:val="00F51DA1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2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2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26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6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68BC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44CF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44CF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44CFD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44CF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44CF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韩子墨</dc:creator>
  <cp:keywords/>
  <dc:description/>
  <cp:lastModifiedBy>ZHONGM</cp:lastModifiedBy>
  <cp:revision>2</cp:revision>
  <dcterms:created xsi:type="dcterms:W3CDTF">2024-09-11T16:03:00Z</dcterms:created>
  <dcterms:modified xsi:type="dcterms:W3CDTF">2024-09-11T16:03:00Z</dcterms:modified>
</cp:coreProperties>
</file>